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DA" w:rsidRDefault="002E71DA" w:rsidP="006F76ED">
      <w:pPr>
        <w:pStyle w:val="Nadpis2"/>
        <w:spacing w:before="0" w:after="0"/>
        <w:jc w:val="both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38"/>
      <w:bookmarkStart w:id="11" w:name="_Toc464814844"/>
      <w:bookmarkStart w:id="12" w:name="_Toc269207840"/>
      <w:bookmarkStart w:id="13" w:name="_GoBack"/>
      <w:bookmarkEnd w:id="13"/>
    </w:p>
    <w:p w:rsidR="000B0491" w:rsidRPr="002A1BA3" w:rsidRDefault="003C5A6A" w:rsidP="00D86F43">
      <w:pPr>
        <w:pStyle w:val="Nadpis2"/>
        <w:spacing w:before="0" w:after="0"/>
        <w:rPr>
          <w:sz w:val="28"/>
          <w:szCs w:val="28"/>
        </w:rPr>
      </w:pPr>
      <w:bookmarkStart w:id="14" w:name="_Toc11331085"/>
      <w:r>
        <w:rPr>
          <w:sz w:val="36"/>
        </w:rPr>
        <w:t>Smernica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>č.</w:t>
      </w:r>
      <w:r w:rsidR="00292337">
        <w:rPr>
          <w:sz w:val="36"/>
          <w:szCs w:val="36"/>
        </w:rPr>
        <w:t xml:space="preserve"> </w:t>
      </w:r>
      <w:r w:rsidR="0042120F">
        <w:rPr>
          <w:sz w:val="36"/>
          <w:szCs w:val="36"/>
        </w:rPr>
        <w:t>21</w:t>
      </w:r>
      <w:r w:rsidR="002E71DA">
        <w:rPr>
          <w:sz w:val="36"/>
          <w:szCs w:val="36"/>
        </w:rPr>
        <w:t>/</w:t>
      </w:r>
      <w:r w:rsidR="00183BBE">
        <w:rPr>
          <w:sz w:val="36"/>
        </w:rPr>
        <w:t>201</w:t>
      </w:r>
      <w:r w:rsidR="00D86F43">
        <w:rPr>
          <w:sz w:val="36"/>
        </w:rPr>
        <w:t>9</w:t>
      </w:r>
      <w:r w:rsidR="000321E5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r w:rsidR="000B0491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Pr="00C97A14">
        <w:rPr>
          <w:bCs w:val="0"/>
          <w:sz w:val="28"/>
          <w:szCs w:val="28"/>
        </w:rPr>
        <w:t>ktor</w:t>
      </w:r>
      <w:r>
        <w:rPr>
          <w:bCs w:val="0"/>
          <w:sz w:val="28"/>
          <w:szCs w:val="28"/>
        </w:rPr>
        <w:t xml:space="preserve">ou sa mení smernica </w:t>
      </w:r>
      <w:r w:rsidR="003B3E2B">
        <w:rPr>
          <w:bCs w:val="0"/>
          <w:sz w:val="28"/>
          <w:szCs w:val="28"/>
        </w:rPr>
        <w:t xml:space="preserve">č. </w:t>
      </w:r>
      <w:r w:rsidR="00D86F43">
        <w:rPr>
          <w:bCs w:val="0"/>
          <w:sz w:val="28"/>
          <w:szCs w:val="28"/>
        </w:rPr>
        <w:t>34</w:t>
      </w:r>
      <w:r w:rsidR="003B3E2B">
        <w:rPr>
          <w:bCs w:val="0"/>
          <w:sz w:val="28"/>
          <w:szCs w:val="28"/>
        </w:rPr>
        <w:t>/</w:t>
      </w:r>
      <w:r>
        <w:rPr>
          <w:bCs w:val="0"/>
          <w:sz w:val="28"/>
          <w:szCs w:val="28"/>
        </w:rPr>
        <w:t>201</w:t>
      </w:r>
      <w:r w:rsidR="00D86F43">
        <w:rPr>
          <w:bCs w:val="0"/>
          <w:sz w:val="28"/>
          <w:szCs w:val="28"/>
        </w:rPr>
        <w:t>4</w:t>
      </w:r>
      <w:r w:rsidR="003B3E2B">
        <w:rPr>
          <w:bCs w:val="0"/>
          <w:sz w:val="28"/>
          <w:szCs w:val="28"/>
        </w:rPr>
        <w:t xml:space="preserve">, </w:t>
      </w:r>
      <w:r w:rsidR="00D86F43" w:rsidRPr="00D86F43">
        <w:rPr>
          <w:bCs w:val="0"/>
          <w:sz w:val="28"/>
          <w:szCs w:val="28"/>
        </w:rPr>
        <w:t>ktorou sa určuje postup okresného úradu v sídle kraja pri potvrdzovaní obce ako školského úradu a pri posudzovaní odborného zabezpečenia činnosti obce a samosprávneho kraja ako školských úradov</w:t>
      </w:r>
      <w:bookmarkEnd w:id="11"/>
      <w:r w:rsidR="00D86F43">
        <w:rPr>
          <w:bCs w:val="0"/>
          <w:sz w:val="28"/>
          <w:szCs w:val="28"/>
        </w:rPr>
        <w:t xml:space="preserve"> v znení smernice č. 41/2015</w:t>
      </w:r>
      <w:bookmarkEnd w:id="14"/>
    </w:p>
    <w:p w:rsidR="005563BC" w:rsidRDefault="000B0491" w:rsidP="002A1BA3">
      <w:pPr>
        <w:pStyle w:val="gestorsktvar"/>
        <w:tabs>
          <w:tab w:val="left" w:pos="6096"/>
        </w:tabs>
        <w:ind w:left="-142" w:right="-286"/>
        <w:rPr>
          <w:rFonts w:cs="Arial"/>
        </w:rPr>
      </w:pPr>
      <w:r w:rsidRPr="00301AF9">
        <w:rPr>
          <w:rFonts w:cs="Arial"/>
        </w:rPr>
        <w:t xml:space="preserve">Gestorský útvar: </w:t>
      </w:r>
      <w:r w:rsidR="00183BBE" w:rsidRPr="0046457A">
        <w:rPr>
          <w:rFonts w:cs="Arial"/>
          <w:color w:val="000000" w:themeColor="text1"/>
        </w:rPr>
        <w:t>sekc</w:t>
      </w:r>
      <w:r w:rsidR="00235056" w:rsidRPr="0046457A">
        <w:rPr>
          <w:rFonts w:cs="Arial"/>
          <w:color w:val="000000" w:themeColor="text1"/>
        </w:rPr>
        <w:t xml:space="preserve">ia </w:t>
      </w:r>
      <w:r w:rsidR="003C5A6A" w:rsidRPr="0046457A">
        <w:rPr>
          <w:rFonts w:cs="Arial"/>
          <w:color w:val="000000" w:themeColor="text1"/>
        </w:rPr>
        <w:t>regionálneho školstva</w:t>
      </w:r>
      <w:r w:rsidR="005563BC">
        <w:rPr>
          <w:rFonts w:cs="Arial"/>
        </w:rPr>
        <w:tab/>
        <w:t>ev.</w:t>
      </w:r>
      <w:r w:rsidR="0046457A">
        <w:rPr>
          <w:rFonts w:cs="Arial"/>
          <w:color w:val="FF0000"/>
        </w:rPr>
        <w:t xml:space="preserve"> </w:t>
      </w:r>
      <w:r w:rsidR="0046457A" w:rsidRPr="0046457A">
        <w:rPr>
          <w:rFonts w:cs="Arial"/>
          <w:color w:val="000000" w:themeColor="text1"/>
        </w:rPr>
        <w:t>2019/11641:1- A1000</w:t>
      </w:r>
    </w:p>
    <w:p w:rsidR="00C24708" w:rsidRDefault="000B0491" w:rsidP="002A1BA3">
      <w:pPr>
        <w:pStyle w:val="gestorsktvar"/>
        <w:tabs>
          <w:tab w:val="left" w:pos="6096"/>
        </w:tabs>
        <w:ind w:left="-142" w:right="-286"/>
        <w:rPr>
          <w:rFonts w:cs="Arial"/>
        </w:rPr>
      </w:pPr>
      <w:r w:rsidRPr="00301AF9">
        <w:rPr>
          <w:rFonts w:cs="Arial"/>
        </w:rPr>
        <w:t>tel.:</w:t>
      </w:r>
      <w:r w:rsidR="005563BC">
        <w:rPr>
          <w:rFonts w:cs="Arial"/>
        </w:rPr>
        <w:t xml:space="preserve"> </w:t>
      </w:r>
      <w:r w:rsidR="005563BC" w:rsidRPr="0046457A">
        <w:rPr>
          <w:rFonts w:cs="Arial"/>
          <w:color w:val="000000" w:themeColor="text1"/>
        </w:rPr>
        <w:t>02/5937422</w:t>
      </w:r>
      <w:r w:rsidR="0046457A" w:rsidRPr="0046457A">
        <w:rPr>
          <w:rFonts w:cs="Arial"/>
          <w:color w:val="000000" w:themeColor="text1"/>
        </w:rPr>
        <w:t>4</w:t>
      </w:r>
      <w:r w:rsidR="00F40E66" w:rsidRPr="00301AF9">
        <w:rPr>
          <w:rFonts w:cs="Arial"/>
        </w:rPr>
        <w:tab/>
      </w:r>
    </w:p>
    <w:p w:rsidR="000B0491" w:rsidRPr="00301AF9" w:rsidRDefault="00183BBE" w:rsidP="002E71DA">
      <w:pPr>
        <w:pStyle w:val="odsek"/>
        <w:numPr>
          <w:ilvl w:val="0"/>
          <w:numId w:val="0"/>
        </w:numPr>
        <w:rPr>
          <w:rFonts w:cs="Arial"/>
        </w:rPr>
      </w:pPr>
      <w:r w:rsidRPr="00100836">
        <w:rPr>
          <w:rFonts w:cs="Arial"/>
        </w:rPr>
        <w:t>Minister</w:t>
      </w:r>
      <w:r w:rsidR="000321E5">
        <w:rPr>
          <w:rFonts w:cs="Arial"/>
        </w:rPr>
        <w:t>ka</w:t>
      </w:r>
      <w:r w:rsidRPr="00100836">
        <w:rPr>
          <w:rFonts w:cs="Arial"/>
        </w:rPr>
        <w:t xml:space="preserve"> školstva, vedy, výskumu a</w:t>
      </w:r>
      <w:r w:rsidR="00292337">
        <w:rPr>
          <w:rFonts w:cs="Arial"/>
        </w:rPr>
        <w:t> </w:t>
      </w:r>
      <w:r w:rsidRPr="00100836">
        <w:rPr>
          <w:rFonts w:cs="Arial"/>
        </w:rPr>
        <w:t>športu</w:t>
      </w:r>
      <w:r w:rsidR="00292337">
        <w:rPr>
          <w:rFonts w:cs="Arial"/>
        </w:rPr>
        <w:t xml:space="preserve"> Slovenskej republiky</w:t>
      </w:r>
      <w:r w:rsidR="00C34DF8">
        <w:rPr>
          <w:rFonts w:cs="Arial"/>
        </w:rPr>
        <w:t xml:space="preserve"> (ďalej len „minister“)</w:t>
      </w:r>
      <w:r w:rsidRPr="00100836">
        <w:rPr>
          <w:rFonts w:cs="Arial"/>
        </w:rPr>
        <w:t xml:space="preserve"> </w:t>
      </w:r>
      <w:r w:rsidR="002E71DA">
        <w:rPr>
          <w:rFonts w:cs="Arial"/>
        </w:rPr>
        <w:t>p</w:t>
      </w:r>
      <w:r w:rsidR="00C63648">
        <w:t xml:space="preserve">odľa </w:t>
      </w:r>
      <w:r w:rsidR="00292337">
        <w:t xml:space="preserve">§ 6 </w:t>
      </w:r>
      <w:r w:rsidR="00EF59AA">
        <w:t xml:space="preserve">ods. 6 </w:t>
      </w:r>
      <w:r w:rsidR="0085689E">
        <w:t>a</w:t>
      </w:r>
      <w:r w:rsidR="00292337">
        <w:t xml:space="preserve"> § 9 ods. 6 </w:t>
      </w:r>
      <w:r w:rsidR="003C5A6A">
        <w:t xml:space="preserve">zákona č. 596/2003 Z. z. o štátnej správe v školstve a školskej samospráve a o zmene a doplnení niektorých zákonov v znení neskorších predpisov </w:t>
      </w:r>
      <w:r w:rsidRPr="00100836">
        <w:rPr>
          <w:rFonts w:cs="Arial"/>
        </w:rPr>
        <w:t xml:space="preserve">vydáva </w:t>
      </w:r>
      <w:r w:rsidR="003C5A6A" w:rsidRPr="00100836">
        <w:rPr>
          <w:rFonts w:cs="Arial"/>
        </w:rPr>
        <w:t>t</w:t>
      </w:r>
      <w:r w:rsidR="003C5A6A">
        <w:rPr>
          <w:rFonts w:cs="Arial"/>
        </w:rPr>
        <w:t>úto smernicu</w:t>
      </w:r>
      <w:r w:rsidRPr="00100836">
        <w:rPr>
          <w:rFonts w:cs="Arial"/>
        </w:rPr>
        <w:t>:</w:t>
      </w:r>
    </w:p>
    <w:p w:rsidR="000B0491" w:rsidRDefault="00C63648" w:rsidP="00C63648">
      <w:pPr>
        <w:pStyle w:val="Nadpis3"/>
        <w:numPr>
          <w:ilvl w:val="0"/>
          <w:numId w:val="0"/>
        </w:numPr>
        <w:tabs>
          <w:tab w:val="right" w:pos="8820"/>
        </w:tabs>
      </w:pPr>
      <w:bookmarkStart w:id="15" w:name="_Toc10194417"/>
      <w:bookmarkStart w:id="16" w:name="_Toc464814845"/>
      <w:bookmarkStart w:id="17" w:name="_Toc11331086"/>
      <w:r>
        <w:t>Čl.</w:t>
      </w:r>
      <w:r w:rsidR="0075515F">
        <w:t xml:space="preserve"> </w:t>
      </w:r>
      <w:bookmarkEnd w:id="15"/>
      <w:r w:rsidR="0042120F">
        <w:t>1</w:t>
      </w:r>
      <w:bookmarkStart w:id="18" w:name="_Toc68656842"/>
      <w:bookmarkStart w:id="19" w:name="_Toc68656940"/>
      <w:bookmarkStart w:id="20" w:name="_Toc68673461"/>
      <w:bookmarkEnd w:id="16"/>
      <w:bookmarkEnd w:id="17"/>
      <w:bookmarkEnd w:id="18"/>
      <w:bookmarkEnd w:id="19"/>
      <w:bookmarkEnd w:id="20"/>
    </w:p>
    <w:p w:rsidR="003B3E2B" w:rsidRDefault="00E53F88" w:rsidP="003B3E2B">
      <w:pPr>
        <w:pStyle w:val="odsek"/>
        <w:numPr>
          <w:ilvl w:val="0"/>
          <w:numId w:val="0"/>
        </w:numPr>
      </w:pPr>
      <w:r>
        <w:t>S</w:t>
      </w:r>
      <w:r w:rsidRPr="00E53F88">
        <w:t>mernica č. 34/2014, ktorou sa určuje postup okresného úradu v sídle kraja pri potvrdzovaní obce ako školského úradu a pri posudzovaní odborného zabezpečenia činnosti obce</w:t>
      </w:r>
      <w:r w:rsidR="00EF59AA">
        <w:t xml:space="preserve"> a samosprávneho kraja</w:t>
      </w:r>
      <w:r w:rsidRPr="00E53F88">
        <w:t xml:space="preserve"> ako školsk</w:t>
      </w:r>
      <w:r w:rsidR="0085689E">
        <w:t>ého</w:t>
      </w:r>
      <w:r w:rsidRPr="00E53F88">
        <w:t xml:space="preserve"> úrad</w:t>
      </w:r>
      <w:r w:rsidR="0085689E">
        <w:t>u</w:t>
      </w:r>
      <w:r w:rsidRPr="00E53F88">
        <w:t xml:space="preserve"> v znení smernice č. 41/2015</w:t>
      </w:r>
      <w:r w:rsidR="0075515F">
        <w:t>,</w:t>
      </w:r>
      <w:r w:rsidR="003B3E2B">
        <w:t xml:space="preserve"> sa mení takto:</w:t>
      </w:r>
    </w:p>
    <w:p w:rsidR="0085689E" w:rsidRDefault="0085689E" w:rsidP="00AC0CF5">
      <w:pPr>
        <w:pStyle w:val="odsek"/>
        <w:numPr>
          <w:ilvl w:val="0"/>
          <w:numId w:val="10"/>
        </w:numPr>
      </w:pPr>
      <w:r>
        <w:t>V článku 2 ods. 1 sa vypúšťa posledná veta.</w:t>
      </w:r>
    </w:p>
    <w:p w:rsidR="00EF59AA" w:rsidRDefault="00EF59AA" w:rsidP="00EF59AA">
      <w:pPr>
        <w:pStyle w:val="odsek"/>
        <w:numPr>
          <w:ilvl w:val="0"/>
          <w:numId w:val="0"/>
        </w:numPr>
        <w:ind w:left="720"/>
      </w:pPr>
      <w:r>
        <w:t>Poznámka pod čiarou k odkazu 3 sa vypúšťa.</w:t>
      </w:r>
    </w:p>
    <w:p w:rsidR="0085689E" w:rsidRDefault="0085689E" w:rsidP="00AC0CF5">
      <w:pPr>
        <w:pStyle w:val="odsek"/>
        <w:numPr>
          <w:ilvl w:val="0"/>
          <w:numId w:val="10"/>
        </w:numPr>
      </w:pPr>
      <w:r>
        <w:t xml:space="preserve">V článku 5 ods. 2 </w:t>
      </w:r>
      <w:r w:rsidR="00EF59AA">
        <w:t xml:space="preserve">úvodnej vete </w:t>
      </w:r>
      <w:r>
        <w:t>sa vypúšťajú slová „ ako školskému úradu“.</w:t>
      </w:r>
    </w:p>
    <w:p w:rsidR="009C4A6B" w:rsidRDefault="00BF571E" w:rsidP="00AC0CF5">
      <w:pPr>
        <w:pStyle w:val="odsek"/>
        <w:numPr>
          <w:ilvl w:val="0"/>
          <w:numId w:val="10"/>
        </w:numPr>
      </w:pPr>
      <w:r>
        <w:t>V č</w:t>
      </w:r>
      <w:r w:rsidR="00E53F88">
        <w:t>lán</w:t>
      </w:r>
      <w:r>
        <w:t>ku</w:t>
      </w:r>
      <w:r w:rsidR="00E53F88">
        <w:t xml:space="preserve"> 6</w:t>
      </w:r>
      <w:r w:rsidR="009C4A6B">
        <w:t xml:space="preserve"> </w:t>
      </w:r>
      <w:r>
        <w:t>ods. 2 sa slová „11. platovej triedy 12. platového stupňa“ nahrádzajú slovami „8. platovej triedy 13. platového stupňa“ a</w:t>
      </w:r>
      <w:r w:rsidR="008F0DEB">
        <w:t xml:space="preserve"> za slovom „záujme“ </w:t>
      </w:r>
      <w:r w:rsidR="00BB5F42">
        <w:t>s</w:t>
      </w:r>
      <w:r w:rsidR="008F0DEB">
        <w:t>a vypúšťa čiarka a slová „</w:t>
      </w:r>
      <w:r>
        <w:t>zvýšenej o 80 eur na jedného zamestnanca mesačne na iné zložky platu.</w:t>
      </w:r>
      <w:r w:rsidR="008F0DEB">
        <w:t>“.</w:t>
      </w:r>
    </w:p>
    <w:p w:rsidR="007E74BB" w:rsidRDefault="00B6173D" w:rsidP="007E74BB">
      <w:pPr>
        <w:pStyle w:val="odsek"/>
        <w:numPr>
          <w:ilvl w:val="0"/>
          <w:numId w:val="10"/>
        </w:numPr>
        <w:rPr>
          <w:rFonts w:cs="Arial"/>
          <w:color w:val="auto"/>
        </w:rPr>
      </w:pPr>
      <w:r>
        <w:rPr>
          <w:rFonts w:cs="Arial"/>
          <w:color w:val="auto"/>
        </w:rPr>
        <w:t>P</w:t>
      </w:r>
      <w:r w:rsidR="007E74BB">
        <w:rPr>
          <w:rFonts w:cs="Arial"/>
          <w:color w:val="auto"/>
        </w:rPr>
        <w:t>ríloh</w:t>
      </w:r>
      <w:r w:rsidR="000B5B2F">
        <w:rPr>
          <w:rFonts w:cs="Arial"/>
          <w:color w:val="auto"/>
        </w:rPr>
        <w:t>y</w:t>
      </w:r>
      <w:r w:rsidR="007E74BB">
        <w:rPr>
          <w:rFonts w:cs="Arial"/>
          <w:color w:val="auto"/>
        </w:rPr>
        <w:t xml:space="preserve"> č. 1</w:t>
      </w:r>
      <w:r w:rsidR="000B5B2F">
        <w:rPr>
          <w:rFonts w:cs="Arial"/>
          <w:color w:val="auto"/>
        </w:rPr>
        <w:t xml:space="preserve"> a 2</w:t>
      </w:r>
      <w:r w:rsidR="007E74BB">
        <w:rPr>
          <w:rFonts w:cs="Arial"/>
          <w:color w:val="auto"/>
        </w:rPr>
        <w:t xml:space="preserve"> </w:t>
      </w:r>
      <w:r w:rsidR="00D325B6">
        <w:rPr>
          <w:rFonts w:cs="Arial"/>
          <w:color w:val="auto"/>
        </w:rPr>
        <w:t>zn</w:t>
      </w:r>
      <w:r w:rsidR="000B5B2F">
        <w:rPr>
          <w:rFonts w:cs="Arial"/>
          <w:color w:val="auto"/>
        </w:rPr>
        <w:t>ejú</w:t>
      </w:r>
      <w:r>
        <w:rPr>
          <w:rFonts w:cs="Arial"/>
          <w:color w:val="auto"/>
        </w:rPr>
        <w:t xml:space="preserve">: </w:t>
      </w:r>
    </w:p>
    <w:p w:rsidR="000B5B2F" w:rsidRDefault="000B5B2F" w:rsidP="000B5B2F">
      <w:pPr>
        <w:ind w:left="4956"/>
        <w:rPr>
          <w:rFonts w:cs="Arial"/>
          <w:b/>
        </w:rPr>
      </w:pPr>
      <w:r>
        <w:rPr>
          <w:rFonts w:cs="Arial"/>
          <w:b/>
        </w:rPr>
        <w:t>„</w:t>
      </w:r>
      <w:r w:rsidRPr="00E41FD9">
        <w:rPr>
          <w:rFonts w:cs="Arial"/>
          <w:b/>
        </w:rPr>
        <w:t>Príloha č. 1</w:t>
      </w:r>
      <w:r>
        <w:rPr>
          <w:rFonts w:cs="Arial"/>
          <w:b/>
        </w:rPr>
        <w:t xml:space="preserve"> k smernici </w:t>
      </w:r>
      <w:r w:rsidRPr="0085689E">
        <w:rPr>
          <w:rFonts w:cs="Arial"/>
          <w:b/>
          <w:color w:val="auto"/>
        </w:rPr>
        <w:t xml:space="preserve">č. </w:t>
      </w:r>
      <w:r w:rsidR="0085689E" w:rsidRPr="0085689E">
        <w:rPr>
          <w:rFonts w:cs="Arial"/>
          <w:b/>
          <w:color w:val="auto"/>
        </w:rPr>
        <w:t>34/</w:t>
      </w:r>
      <w:r w:rsidRPr="0085689E">
        <w:rPr>
          <w:rFonts w:cs="Arial"/>
          <w:b/>
          <w:color w:val="auto"/>
        </w:rPr>
        <w:t>201</w:t>
      </w:r>
      <w:r w:rsidR="0085689E" w:rsidRPr="0085689E">
        <w:rPr>
          <w:rFonts w:cs="Arial"/>
          <w:b/>
          <w:color w:val="auto"/>
        </w:rPr>
        <w:t>4</w:t>
      </w:r>
    </w:p>
    <w:p w:rsidR="000B5B2F" w:rsidRPr="00E41FD9" w:rsidRDefault="000B5B2F" w:rsidP="000B5B2F">
      <w:pPr>
        <w:jc w:val="right"/>
        <w:rPr>
          <w:rFonts w:cs="Arial"/>
          <w:b/>
        </w:rPr>
      </w:pPr>
    </w:p>
    <w:p w:rsidR="000B5B2F" w:rsidRDefault="000B5B2F" w:rsidP="000B5B2F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  <w:r w:rsidRPr="00E41FD9">
        <w:rPr>
          <w:rFonts w:cs="Arial"/>
          <w:b/>
          <w:color w:val="auto"/>
        </w:rPr>
        <w:t xml:space="preserve">Činnosti zamestnancov obcí ako školských úradov odborne zabezpečujúcich prenesený výkon štátnej správy v oblasti školstva </w:t>
      </w:r>
    </w:p>
    <w:p w:rsidR="000B5B2F" w:rsidRPr="00E41FD9" w:rsidRDefault="000B5B2F" w:rsidP="000B5B2F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:rsidR="000B5B2F" w:rsidRPr="002774DA" w:rsidRDefault="000B5B2F" w:rsidP="000B5B2F">
      <w:pPr>
        <w:rPr>
          <w:rFonts w:cs="Arial"/>
        </w:rPr>
      </w:pPr>
      <w:r w:rsidRPr="002774DA">
        <w:rPr>
          <w:rFonts w:cs="Arial"/>
        </w:rPr>
        <w:t xml:space="preserve">(1) </w:t>
      </w:r>
      <w:r>
        <w:rPr>
          <w:rFonts w:cs="Arial"/>
        </w:rPr>
        <w:t>Z</w:t>
      </w:r>
      <w:r w:rsidRPr="002774DA">
        <w:rPr>
          <w:rFonts w:cs="Arial"/>
        </w:rPr>
        <w:t xml:space="preserve">amestnanci obcí ako školských úradov </w:t>
      </w:r>
      <w:r>
        <w:rPr>
          <w:rFonts w:cs="Arial"/>
        </w:rPr>
        <w:t xml:space="preserve">odborne </w:t>
      </w:r>
      <w:r w:rsidRPr="002774DA">
        <w:rPr>
          <w:rFonts w:cs="Arial"/>
        </w:rPr>
        <w:t>zabezpečujú činnosti podľa</w:t>
      </w:r>
      <w:r>
        <w:rPr>
          <w:rFonts w:cs="Arial"/>
        </w:rPr>
        <w:t xml:space="preserve"> č</w:t>
      </w:r>
      <w:r w:rsidRPr="002774DA">
        <w:rPr>
          <w:rFonts w:cs="Arial"/>
        </w:rPr>
        <w:t>l</w:t>
      </w:r>
      <w:r>
        <w:rPr>
          <w:rFonts w:cs="Arial"/>
        </w:rPr>
        <w:t>ánku </w:t>
      </w:r>
      <w:r w:rsidRPr="002774DA">
        <w:rPr>
          <w:rFonts w:cs="Arial"/>
        </w:rPr>
        <w:t>2 ods</w:t>
      </w:r>
      <w:r>
        <w:rPr>
          <w:rFonts w:cs="Arial"/>
        </w:rPr>
        <w:t>.</w:t>
      </w:r>
      <w:r w:rsidRPr="002774DA">
        <w:rPr>
          <w:rFonts w:cs="Arial"/>
        </w:rPr>
        <w:t xml:space="preserve"> 3 </w:t>
      </w:r>
      <w:r>
        <w:rPr>
          <w:rFonts w:cs="Arial"/>
        </w:rPr>
        <w:t xml:space="preserve">písm. a) </w:t>
      </w:r>
      <w:r w:rsidRPr="002774DA">
        <w:rPr>
          <w:rFonts w:cs="Arial"/>
        </w:rPr>
        <w:t>vo veciach rozhodovania  riaditeľ</w:t>
      </w:r>
      <w:r>
        <w:rPr>
          <w:rFonts w:cs="Arial"/>
        </w:rPr>
        <w:t>a</w:t>
      </w:r>
      <w:r w:rsidRPr="002774DA">
        <w:rPr>
          <w:rFonts w:cs="Arial"/>
        </w:rPr>
        <w:t xml:space="preserve"> základnej školy</w:t>
      </w:r>
      <w:r w:rsidR="00555F0D">
        <w:rPr>
          <w:rFonts w:cs="Arial"/>
        </w:rPr>
        <w:t xml:space="preserve"> o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pr</w:t>
      </w:r>
      <w:r w:rsidR="00555F0D">
        <w:rPr>
          <w:rFonts w:cs="Arial"/>
        </w:rPr>
        <w:t>ijatí žiaka do základnej školy</w:t>
      </w:r>
      <w:r w:rsidR="00BC2DE0">
        <w:rPr>
          <w:rFonts w:cs="Arial"/>
        </w:rPr>
        <w:t xml:space="preserve"> vrátane žiaka so špeciálnymi výchovno-vzdelávacími potrebami a žiaka s nadaním</w:t>
      </w:r>
      <w:r>
        <w:rPr>
          <w:rFonts w:cs="Arial"/>
        </w:rPr>
        <w:t>,</w:t>
      </w:r>
    </w:p>
    <w:p w:rsidR="000B5B2F" w:rsidRDefault="0085689E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odklade</w:t>
      </w:r>
      <w:r w:rsidR="000B5B2F">
        <w:rPr>
          <w:rFonts w:cs="Arial"/>
        </w:rPr>
        <w:t xml:space="preserve"> začiat</w:t>
      </w:r>
      <w:r w:rsidR="00477E36">
        <w:rPr>
          <w:rFonts w:cs="Arial"/>
        </w:rPr>
        <w:t>ku povinnej školskej dochádzky</w:t>
      </w:r>
      <w:r w:rsidR="000B5B2F">
        <w:rPr>
          <w:rFonts w:cs="Arial"/>
        </w:rPr>
        <w:t xml:space="preserve">, </w:t>
      </w:r>
    </w:p>
    <w:p w:rsidR="000B5B2F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dodatočnom odložení plnenia povinnej školskej dochádzky žiaka alebo o je</w:t>
      </w:r>
      <w:r w:rsidR="00477E36">
        <w:rPr>
          <w:rFonts w:cs="Arial"/>
        </w:rPr>
        <w:t>ho zaradení do nultého ročníka,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ukončení deviateho ročníka žiakovi ôsmeho ročníka vzdelávacieho programu, ktorý dovŕšil 16 rokov</w:t>
      </w:r>
      <w:r>
        <w:rPr>
          <w:rFonts w:cs="Arial"/>
        </w:rPr>
        <w:t>,</w:t>
      </w:r>
      <w:r w:rsidRPr="002774DA">
        <w:rPr>
          <w:rFonts w:cs="Arial"/>
        </w:rPr>
        <w:t xml:space="preserve"> ak je predpoklad úspešného ukončenia najneskôr do konca školského roka, v ktorom dovŕši 17</w:t>
      </w:r>
      <w:r w:rsidR="001130C4">
        <w:rPr>
          <w:rFonts w:cs="Arial"/>
        </w:rPr>
        <w:t>.</w:t>
      </w:r>
      <w:r w:rsidRPr="002774DA">
        <w:rPr>
          <w:rFonts w:cs="Arial"/>
        </w:rPr>
        <w:t xml:space="preserve"> rok jeho veku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lastRenderedPageBreak/>
        <w:t>umožnení vzdelávania žiakovi s ťažkým zdravotným postihnutím do konca školského roka, v ktorom dovŕši 18</w:t>
      </w:r>
      <w:r>
        <w:rPr>
          <w:rFonts w:cs="Arial"/>
        </w:rPr>
        <w:t> </w:t>
      </w:r>
      <w:r w:rsidRPr="002774DA">
        <w:rPr>
          <w:rFonts w:cs="Arial"/>
        </w:rPr>
        <w:t xml:space="preserve">rokov </w:t>
      </w:r>
      <w:r>
        <w:rPr>
          <w:rFonts w:cs="Arial"/>
        </w:rPr>
        <w:t>veku,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oslobodení žiaka od povinnosti dochádza</w:t>
      </w:r>
      <w:r w:rsidR="00477E36">
        <w:rPr>
          <w:rFonts w:cs="Arial"/>
        </w:rPr>
        <w:t>ť do základnej školy</w:t>
      </w:r>
      <w:r>
        <w:rPr>
          <w:rFonts w:cs="Arial"/>
        </w:rPr>
        <w:t>,</w:t>
      </w:r>
    </w:p>
    <w:p w:rsidR="000B5B2F" w:rsidRDefault="00477E36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individuálnom vzdelávaní žiaka,</w:t>
      </w:r>
      <w:r w:rsidR="000B5B2F" w:rsidRPr="00F01D29">
        <w:rPr>
          <w:rFonts w:cs="Arial"/>
        </w:rPr>
        <w:t xml:space="preserve"> </w:t>
      </w:r>
    </w:p>
    <w:p w:rsidR="000B5B2F" w:rsidRPr="00477E36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F01D29">
        <w:rPr>
          <w:rFonts w:cs="Arial"/>
        </w:rPr>
        <w:t>oslobodení žiaka od vzdelávania v jednotlivých vyučovac</w:t>
      </w:r>
      <w:r w:rsidR="00477E36">
        <w:rPr>
          <w:rFonts w:cs="Arial"/>
        </w:rPr>
        <w:t>ích predmetoch alebo ich častí</w:t>
      </w:r>
      <w:r w:rsidRPr="00477E36">
        <w:rPr>
          <w:rFonts w:cs="Arial"/>
        </w:rPr>
        <w:t>,</w:t>
      </w:r>
    </w:p>
    <w:p w:rsidR="000B5B2F" w:rsidRPr="001130C4" w:rsidRDefault="004060C1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 xml:space="preserve">povolení </w:t>
      </w:r>
      <w:r w:rsidR="000B5B2F" w:rsidRPr="002774DA">
        <w:rPr>
          <w:rFonts w:cs="Arial"/>
        </w:rPr>
        <w:t>vykona</w:t>
      </w:r>
      <w:r>
        <w:rPr>
          <w:rFonts w:cs="Arial"/>
        </w:rPr>
        <w:t>ť</w:t>
      </w:r>
      <w:r w:rsidR="000B5B2F" w:rsidRPr="002774DA">
        <w:rPr>
          <w:rFonts w:cs="Arial"/>
        </w:rPr>
        <w:t xml:space="preserve"> komisionáln</w:t>
      </w:r>
      <w:r>
        <w:rPr>
          <w:rFonts w:cs="Arial"/>
        </w:rPr>
        <w:t>u</w:t>
      </w:r>
      <w:r w:rsidR="000B5B2F" w:rsidRPr="002774DA">
        <w:rPr>
          <w:rFonts w:cs="Arial"/>
        </w:rPr>
        <w:t xml:space="preserve"> skúš</w:t>
      </w:r>
      <w:r>
        <w:rPr>
          <w:rFonts w:cs="Arial"/>
        </w:rPr>
        <w:t>ku</w:t>
      </w:r>
      <w:r w:rsidR="000B5B2F" w:rsidRPr="002774DA">
        <w:rPr>
          <w:rFonts w:cs="Arial"/>
        </w:rPr>
        <w:t xml:space="preserve"> žiako</w:t>
      </w:r>
      <w:r w:rsidR="000B5B2F">
        <w:rPr>
          <w:rFonts w:cs="Arial"/>
        </w:rPr>
        <w:t>vi</w:t>
      </w:r>
      <w:r w:rsidR="00477E36">
        <w:rPr>
          <w:rFonts w:cs="Arial"/>
        </w:rPr>
        <w:t>,</w:t>
      </w:r>
      <w:r w:rsidR="001130C4">
        <w:rPr>
          <w:rFonts w:cs="Arial"/>
        </w:rPr>
        <w:t xml:space="preserve"> vrátane žiaka</w:t>
      </w:r>
      <w:r w:rsidR="000B5B2F" w:rsidRPr="001130C4">
        <w:rPr>
          <w:rFonts w:cs="Arial"/>
        </w:rPr>
        <w:t>, ktorý má individuálne vzdelávanie,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zrušení povolenia individuálneho vzdelávania žiakovi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povolení plniť povinnú školskú dochádzku mi</w:t>
      </w:r>
      <w:r w:rsidR="006912A3">
        <w:rPr>
          <w:rFonts w:cs="Arial"/>
        </w:rPr>
        <w:t>mo územia Slovenskej republiky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 xml:space="preserve"> povolení vykonať komisionálnu skúšku </w:t>
      </w:r>
      <w:r w:rsidRPr="002774DA">
        <w:rPr>
          <w:rFonts w:cs="Arial"/>
        </w:rPr>
        <w:t>žiakovi, ktorý vykonáva osobitný spôsob školskej dochádzky v školách mimo územia Slovenskej republiky alebo v školách zriadených iným štátom na území Slovenskej republiky so súhlasom zastupiteľského úradu iného štátu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konaní skúšok na inej škole v Slovenskej republike zo závažných dôvodov, najmä</w:t>
      </w:r>
      <w:r w:rsidR="004060C1">
        <w:rPr>
          <w:rFonts w:cs="Arial"/>
        </w:rPr>
        <w:t xml:space="preserve"> z dôvodu</w:t>
      </w:r>
      <w:r w:rsidRPr="002774DA">
        <w:rPr>
          <w:rFonts w:cs="Arial"/>
        </w:rPr>
        <w:t xml:space="preserve"> sťaženej dostupnosti ku kmeňovej škole</w:t>
      </w:r>
      <w:r>
        <w:rPr>
          <w:rFonts w:cs="Arial"/>
        </w:rPr>
        <w:t>,</w:t>
      </w:r>
    </w:p>
    <w:p w:rsidR="000B5B2F" w:rsidRPr="002774DA" w:rsidRDefault="004060C1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umožnení štúdia žiakovi</w:t>
      </w:r>
      <w:r w:rsidR="000B5B2F" w:rsidRPr="002774DA">
        <w:rPr>
          <w:rFonts w:cs="Arial"/>
        </w:rPr>
        <w:t xml:space="preserve"> podľa</w:t>
      </w:r>
      <w:r w:rsidR="006912A3">
        <w:rPr>
          <w:rFonts w:cs="Arial"/>
        </w:rPr>
        <w:t xml:space="preserve"> individuálneho učebného plánu</w:t>
      </w:r>
      <w:r w:rsidR="000B5B2F">
        <w:rPr>
          <w:rFonts w:cs="Arial"/>
        </w:rPr>
        <w:t>,</w:t>
      </w:r>
    </w:p>
    <w:p w:rsidR="000B5B2F" w:rsidRPr="002774DA" w:rsidRDefault="004060C1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určení náhradného termínu na vyskúšanie a klasifikovanie žiaka</w:t>
      </w:r>
      <w:r w:rsidR="000B5B2F" w:rsidRPr="002774DA">
        <w:rPr>
          <w:rFonts w:cs="Arial"/>
        </w:rPr>
        <w:t xml:space="preserve">, ak ho nemožno vyskúšať v riadnom termíne v prvom </w:t>
      </w:r>
      <w:r>
        <w:rPr>
          <w:rFonts w:cs="Arial"/>
        </w:rPr>
        <w:t xml:space="preserve">polroku </w:t>
      </w:r>
      <w:r w:rsidR="000B5B2F" w:rsidRPr="002774DA">
        <w:rPr>
          <w:rFonts w:cs="Arial"/>
        </w:rPr>
        <w:t xml:space="preserve">alebo </w:t>
      </w:r>
      <w:r>
        <w:rPr>
          <w:rFonts w:cs="Arial"/>
        </w:rPr>
        <w:t xml:space="preserve">v </w:t>
      </w:r>
      <w:r w:rsidR="000B5B2F" w:rsidRPr="002774DA">
        <w:rPr>
          <w:rFonts w:cs="Arial"/>
        </w:rPr>
        <w:t>druhom polroku</w:t>
      </w:r>
      <w:r w:rsidR="000B5B2F">
        <w:rPr>
          <w:rFonts w:cs="Arial"/>
        </w:rPr>
        <w:t>,</w:t>
      </w:r>
    </w:p>
    <w:p w:rsidR="000B5B2F" w:rsidRPr="002774DA" w:rsidRDefault="004060C1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určení termínu</w:t>
      </w:r>
      <w:r w:rsidR="000B5B2F" w:rsidRPr="002774DA">
        <w:rPr>
          <w:rFonts w:cs="Arial"/>
        </w:rPr>
        <w:t xml:space="preserve"> opravných skúšok</w:t>
      </w:r>
      <w:r w:rsidR="000B5B2F"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uložení výchovných opatrení, okrem rozhodovania o udelení pokarha</w:t>
      </w:r>
      <w:r w:rsidR="006912A3">
        <w:rPr>
          <w:rFonts w:cs="Arial"/>
        </w:rPr>
        <w:t>nia riaditeľom základnej školy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preradení alebo o vylúčení žiaka zo vzdelávacieho programu pre neplnenie požiadaviek rozumovej, umeleckej, športovej, praktickej prípravy alebo zo</w:t>
      </w:r>
      <w:r>
        <w:rPr>
          <w:rFonts w:cs="Arial"/>
        </w:rPr>
        <w:t> </w:t>
      </w:r>
      <w:r w:rsidRPr="002774DA">
        <w:rPr>
          <w:rFonts w:cs="Arial"/>
        </w:rPr>
        <w:t>zdravotných dôvodov</w:t>
      </w:r>
      <w:r>
        <w:rPr>
          <w:rFonts w:cs="Arial"/>
        </w:rPr>
        <w:t>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 xml:space="preserve">zmene formy vzdelávania žiaka, u ktorého sa prejavia špeciálne výchovno-vzdelávacie potreby po prijatí </w:t>
      </w:r>
      <w:r>
        <w:rPr>
          <w:rFonts w:cs="Arial"/>
        </w:rPr>
        <w:t>do školy,</w:t>
      </w:r>
    </w:p>
    <w:p w:rsidR="000B5B2F" w:rsidRPr="002774DA" w:rsidRDefault="000B5B2F" w:rsidP="0042120F">
      <w:pPr>
        <w:pStyle w:val="Odsekzoznamu"/>
        <w:numPr>
          <w:ilvl w:val="0"/>
          <w:numId w:val="12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urč</w:t>
      </w:r>
      <w:r w:rsidR="004060C1">
        <w:rPr>
          <w:rFonts w:cs="Arial"/>
        </w:rPr>
        <w:t>ení</w:t>
      </w:r>
      <w:r w:rsidRPr="002774DA">
        <w:rPr>
          <w:rFonts w:cs="Arial"/>
        </w:rPr>
        <w:t xml:space="preserve"> príspevku zákonného zástupcu žiaka na čiastočnú úhradu nákladov za</w:t>
      </w:r>
      <w:r>
        <w:rPr>
          <w:rFonts w:cs="Arial"/>
        </w:rPr>
        <w:t> </w:t>
      </w:r>
      <w:r w:rsidRPr="002774DA">
        <w:rPr>
          <w:rFonts w:cs="Arial"/>
        </w:rPr>
        <w:t xml:space="preserve">starostlivosť poskytovanú žiakovi v </w:t>
      </w:r>
      <w:r w:rsidR="00436C3A">
        <w:rPr>
          <w:rFonts w:cs="Arial"/>
        </w:rPr>
        <w:t>škole a v školskom zariadení</w:t>
      </w:r>
      <w:r>
        <w:rPr>
          <w:rFonts w:cs="Arial"/>
        </w:rPr>
        <w:t>.</w:t>
      </w:r>
    </w:p>
    <w:p w:rsidR="000B5B2F" w:rsidRPr="002774DA" w:rsidRDefault="000B5B2F" w:rsidP="000B5B2F">
      <w:pPr>
        <w:rPr>
          <w:rFonts w:cs="Arial"/>
        </w:rPr>
      </w:pPr>
      <w:r w:rsidRPr="002774DA">
        <w:rPr>
          <w:rFonts w:cs="Arial"/>
        </w:rPr>
        <w:t>(2)</w:t>
      </w:r>
      <w:r>
        <w:rPr>
          <w:rFonts w:cs="Arial"/>
        </w:rPr>
        <w:t xml:space="preserve"> Z</w:t>
      </w:r>
      <w:r w:rsidRPr="002774DA">
        <w:rPr>
          <w:rFonts w:cs="Arial"/>
        </w:rPr>
        <w:t>amestnanci obc</w:t>
      </w:r>
      <w:r w:rsidR="004060C1">
        <w:rPr>
          <w:rFonts w:cs="Arial"/>
        </w:rPr>
        <w:t>e</w:t>
      </w:r>
      <w:r w:rsidRPr="002774DA">
        <w:rPr>
          <w:rFonts w:cs="Arial"/>
        </w:rPr>
        <w:t xml:space="preserve"> ako školsk</w:t>
      </w:r>
      <w:r w:rsidR="004060C1">
        <w:rPr>
          <w:rFonts w:cs="Arial"/>
        </w:rPr>
        <w:t>ého</w:t>
      </w:r>
      <w:r w:rsidRPr="002774DA">
        <w:rPr>
          <w:rFonts w:cs="Arial"/>
        </w:rPr>
        <w:t xml:space="preserve"> úrad</w:t>
      </w:r>
      <w:r w:rsidR="004060C1">
        <w:rPr>
          <w:rFonts w:cs="Arial"/>
        </w:rPr>
        <w:t>u</w:t>
      </w:r>
      <w:r w:rsidRPr="002774DA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2774DA">
        <w:rPr>
          <w:rFonts w:cs="Arial"/>
        </w:rPr>
        <w:t xml:space="preserve">zabezpečujú činnosti podľa </w:t>
      </w:r>
      <w:r>
        <w:rPr>
          <w:rFonts w:cs="Arial"/>
        </w:rPr>
        <w:t>č</w:t>
      </w:r>
      <w:r w:rsidRPr="002774DA">
        <w:rPr>
          <w:rFonts w:cs="Arial"/>
        </w:rPr>
        <w:t>l</w:t>
      </w:r>
      <w:r>
        <w:rPr>
          <w:rFonts w:cs="Arial"/>
        </w:rPr>
        <w:t>ánku </w:t>
      </w:r>
      <w:r w:rsidR="004060C1">
        <w:rPr>
          <w:rFonts w:cs="Arial"/>
        </w:rPr>
        <w:t xml:space="preserve"> 2</w:t>
      </w:r>
      <w:r w:rsidRPr="002774DA">
        <w:rPr>
          <w:rFonts w:cs="Arial"/>
        </w:rPr>
        <w:t xml:space="preserve"> </w:t>
      </w:r>
      <w:r>
        <w:rPr>
          <w:rFonts w:cs="Arial"/>
        </w:rPr>
        <w:t>o</w:t>
      </w:r>
      <w:r w:rsidRPr="002774DA">
        <w:rPr>
          <w:rFonts w:cs="Arial"/>
        </w:rPr>
        <w:t>ds</w:t>
      </w:r>
      <w:r>
        <w:rPr>
          <w:rFonts w:cs="Arial"/>
        </w:rPr>
        <w:t>.</w:t>
      </w:r>
      <w:r w:rsidRPr="002774DA">
        <w:rPr>
          <w:rFonts w:cs="Arial"/>
        </w:rPr>
        <w:t xml:space="preserve"> </w:t>
      </w:r>
      <w:r>
        <w:rPr>
          <w:rFonts w:cs="Arial"/>
        </w:rPr>
        <w:t>3</w:t>
      </w:r>
      <w:r w:rsidRPr="004579AA">
        <w:rPr>
          <w:rFonts w:cs="Arial"/>
        </w:rPr>
        <w:t xml:space="preserve"> </w:t>
      </w:r>
      <w:r w:rsidRPr="002774DA">
        <w:rPr>
          <w:rFonts w:cs="Arial"/>
        </w:rPr>
        <w:t xml:space="preserve">písm. </w:t>
      </w:r>
      <w:r>
        <w:rPr>
          <w:rFonts w:cs="Arial"/>
        </w:rPr>
        <w:t>b</w:t>
      </w:r>
      <w:r w:rsidRPr="002774DA">
        <w:rPr>
          <w:rFonts w:cs="Arial"/>
        </w:rPr>
        <w:t xml:space="preserve">) </w:t>
      </w:r>
      <w:r>
        <w:rPr>
          <w:rFonts w:cs="Arial"/>
        </w:rPr>
        <w:t>pri výkone</w:t>
      </w:r>
      <w:r w:rsidRPr="002774DA">
        <w:rPr>
          <w:rFonts w:cs="Arial"/>
        </w:rPr>
        <w:t xml:space="preserve"> kontroly dodržiavania všeobecne záväzných právnych predpisov v oblasti výchovy a vzdelávania a v oblasti školského stravovania, </w:t>
      </w:r>
      <w:r w:rsidR="004060C1">
        <w:rPr>
          <w:rFonts w:cs="Arial"/>
        </w:rPr>
        <w:t>okrem</w:t>
      </w:r>
      <w:r w:rsidRPr="002774DA">
        <w:rPr>
          <w:rFonts w:cs="Arial"/>
        </w:rPr>
        <w:t xml:space="preserve"> </w:t>
      </w:r>
      <w:r>
        <w:rPr>
          <w:rFonts w:cs="Arial"/>
        </w:rPr>
        <w:t xml:space="preserve">výkonu </w:t>
      </w:r>
      <w:r w:rsidRPr="002774DA">
        <w:rPr>
          <w:rFonts w:cs="Arial"/>
        </w:rPr>
        <w:t>kontroly</w:t>
      </w:r>
      <w:r>
        <w:rPr>
          <w:rFonts w:cs="Arial"/>
        </w:rPr>
        <w:t>, ktorá patrí do vecnej pôsobnosti</w:t>
      </w:r>
      <w:r w:rsidRPr="002774DA">
        <w:rPr>
          <w:rFonts w:cs="Arial"/>
        </w:rPr>
        <w:t xml:space="preserve"> Štátnej školskej inšpekcie, vo všetkých školách a školských zariadeniach, ktorých je obec zriaďovateľom.</w:t>
      </w:r>
    </w:p>
    <w:p w:rsidR="000B5B2F" w:rsidRPr="002774DA" w:rsidRDefault="000B5B2F" w:rsidP="000B5B2F">
      <w:pPr>
        <w:rPr>
          <w:rFonts w:cs="Arial"/>
        </w:rPr>
      </w:pPr>
      <w:r>
        <w:rPr>
          <w:rFonts w:cs="Arial"/>
        </w:rPr>
        <w:t>(3) Z</w:t>
      </w:r>
      <w:r w:rsidRPr="002774DA">
        <w:rPr>
          <w:rFonts w:cs="Arial"/>
        </w:rPr>
        <w:t>amestnanci obc</w:t>
      </w:r>
      <w:r w:rsidR="004060C1">
        <w:rPr>
          <w:rFonts w:cs="Arial"/>
        </w:rPr>
        <w:t>e</w:t>
      </w:r>
      <w:r w:rsidRPr="002774DA">
        <w:rPr>
          <w:rFonts w:cs="Arial"/>
        </w:rPr>
        <w:t xml:space="preserve"> ako školsk</w:t>
      </w:r>
      <w:r w:rsidR="004060C1">
        <w:rPr>
          <w:rFonts w:cs="Arial"/>
        </w:rPr>
        <w:t>ého</w:t>
      </w:r>
      <w:r w:rsidRPr="002774DA">
        <w:rPr>
          <w:rFonts w:cs="Arial"/>
        </w:rPr>
        <w:t xml:space="preserve"> úrad</w:t>
      </w:r>
      <w:r w:rsidR="004060C1">
        <w:rPr>
          <w:rFonts w:cs="Arial"/>
        </w:rPr>
        <w:t>u</w:t>
      </w:r>
      <w:r w:rsidRPr="002774DA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2774DA">
        <w:rPr>
          <w:rFonts w:cs="Arial"/>
        </w:rPr>
        <w:t>zabezpečujú činnosti podľa</w:t>
      </w:r>
      <w:r>
        <w:rPr>
          <w:rFonts w:cs="Arial"/>
        </w:rPr>
        <w:t xml:space="preserve"> č</w:t>
      </w:r>
      <w:r w:rsidRPr="002774DA">
        <w:rPr>
          <w:rFonts w:cs="Arial"/>
        </w:rPr>
        <w:t>l</w:t>
      </w:r>
      <w:r>
        <w:rPr>
          <w:rFonts w:cs="Arial"/>
        </w:rPr>
        <w:t>ánku </w:t>
      </w:r>
      <w:r w:rsidRPr="002774DA">
        <w:rPr>
          <w:rFonts w:cs="Arial"/>
        </w:rPr>
        <w:t>2 ods</w:t>
      </w:r>
      <w:r>
        <w:rPr>
          <w:rFonts w:cs="Arial"/>
        </w:rPr>
        <w:t>.</w:t>
      </w:r>
      <w:r w:rsidRPr="002774DA">
        <w:rPr>
          <w:rFonts w:cs="Arial"/>
        </w:rPr>
        <w:t xml:space="preserve"> </w:t>
      </w:r>
      <w:r>
        <w:rPr>
          <w:rFonts w:cs="Arial"/>
        </w:rPr>
        <w:t>3</w:t>
      </w:r>
      <w:r w:rsidRPr="002774DA">
        <w:rPr>
          <w:rFonts w:cs="Arial"/>
        </w:rPr>
        <w:t xml:space="preserve"> písm. </w:t>
      </w:r>
      <w:r>
        <w:rPr>
          <w:rFonts w:cs="Arial"/>
        </w:rPr>
        <w:t>c</w:t>
      </w:r>
      <w:r w:rsidRPr="002774DA">
        <w:rPr>
          <w:rFonts w:cs="Arial"/>
        </w:rPr>
        <w:t xml:space="preserve">) vo veci vydávania organizačných pokynov riaditeľom škôl </w:t>
      </w:r>
      <w:r>
        <w:rPr>
          <w:rFonts w:cs="Arial"/>
        </w:rPr>
        <w:t xml:space="preserve">    </w:t>
      </w:r>
      <w:r w:rsidRPr="002774DA">
        <w:rPr>
          <w:rFonts w:cs="Arial"/>
        </w:rPr>
        <w:t xml:space="preserve">a školských zariadení, ktorých je obec zriaďovateľom, najmä organizačné pokyny </w:t>
      </w:r>
      <w:r>
        <w:rPr>
          <w:rFonts w:cs="Arial"/>
        </w:rPr>
        <w:t xml:space="preserve">   </w:t>
      </w:r>
      <w:r w:rsidRPr="002774DA">
        <w:rPr>
          <w:rFonts w:cs="Arial"/>
        </w:rPr>
        <w:t>na prí</w:t>
      </w:r>
      <w:r w:rsidR="001130C4">
        <w:rPr>
          <w:rFonts w:cs="Arial"/>
        </w:rPr>
        <w:t>slušný školský rok; t</w:t>
      </w:r>
      <w:r w:rsidRPr="002774DA">
        <w:rPr>
          <w:rFonts w:cs="Arial"/>
        </w:rPr>
        <w:t>ieto pokyny musia byť v súlade s právnymi predpismi</w:t>
      </w:r>
      <w:r>
        <w:rPr>
          <w:rFonts w:cs="Arial"/>
        </w:rPr>
        <w:t xml:space="preserve"> a s </w:t>
      </w:r>
      <w:r w:rsidRPr="002774DA">
        <w:rPr>
          <w:rFonts w:cs="Arial"/>
        </w:rPr>
        <w:t>pedagogicko-organizačnými pokynmi</w:t>
      </w:r>
      <w:r>
        <w:rPr>
          <w:rFonts w:cs="Arial"/>
        </w:rPr>
        <w:t xml:space="preserve"> </w:t>
      </w:r>
      <w:r w:rsidRPr="002774DA">
        <w:rPr>
          <w:rFonts w:cs="Arial"/>
        </w:rPr>
        <w:t>pre príslušný školský rok vydanými ministerstvom.</w:t>
      </w:r>
    </w:p>
    <w:p w:rsidR="000B5B2F" w:rsidRPr="002774DA" w:rsidRDefault="000B5B2F" w:rsidP="000B5B2F">
      <w:pPr>
        <w:rPr>
          <w:rFonts w:cs="Arial"/>
        </w:rPr>
      </w:pPr>
      <w:r w:rsidRPr="002774DA">
        <w:rPr>
          <w:rFonts w:cs="Arial"/>
        </w:rPr>
        <w:t>(4)</w:t>
      </w:r>
      <w:r>
        <w:rPr>
          <w:rFonts w:cs="Arial"/>
        </w:rPr>
        <w:t xml:space="preserve"> Z</w:t>
      </w:r>
      <w:r w:rsidRPr="002774DA">
        <w:rPr>
          <w:rFonts w:cs="Arial"/>
        </w:rPr>
        <w:t>amestnanci obc</w:t>
      </w:r>
      <w:r w:rsidR="004060C1">
        <w:rPr>
          <w:rFonts w:cs="Arial"/>
        </w:rPr>
        <w:t>e</w:t>
      </w:r>
      <w:r w:rsidRPr="002774DA">
        <w:rPr>
          <w:rFonts w:cs="Arial"/>
        </w:rPr>
        <w:t xml:space="preserve"> ako školsk</w:t>
      </w:r>
      <w:r w:rsidR="004060C1">
        <w:rPr>
          <w:rFonts w:cs="Arial"/>
        </w:rPr>
        <w:t>ého</w:t>
      </w:r>
      <w:r w:rsidRPr="002774DA">
        <w:rPr>
          <w:rFonts w:cs="Arial"/>
        </w:rPr>
        <w:t xml:space="preserve"> úrad</w:t>
      </w:r>
      <w:r w:rsidR="004060C1">
        <w:rPr>
          <w:rFonts w:cs="Arial"/>
        </w:rPr>
        <w:t>u</w:t>
      </w:r>
      <w:r w:rsidRPr="002774DA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2774DA">
        <w:rPr>
          <w:rFonts w:cs="Arial"/>
        </w:rPr>
        <w:t>zabezpečujú činnosti podľa</w:t>
      </w:r>
      <w:r>
        <w:rPr>
          <w:rFonts w:cs="Arial"/>
        </w:rPr>
        <w:t xml:space="preserve"> č</w:t>
      </w:r>
      <w:r w:rsidRPr="002774DA">
        <w:rPr>
          <w:rFonts w:cs="Arial"/>
        </w:rPr>
        <w:t>l</w:t>
      </w:r>
      <w:r>
        <w:rPr>
          <w:rFonts w:cs="Arial"/>
        </w:rPr>
        <w:t>ánku 2 ods.</w:t>
      </w:r>
      <w:r w:rsidRPr="002774DA">
        <w:rPr>
          <w:rFonts w:cs="Arial"/>
        </w:rPr>
        <w:t xml:space="preserve"> </w:t>
      </w:r>
      <w:r>
        <w:rPr>
          <w:rFonts w:cs="Arial"/>
        </w:rPr>
        <w:t>3</w:t>
      </w:r>
      <w:r w:rsidRPr="002774DA">
        <w:rPr>
          <w:rFonts w:cs="Arial"/>
        </w:rPr>
        <w:t xml:space="preserve"> písm. </w:t>
      </w:r>
      <w:r>
        <w:rPr>
          <w:rFonts w:cs="Arial"/>
        </w:rPr>
        <w:t>d</w:t>
      </w:r>
      <w:r w:rsidRPr="002774DA">
        <w:rPr>
          <w:rFonts w:cs="Arial"/>
        </w:rPr>
        <w:t>) vo veciach poskytovania odbornej a poradenskej činnosti školám a školským zariadeniam, ktorých je obec zriaďo</w:t>
      </w:r>
      <w:r w:rsidR="004060C1">
        <w:rPr>
          <w:rFonts w:cs="Arial"/>
        </w:rPr>
        <w:t>vateľom najmä v oblastiach</w:t>
      </w:r>
    </w:p>
    <w:p w:rsidR="004060C1" w:rsidRPr="004060C1" w:rsidRDefault="000B5B2F" w:rsidP="0042120F">
      <w:pPr>
        <w:pStyle w:val="Odsekzoznamu"/>
        <w:numPr>
          <w:ilvl w:val="0"/>
          <w:numId w:val="17"/>
        </w:numPr>
        <w:spacing w:after="200"/>
        <w:ind w:left="567" w:hanging="283"/>
        <w:contextualSpacing/>
        <w:rPr>
          <w:rFonts w:cs="Arial"/>
        </w:rPr>
      </w:pPr>
      <w:r w:rsidRPr="0042120F">
        <w:rPr>
          <w:rFonts w:cs="Arial"/>
        </w:rPr>
        <w:t>riadenia a zabezpečovania výchovno-vzdelávacieho procesu a školského stravovania</w:t>
      </w:r>
      <w:r w:rsidR="004060C1" w:rsidRPr="0042120F">
        <w:rPr>
          <w:rFonts w:cs="Arial"/>
        </w:rPr>
        <w:t>,</w:t>
      </w:r>
      <w:r w:rsidRPr="0042120F">
        <w:rPr>
          <w:rFonts w:cs="Arial"/>
        </w:rPr>
        <w:t xml:space="preserve"> </w:t>
      </w:r>
    </w:p>
    <w:p w:rsidR="000B5B2F" w:rsidRPr="004060C1" w:rsidRDefault="000B5B2F" w:rsidP="0042120F">
      <w:pPr>
        <w:pStyle w:val="Odsekzoznamu"/>
        <w:numPr>
          <w:ilvl w:val="0"/>
          <w:numId w:val="17"/>
        </w:numPr>
        <w:spacing w:after="200"/>
        <w:ind w:left="567" w:hanging="283"/>
        <w:contextualSpacing/>
        <w:rPr>
          <w:rFonts w:cs="Arial"/>
        </w:rPr>
      </w:pPr>
      <w:r w:rsidRPr="004060C1">
        <w:rPr>
          <w:rFonts w:cs="Arial"/>
        </w:rPr>
        <w:t>ustanovovania a činnosti orgánov školskej samosprávy v základných školách, materských školách, centrách voľného času a v</w:t>
      </w:r>
      <w:r w:rsidR="004060C1">
        <w:rPr>
          <w:rFonts w:cs="Arial"/>
        </w:rPr>
        <w:t xml:space="preserve"> základných umeleckých školách,</w:t>
      </w:r>
    </w:p>
    <w:p w:rsidR="000B5B2F" w:rsidRPr="00F125D7" w:rsidRDefault="000B5B2F" w:rsidP="0042120F">
      <w:pPr>
        <w:pStyle w:val="Odsekzoznamu"/>
        <w:numPr>
          <w:ilvl w:val="0"/>
          <w:numId w:val="17"/>
        </w:numPr>
        <w:spacing w:after="200"/>
        <w:ind w:left="567" w:hanging="283"/>
        <w:contextualSpacing/>
        <w:rPr>
          <w:rFonts w:cs="Arial"/>
          <w:bCs/>
        </w:rPr>
      </w:pPr>
      <w:r w:rsidRPr="00F125D7">
        <w:rPr>
          <w:rFonts w:cs="Arial"/>
        </w:rPr>
        <w:t>posudzovanie kvalifikačných predpokladov na výkon pracovnej činnosti pedagogických zamest</w:t>
      </w:r>
      <w:r w:rsidR="004060C1">
        <w:rPr>
          <w:rFonts w:cs="Arial"/>
        </w:rPr>
        <w:t xml:space="preserve">nancov a odborných zamestnancov, </w:t>
      </w:r>
      <w:r w:rsidRPr="00F125D7">
        <w:rPr>
          <w:rFonts w:cs="Arial"/>
        </w:rPr>
        <w:t>ak ide o riaditeľov škôl  a školských zariadení.</w:t>
      </w:r>
    </w:p>
    <w:p w:rsidR="000B5B2F" w:rsidRDefault="000B5B2F" w:rsidP="000B5B2F">
      <w:pPr>
        <w:rPr>
          <w:rFonts w:cs="Arial"/>
        </w:rPr>
      </w:pPr>
      <w:r>
        <w:rPr>
          <w:rFonts w:cs="Arial"/>
        </w:rPr>
        <w:lastRenderedPageBreak/>
        <w:t>(5) Z</w:t>
      </w:r>
      <w:r w:rsidRPr="002774DA">
        <w:rPr>
          <w:rFonts w:cs="Arial"/>
        </w:rPr>
        <w:t>amestnanci obc</w:t>
      </w:r>
      <w:r w:rsidR="004060C1">
        <w:rPr>
          <w:rFonts w:cs="Arial"/>
        </w:rPr>
        <w:t>e</w:t>
      </w:r>
      <w:r w:rsidRPr="002774DA">
        <w:rPr>
          <w:rFonts w:cs="Arial"/>
        </w:rPr>
        <w:t xml:space="preserve"> ako školsk</w:t>
      </w:r>
      <w:r w:rsidR="004060C1">
        <w:rPr>
          <w:rFonts w:cs="Arial"/>
        </w:rPr>
        <w:t>ého</w:t>
      </w:r>
      <w:r w:rsidRPr="002774DA">
        <w:rPr>
          <w:rFonts w:cs="Arial"/>
        </w:rPr>
        <w:t xml:space="preserve"> úrad</w:t>
      </w:r>
      <w:r w:rsidR="004060C1">
        <w:rPr>
          <w:rFonts w:cs="Arial"/>
        </w:rPr>
        <w:t>u</w:t>
      </w:r>
      <w:r w:rsidRPr="002774DA">
        <w:rPr>
          <w:rFonts w:cs="Arial"/>
        </w:rPr>
        <w:t xml:space="preserve"> môžu </w:t>
      </w:r>
      <w:r>
        <w:rPr>
          <w:rFonts w:cs="Arial"/>
        </w:rPr>
        <w:t xml:space="preserve">odborne </w:t>
      </w:r>
      <w:r w:rsidRPr="002774DA">
        <w:rPr>
          <w:rFonts w:cs="Arial"/>
        </w:rPr>
        <w:t>zabezpečovať aj činnosti spojené so zri</w:t>
      </w:r>
      <w:r>
        <w:rPr>
          <w:rFonts w:cs="Arial"/>
        </w:rPr>
        <w:t xml:space="preserve">aďovateľskou pôsobnosťou obcí, </w:t>
      </w:r>
      <w:r w:rsidRPr="002774DA">
        <w:rPr>
          <w:rFonts w:cs="Arial"/>
        </w:rPr>
        <w:t>najmä pripravovať podklady</w:t>
      </w:r>
      <w:r>
        <w:rPr>
          <w:rFonts w:cs="Arial"/>
        </w:rPr>
        <w:t xml:space="preserve"> </w:t>
      </w:r>
      <w:r w:rsidRPr="002774DA">
        <w:rPr>
          <w:rFonts w:cs="Arial"/>
        </w:rPr>
        <w:t>vo veci</w:t>
      </w:r>
      <w:r w:rsidR="004060C1">
        <w:rPr>
          <w:rFonts w:cs="Arial"/>
        </w:rPr>
        <w:t xml:space="preserve"> zaraďovania a </w:t>
      </w:r>
      <w:r>
        <w:rPr>
          <w:rFonts w:cs="Arial"/>
        </w:rPr>
        <w:t xml:space="preserve">vyraďovania </w:t>
      </w:r>
      <w:r w:rsidR="004060C1">
        <w:rPr>
          <w:rFonts w:cs="Arial"/>
        </w:rPr>
        <w:t xml:space="preserve">škôl a školských zariadení </w:t>
      </w:r>
      <w:r>
        <w:rPr>
          <w:rFonts w:cs="Arial"/>
        </w:rPr>
        <w:t>a zmien v</w:t>
      </w:r>
      <w:r w:rsidR="004060C1">
        <w:rPr>
          <w:rFonts w:cs="Arial"/>
        </w:rPr>
        <w:t> </w:t>
      </w:r>
      <w:r>
        <w:rPr>
          <w:rFonts w:cs="Arial"/>
        </w:rPr>
        <w:t>sieti</w:t>
      </w:r>
      <w:r w:rsidR="004060C1">
        <w:rPr>
          <w:rFonts w:cs="Arial"/>
        </w:rPr>
        <w:t>, ak ide o </w:t>
      </w:r>
      <w:r>
        <w:rPr>
          <w:rFonts w:cs="Arial"/>
        </w:rPr>
        <w:t>základn</w:t>
      </w:r>
      <w:r w:rsidR="004060C1">
        <w:rPr>
          <w:rFonts w:cs="Arial"/>
        </w:rPr>
        <w:t xml:space="preserve">é </w:t>
      </w:r>
      <w:r>
        <w:rPr>
          <w:rFonts w:cs="Arial"/>
        </w:rPr>
        <w:t>šk</w:t>
      </w:r>
      <w:r w:rsidR="004060C1">
        <w:rPr>
          <w:rFonts w:cs="Arial"/>
        </w:rPr>
        <w:t>oly</w:t>
      </w:r>
      <w:r>
        <w:rPr>
          <w:rFonts w:cs="Arial"/>
        </w:rPr>
        <w:t>, vrátane spojených škôl, ktorých organizačnou zložkou je základná škola.</w:t>
      </w:r>
    </w:p>
    <w:p w:rsidR="00C20222" w:rsidRPr="002774DA" w:rsidRDefault="00C20222" w:rsidP="000B5B2F">
      <w:pPr>
        <w:rPr>
          <w:rFonts w:cs="Arial"/>
        </w:rPr>
      </w:pPr>
    </w:p>
    <w:p w:rsidR="000B5B2F" w:rsidRPr="00E41FD9" w:rsidRDefault="000B5B2F" w:rsidP="000B5B2F">
      <w:pPr>
        <w:pStyle w:val="Odsekzoznamu"/>
        <w:rPr>
          <w:rFonts w:cs="Arial"/>
        </w:rPr>
      </w:pPr>
    </w:p>
    <w:p w:rsidR="00C20222" w:rsidRDefault="000B5B2F" w:rsidP="00C20222">
      <w:pPr>
        <w:pStyle w:val="priloha"/>
        <w:numPr>
          <w:ilvl w:val="0"/>
          <w:numId w:val="0"/>
        </w:numPr>
        <w:ind w:left="4248" w:firstLine="708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 xml:space="preserve"> </w:t>
      </w:r>
      <w:r w:rsidR="00C20222" w:rsidRPr="0044133C">
        <w:rPr>
          <w:rFonts w:cs="Arial"/>
          <w:b/>
          <w:color w:val="auto"/>
        </w:rPr>
        <w:t>Príloha č. 2</w:t>
      </w:r>
      <w:r w:rsidR="00C20222">
        <w:rPr>
          <w:rFonts w:cs="Arial"/>
          <w:b/>
          <w:color w:val="auto"/>
        </w:rPr>
        <w:t xml:space="preserve"> k smernici č. </w:t>
      </w:r>
      <w:r w:rsidR="0085689E" w:rsidRPr="0085689E">
        <w:rPr>
          <w:rFonts w:cs="Arial"/>
          <w:b/>
          <w:color w:val="auto"/>
        </w:rPr>
        <w:t>34</w:t>
      </w:r>
      <w:r w:rsidR="00C20222" w:rsidRPr="0085689E">
        <w:rPr>
          <w:rFonts w:cs="Arial"/>
          <w:b/>
          <w:color w:val="auto"/>
        </w:rPr>
        <w:t>/201</w:t>
      </w:r>
      <w:r w:rsidR="0085689E" w:rsidRPr="0085689E">
        <w:rPr>
          <w:rFonts w:cs="Arial"/>
          <w:b/>
          <w:color w:val="auto"/>
        </w:rPr>
        <w:t>4</w:t>
      </w:r>
    </w:p>
    <w:p w:rsidR="00C20222" w:rsidRPr="0044133C" w:rsidRDefault="00C20222" w:rsidP="00C20222">
      <w:pPr>
        <w:pStyle w:val="priloha"/>
        <w:numPr>
          <w:ilvl w:val="0"/>
          <w:numId w:val="0"/>
        </w:numPr>
        <w:jc w:val="right"/>
        <w:rPr>
          <w:rFonts w:cs="Arial"/>
          <w:b/>
          <w:color w:val="auto"/>
        </w:rPr>
      </w:pPr>
    </w:p>
    <w:p w:rsidR="00C20222" w:rsidRDefault="00C20222" w:rsidP="00C20222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  <w:r w:rsidRPr="0044133C">
        <w:rPr>
          <w:rFonts w:cs="Arial"/>
          <w:b/>
          <w:color w:val="auto"/>
        </w:rPr>
        <w:t xml:space="preserve">Činnosti zamestnancov samosprávnych krajov odborne zabezpečujúcich prenesený výkon štátnej správy v oblasti školstva </w:t>
      </w:r>
    </w:p>
    <w:p w:rsidR="00C20222" w:rsidRPr="0044133C" w:rsidRDefault="00C20222" w:rsidP="00C20222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:rsidR="00C20222" w:rsidRDefault="00C20222" w:rsidP="00C20222">
      <w:pPr>
        <w:rPr>
          <w:rFonts w:cs="Arial"/>
        </w:rPr>
      </w:pPr>
      <w:r w:rsidRPr="001034A1">
        <w:rPr>
          <w:rFonts w:cs="Arial"/>
        </w:rPr>
        <w:t>(1)</w:t>
      </w:r>
      <w:r>
        <w:rPr>
          <w:rFonts w:cs="Arial"/>
        </w:rPr>
        <w:t xml:space="preserve"> Z</w:t>
      </w:r>
      <w:r w:rsidRPr="00895136">
        <w:rPr>
          <w:rFonts w:cs="Arial"/>
        </w:rPr>
        <w:t>amestnanci samosprávn</w:t>
      </w:r>
      <w:r w:rsidR="00EF59AA">
        <w:rPr>
          <w:rFonts w:cs="Arial"/>
        </w:rPr>
        <w:t>eho</w:t>
      </w:r>
      <w:r w:rsidRPr="00895136">
        <w:rPr>
          <w:rFonts w:cs="Arial"/>
        </w:rPr>
        <w:t xml:space="preserve"> kraj</w:t>
      </w:r>
      <w:r w:rsidR="00EF59AA">
        <w:rPr>
          <w:rFonts w:cs="Arial"/>
        </w:rPr>
        <w:t>a</w:t>
      </w:r>
      <w:r w:rsidRPr="00895136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895136">
        <w:rPr>
          <w:rFonts w:cs="Arial"/>
        </w:rPr>
        <w:t>zabezpečujú činnosti</w:t>
      </w:r>
      <w:r>
        <w:rPr>
          <w:rFonts w:cs="Arial"/>
        </w:rPr>
        <w:t xml:space="preserve"> </w:t>
      </w:r>
      <w:r w:rsidRPr="00895136">
        <w:rPr>
          <w:rFonts w:cs="Arial"/>
        </w:rPr>
        <w:t xml:space="preserve">podľa </w:t>
      </w:r>
      <w:r>
        <w:rPr>
          <w:rFonts w:cs="Arial"/>
        </w:rPr>
        <w:t>č</w:t>
      </w:r>
      <w:r w:rsidRPr="00895136">
        <w:rPr>
          <w:rFonts w:cs="Arial"/>
        </w:rPr>
        <w:t>l</w:t>
      </w:r>
      <w:r>
        <w:rPr>
          <w:rFonts w:cs="Arial"/>
        </w:rPr>
        <w:t>ánku 2  ods.</w:t>
      </w:r>
      <w:r w:rsidRPr="00895136">
        <w:rPr>
          <w:rFonts w:cs="Arial"/>
        </w:rPr>
        <w:t xml:space="preserve"> 3 písm. a) vo veciach rozhodovania riaditeľ</w:t>
      </w:r>
      <w:r>
        <w:rPr>
          <w:rFonts w:cs="Arial"/>
        </w:rPr>
        <w:t>a</w:t>
      </w:r>
      <w:r w:rsidRPr="00895136">
        <w:rPr>
          <w:rFonts w:cs="Arial"/>
        </w:rPr>
        <w:t xml:space="preserve"> strednej školy</w:t>
      </w:r>
      <w:r w:rsidR="001130C4">
        <w:rPr>
          <w:rFonts w:cs="Arial"/>
        </w:rPr>
        <w:t xml:space="preserve"> o</w:t>
      </w:r>
    </w:p>
    <w:p w:rsidR="00C20222" w:rsidRPr="0044133C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44133C">
        <w:rPr>
          <w:rFonts w:cs="Arial"/>
        </w:rPr>
        <w:t>prijatí žia</w:t>
      </w:r>
      <w:r w:rsidR="00436C3A">
        <w:rPr>
          <w:rFonts w:cs="Arial"/>
        </w:rPr>
        <w:t>ka na štúdium na strednú školu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preradení žiaka strednej školy, ktorý plní povinnú školskú dochádzku na strednej šk</w:t>
      </w:r>
      <w:r w:rsidR="004060C1">
        <w:rPr>
          <w:rFonts w:cs="Arial"/>
        </w:rPr>
        <w:t>ole, na spádovú základnú školu,</w:t>
      </w:r>
    </w:p>
    <w:p w:rsidR="004D7C44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oslobodení žiaka od</w:t>
      </w:r>
      <w:r w:rsidR="00436C3A">
        <w:rPr>
          <w:rFonts w:cs="Arial"/>
        </w:rPr>
        <w:t xml:space="preserve"> povinnosti dochádzať do školy,</w:t>
      </w:r>
    </w:p>
    <w:p w:rsidR="00C20222" w:rsidRPr="004D7C44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4D7C44">
        <w:rPr>
          <w:rFonts w:cs="Arial"/>
        </w:rPr>
        <w:t xml:space="preserve">oslobodení žiaka od </w:t>
      </w:r>
      <w:r w:rsidR="007A1183">
        <w:rPr>
          <w:rFonts w:cs="Arial"/>
        </w:rPr>
        <w:t>štúdia</w:t>
      </w:r>
      <w:r w:rsidRPr="004D7C44">
        <w:rPr>
          <w:rFonts w:cs="Arial"/>
        </w:rPr>
        <w:t xml:space="preserve"> v jednotlivých vyučovac</w:t>
      </w:r>
      <w:r w:rsidR="00436C3A" w:rsidRPr="004D7C44">
        <w:rPr>
          <w:rFonts w:cs="Arial"/>
        </w:rPr>
        <w:t>ích predmetoch alebo ich častí</w:t>
      </w:r>
      <w:r w:rsidR="004D7C44">
        <w:rPr>
          <w:rFonts w:cs="Arial"/>
        </w:rPr>
        <w:t>,</w:t>
      </w:r>
    </w:p>
    <w:p w:rsidR="00C20222" w:rsidRPr="00895136" w:rsidRDefault="004D7C44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individuálnom vzdelávaní žiaka</w:t>
      </w:r>
      <w:r w:rsidR="00C20222"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 xml:space="preserve">povolení </w:t>
      </w:r>
      <w:r w:rsidR="007A1183">
        <w:rPr>
          <w:rFonts w:cs="Arial"/>
        </w:rPr>
        <w:t>štúdia</w:t>
      </w:r>
      <w:r w:rsidRPr="00895136">
        <w:rPr>
          <w:rFonts w:cs="Arial"/>
        </w:rPr>
        <w:t xml:space="preserve"> žiakovi podľa</w:t>
      </w:r>
      <w:r w:rsidR="004D7C44">
        <w:rPr>
          <w:rFonts w:cs="Arial"/>
        </w:rPr>
        <w:t xml:space="preserve"> individuálneho učebného plánu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povolení vykonať komisionálnu skúšku žiakovi, ktorý má individuálne vzdelávanie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zrušení povolenia individuálneho vzdelávania žiakovi</w:t>
      </w:r>
      <w:r>
        <w:rPr>
          <w:rFonts w:cs="Arial"/>
        </w:rPr>
        <w:t>,</w:t>
      </w:r>
    </w:p>
    <w:p w:rsidR="007A1183" w:rsidRDefault="007A1183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 xml:space="preserve">povolení vykonať komisionálnu skúšku </w:t>
      </w:r>
      <w:r w:rsidRPr="002774DA">
        <w:rPr>
          <w:rFonts w:cs="Arial"/>
        </w:rPr>
        <w:t>žiakovi, ktorý vykonáva osobitný spôsob školskej dochádzky v školách mimo územia Slovenskej republiky alebo v školách zriadených iným štátom na území Slovenskej republiky so súhlasom zastupiteľského úradu iného štátu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povolení vzdelávania v školách zriadených iným štátom na území Slovenskej republiky so súhlasom zas</w:t>
      </w:r>
      <w:r w:rsidR="004D7C44">
        <w:rPr>
          <w:rFonts w:cs="Arial"/>
        </w:rPr>
        <w:t>tupiteľského úradu iného štátu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 xml:space="preserve">konaní skúšok na inej škole v Slovenskej republike zo závažných dôvodov, najmä </w:t>
      </w:r>
      <w:r w:rsidR="007A1183">
        <w:rPr>
          <w:rFonts w:cs="Arial"/>
        </w:rPr>
        <w:t xml:space="preserve">z dôvodu </w:t>
      </w:r>
      <w:r w:rsidRPr="00895136">
        <w:rPr>
          <w:rFonts w:cs="Arial"/>
        </w:rPr>
        <w:t>sťaženej dostupnosti ku kmeňovej škole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 xml:space="preserve">povolení absolvovať časť štúdia </w:t>
      </w:r>
      <w:r>
        <w:rPr>
          <w:rFonts w:cs="Arial"/>
        </w:rPr>
        <w:t>v</w:t>
      </w:r>
      <w:r w:rsidRPr="00895136">
        <w:rPr>
          <w:rFonts w:cs="Arial"/>
        </w:rPr>
        <w:t xml:space="preserve"> škole obdobného</w:t>
      </w:r>
      <w:r w:rsidR="004D7C44">
        <w:rPr>
          <w:rFonts w:cs="Arial"/>
        </w:rPr>
        <w:t xml:space="preserve"> typu v zahraničí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prerušení štúd</w:t>
      </w:r>
      <w:r w:rsidR="004D7C44">
        <w:rPr>
          <w:rFonts w:cs="Arial"/>
        </w:rPr>
        <w:t>ia žiakovi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povolení zmeny študijného</w:t>
      </w:r>
      <w:r w:rsidR="007A1183">
        <w:rPr>
          <w:rFonts w:cs="Arial"/>
        </w:rPr>
        <w:t xml:space="preserve"> odboru</w:t>
      </w:r>
      <w:r w:rsidRPr="00895136">
        <w:rPr>
          <w:rFonts w:cs="Arial"/>
        </w:rPr>
        <w:t xml:space="preserve"> alebo učebného odboru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povolení štúdia žiakovi na obdobnej škole v zahraničí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povolení ž</w:t>
      </w:r>
      <w:r w:rsidR="004D7C44">
        <w:rPr>
          <w:rFonts w:cs="Arial"/>
        </w:rPr>
        <w:t>iakovi opakovať ročník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preradení nadaného žiaka do vyššieho ročníka bez absolvovania predchádzajúceho ročníka na základe komisionálnej skúšky</w:t>
      </w:r>
      <w:r>
        <w:rPr>
          <w:rFonts w:cs="Arial"/>
        </w:rPr>
        <w:t>,</w:t>
      </w:r>
    </w:p>
    <w:p w:rsidR="00C20222" w:rsidRPr="00895136" w:rsidRDefault="00BC0C74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určení náhradného termínu na vyskúšanie a klasifikovanie žiaka</w:t>
      </w:r>
      <w:r w:rsidRPr="002774DA">
        <w:rPr>
          <w:rFonts w:cs="Arial"/>
        </w:rPr>
        <w:t xml:space="preserve">, ak ho nemožno vyskúšať v riadnom termíne v prvom </w:t>
      </w:r>
      <w:r>
        <w:rPr>
          <w:rFonts w:cs="Arial"/>
        </w:rPr>
        <w:t xml:space="preserve">polroku </w:t>
      </w:r>
      <w:r w:rsidRPr="002774DA">
        <w:rPr>
          <w:rFonts w:cs="Arial"/>
        </w:rPr>
        <w:t xml:space="preserve">alebo </w:t>
      </w:r>
      <w:r>
        <w:rPr>
          <w:rFonts w:cs="Arial"/>
        </w:rPr>
        <w:t xml:space="preserve">v </w:t>
      </w:r>
      <w:r w:rsidRPr="002774DA">
        <w:rPr>
          <w:rFonts w:cs="Arial"/>
        </w:rPr>
        <w:t>druhom polroku</w:t>
      </w:r>
      <w:r w:rsidR="00C20222"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vykonaní opravnej skúšky žiakovi, ktorý dosiahol neuspokojivé výsledky z najviac dvoch povinných vyučo</w:t>
      </w:r>
      <w:r w:rsidR="007A1183">
        <w:rPr>
          <w:rFonts w:cs="Arial"/>
        </w:rPr>
        <w:t>vacích predmetov,</w:t>
      </w:r>
    </w:p>
    <w:p w:rsidR="00C20222" w:rsidRPr="00895136" w:rsidRDefault="007A1183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povolení vykonať komisionálnu skúšku</w:t>
      </w:r>
      <w:r w:rsidR="00C20222"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uložení výchovných opatrení, okrem rozhodovania o udelení pokarhania riaditeľom ško</w:t>
      </w:r>
      <w:r w:rsidR="004D7C44">
        <w:rPr>
          <w:rFonts w:cs="Arial"/>
        </w:rPr>
        <w:t>ly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lastRenderedPageBreak/>
        <w:t xml:space="preserve">prijatí uchádzača na štúdium </w:t>
      </w:r>
      <w:r>
        <w:rPr>
          <w:rFonts w:cs="Arial"/>
        </w:rPr>
        <w:t>v externej forme alebo v kombinovanej forme</w:t>
      </w:r>
      <w:r w:rsidRPr="00895136">
        <w:rPr>
          <w:rFonts w:cs="Arial"/>
        </w:rPr>
        <w:t>, na</w:t>
      </w:r>
      <w:r>
        <w:rPr>
          <w:rFonts w:cs="Arial"/>
        </w:rPr>
        <w:t> </w:t>
      </w:r>
      <w:r w:rsidRPr="00895136">
        <w:rPr>
          <w:rFonts w:cs="Arial"/>
        </w:rPr>
        <w:t>nadstavbové a na pomaturitné štúdium</w:t>
      </w:r>
      <w:r>
        <w:rPr>
          <w:rFonts w:cs="Arial"/>
        </w:rPr>
        <w:t>,</w:t>
      </w:r>
    </w:p>
    <w:p w:rsidR="00C20222" w:rsidRPr="00895136" w:rsidRDefault="00BC0C74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2774DA">
        <w:rPr>
          <w:rFonts w:cs="Arial"/>
        </w:rPr>
        <w:t>preradení alebo o vylúčení žiaka zo vzdelávacieho programu pre neplnenie požiadaviek rozumovej, umeleckej, športovej, praktickej prípravy alebo zo</w:t>
      </w:r>
      <w:r>
        <w:rPr>
          <w:rFonts w:cs="Arial"/>
        </w:rPr>
        <w:t> </w:t>
      </w:r>
      <w:r w:rsidRPr="002774DA">
        <w:rPr>
          <w:rFonts w:cs="Arial"/>
        </w:rPr>
        <w:t>zdravotných dôvodov</w:t>
      </w:r>
      <w:r w:rsidR="00C20222"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 xml:space="preserve">zmene formy vzdelávania žiaka, u ktorého sa prejavia špeciálne výchovno-vzdelávacie potreby po prijatí </w:t>
      </w:r>
      <w:r w:rsidR="007A1183">
        <w:rPr>
          <w:rFonts w:cs="Arial"/>
        </w:rPr>
        <w:t>do</w:t>
      </w:r>
      <w:r w:rsidRPr="00895136">
        <w:rPr>
          <w:rFonts w:cs="Arial"/>
        </w:rPr>
        <w:t xml:space="preserve"> šk</w:t>
      </w:r>
      <w:r w:rsidR="007A1183">
        <w:rPr>
          <w:rFonts w:cs="Arial"/>
        </w:rPr>
        <w:t>oly,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 w:rsidRPr="00895136">
        <w:rPr>
          <w:rFonts w:cs="Arial"/>
        </w:rPr>
        <w:t>znížení alebo odpustení príspevku na čiastočnú úhradu nákladov spojených s ubytovaním v školskom internáte  poberateľom dávky v sociálnej núdzi</w:t>
      </w:r>
      <w:r>
        <w:rPr>
          <w:rFonts w:cs="Arial"/>
        </w:rPr>
        <w:t>,</w:t>
      </w:r>
    </w:p>
    <w:p w:rsidR="00C20222" w:rsidRPr="00895136" w:rsidRDefault="00C20222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určení</w:t>
      </w:r>
      <w:r w:rsidRPr="00895136">
        <w:rPr>
          <w:rFonts w:cs="Arial"/>
        </w:rPr>
        <w:t xml:space="preserve"> príspevku zákonného zástupcu žiaka na čiastočnú úhradu nákladov za starostlivosť poskytovanú žiakovi </w:t>
      </w:r>
      <w:r w:rsidR="007A1183">
        <w:rPr>
          <w:rFonts w:cs="Arial"/>
        </w:rPr>
        <w:t>v škole a v školskom zariadení,</w:t>
      </w:r>
    </w:p>
    <w:p w:rsidR="00C20222" w:rsidRPr="00271E63" w:rsidRDefault="007A1183" w:rsidP="0042120F">
      <w:pPr>
        <w:pStyle w:val="Odsekzoznamu"/>
        <w:numPr>
          <w:ilvl w:val="0"/>
          <w:numId w:val="18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>priznaní štipendia.</w:t>
      </w:r>
    </w:p>
    <w:p w:rsidR="00C20222" w:rsidRPr="00895136" w:rsidRDefault="00C20222" w:rsidP="00C20222">
      <w:pPr>
        <w:rPr>
          <w:rFonts w:cs="Arial"/>
        </w:rPr>
      </w:pPr>
      <w:r w:rsidRPr="00271E63">
        <w:rPr>
          <w:rFonts w:cs="Arial"/>
        </w:rPr>
        <w:t>(2)</w:t>
      </w:r>
      <w:r>
        <w:rPr>
          <w:rFonts w:cs="Arial"/>
        </w:rPr>
        <w:t xml:space="preserve"> Z</w:t>
      </w:r>
      <w:r w:rsidRPr="00895136">
        <w:rPr>
          <w:rFonts w:cs="Arial"/>
        </w:rPr>
        <w:t>amestnanci samosprávn</w:t>
      </w:r>
      <w:r w:rsidR="00EF59AA">
        <w:rPr>
          <w:rFonts w:cs="Arial"/>
        </w:rPr>
        <w:t>eho</w:t>
      </w:r>
      <w:r w:rsidRPr="00895136">
        <w:rPr>
          <w:rFonts w:cs="Arial"/>
        </w:rPr>
        <w:t xml:space="preserve"> kraj</w:t>
      </w:r>
      <w:r w:rsidR="00EF59AA">
        <w:rPr>
          <w:rFonts w:cs="Arial"/>
        </w:rPr>
        <w:t>a</w:t>
      </w:r>
      <w:r w:rsidRPr="00895136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895136">
        <w:rPr>
          <w:rFonts w:cs="Arial"/>
        </w:rPr>
        <w:t xml:space="preserve">zabezpečujú činnosti </w:t>
      </w:r>
      <w:r>
        <w:rPr>
          <w:rFonts w:cs="Arial"/>
        </w:rPr>
        <w:t xml:space="preserve">podľa článku </w:t>
      </w:r>
      <w:r w:rsidRPr="00895136">
        <w:rPr>
          <w:rFonts w:cs="Arial"/>
        </w:rPr>
        <w:t>2 ods</w:t>
      </w:r>
      <w:r>
        <w:rPr>
          <w:rFonts w:cs="Arial"/>
        </w:rPr>
        <w:t>. </w:t>
      </w:r>
      <w:r w:rsidRPr="00895136">
        <w:rPr>
          <w:rFonts w:cs="Arial"/>
        </w:rPr>
        <w:t xml:space="preserve">3 písm. b) </w:t>
      </w:r>
      <w:r>
        <w:rPr>
          <w:rFonts w:cs="Arial"/>
        </w:rPr>
        <w:t>pri výkone</w:t>
      </w:r>
      <w:r w:rsidRPr="00895136">
        <w:rPr>
          <w:rFonts w:cs="Arial"/>
        </w:rPr>
        <w:t xml:space="preserve"> kontroly dodržiavania všeobecne záväzných právnych predpisov v oblasti výchovy a vzdelávania a v oblasti školského stravovania, </w:t>
      </w:r>
      <w:r w:rsidR="00470900">
        <w:rPr>
          <w:rFonts w:cs="Arial"/>
        </w:rPr>
        <w:t>okrem</w:t>
      </w:r>
      <w:r w:rsidRPr="00895136">
        <w:rPr>
          <w:rFonts w:cs="Arial"/>
        </w:rPr>
        <w:t xml:space="preserve"> </w:t>
      </w:r>
      <w:r>
        <w:rPr>
          <w:rFonts w:cs="Arial"/>
        </w:rPr>
        <w:t xml:space="preserve">výkonu </w:t>
      </w:r>
      <w:r w:rsidRPr="00895136">
        <w:rPr>
          <w:rFonts w:cs="Arial"/>
        </w:rPr>
        <w:t>kontroly</w:t>
      </w:r>
      <w:r>
        <w:rPr>
          <w:rFonts w:cs="Arial"/>
        </w:rPr>
        <w:t>, ktorá patrí do vecnej pôsobnosti</w:t>
      </w:r>
      <w:r w:rsidRPr="00895136">
        <w:rPr>
          <w:rFonts w:cs="Arial"/>
        </w:rPr>
        <w:t xml:space="preserve"> Štátnej školskej inšpekcie, vo všetkých školách a v školských zariadeniach, ktorých je samosprávny kraj zriaďovateľom.</w:t>
      </w:r>
    </w:p>
    <w:p w:rsidR="00C20222" w:rsidRPr="00271E63" w:rsidRDefault="00C20222" w:rsidP="00C20222">
      <w:pPr>
        <w:rPr>
          <w:rFonts w:cs="Arial"/>
        </w:rPr>
      </w:pPr>
      <w:r>
        <w:rPr>
          <w:rFonts w:cs="Arial"/>
        </w:rPr>
        <w:t>(3) Z</w:t>
      </w:r>
      <w:r w:rsidRPr="00271E63">
        <w:rPr>
          <w:rFonts w:cs="Arial"/>
        </w:rPr>
        <w:t>amestnanci samosprávn</w:t>
      </w:r>
      <w:r w:rsidR="00470900">
        <w:rPr>
          <w:rFonts w:cs="Arial"/>
        </w:rPr>
        <w:t>eho</w:t>
      </w:r>
      <w:r w:rsidRPr="00271E63">
        <w:rPr>
          <w:rFonts w:cs="Arial"/>
        </w:rPr>
        <w:t xml:space="preserve"> kraj</w:t>
      </w:r>
      <w:r w:rsidR="00470900">
        <w:rPr>
          <w:rFonts w:cs="Arial"/>
        </w:rPr>
        <w:t>a</w:t>
      </w:r>
      <w:r w:rsidRPr="00271E63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271E63">
        <w:rPr>
          <w:rFonts w:cs="Arial"/>
        </w:rPr>
        <w:t xml:space="preserve">zabezpečujú </w:t>
      </w:r>
      <w:r>
        <w:rPr>
          <w:rFonts w:cs="Arial"/>
        </w:rPr>
        <w:t>činnosti podľa článku 2 ods. </w:t>
      </w:r>
      <w:r w:rsidRPr="00271E63">
        <w:rPr>
          <w:rFonts w:cs="Arial"/>
        </w:rPr>
        <w:t>3 písm. c) vo veci vydávania organizačných pokynov riaditeľom škôl a školských zariadení, ktorých je samosprávny kraj zriaďovateľom, najmä organizačné pokyny na príslušný školský rok. Tieto pokyny musia byť v súlade s</w:t>
      </w:r>
      <w:r>
        <w:rPr>
          <w:rFonts w:cs="Arial"/>
        </w:rPr>
        <w:t xml:space="preserve"> platnými</w:t>
      </w:r>
      <w:r w:rsidRPr="00271E63">
        <w:rPr>
          <w:rFonts w:cs="Arial"/>
        </w:rPr>
        <w:t xml:space="preserve"> právnymi predpismi a pedagogicko-organizačnými pokynmi pre príslušný školský rok vydanými ministerstvom.</w:t>
      </w:r>
    </w:p>
    <w:p w:rsidR="00C20222" w:rsidRPr="00895136" w:rsidRDefault="00C20222" w:rsidP="00C20222">
      <w:pPr>
        <w:rPr>
          <w:rFonts w:cs="Arial"/>
        </w:rPr>
      </w:pPr>
      <w:r>
        <w:rPr>
          <w:rFonts w:cs="Arial"/>
        </w:rPr>
        <w:t>(4) Z</w:t>
      </w:r>
      <w:r w:rsidRPr="00895136">
        <w:rPr>
          <w:rFonts w:cs="Arial"/>
        </w:rPr>
        <w:t>amestnanci samosprávn</w:t>
      </w:r>
      <w:r w:rsidR="00470900">
        <w:rPr>
          <w:rFonts w:cs="Arial"/>
        </w:rPr>
        <w:t>eho</w:t>
      </w:r>
      <w:r w:rsidRPr="00895136">
        <w:rPr>
          <w:rFonts w:cs="Arial"/>
        </w:rPr>
        <w:t xml:space="preserve"> kraj</w:t>
      </w:r>
      <w:r w:rsidR="00470900">
        <w:rPr>
          <w:rFonts w:cs="Arial"/>
        </w:rPr>
        <w:t>a</w:t>
      </w:r>
      <w:r w:rsidRPr="00895136">
        <w:rPr>
          <w:rFonts w:cs="Arial"/>
        </w:rPr>
        <w:t xml:space="preserve"> </w:t>
      </w:r>
      <w:r>
        <w:rPr>
          <w:rFonts w:cs="Arial"/>
        </w:rPr>
        <w:t xml:space="preserve">odborne </w:t>
      </w:r>
      <w:r w:rsidRPr="00895136">
        <w:rPr>
          <w:rFonts w:cs="Arial"/>
        </w:rPr>
        <w:t>zabezpečujú činnosti podľa čl</w:t>
      </w:r>
      <w:r>
        <w:rPr>
          <w:rFonts w:cs="Arial"/>
        </w:rPr>
        <w:t>ánku </w:t>
      </w:r>
      <w:r w:rsidRPr="00895136">
        <w:rPr>
          <w:rFonts w:cs="Arial"/>
        </w:rPr>
        <w:t>2 ods</w:t>
      </w:r>
      <w:r>
        <w:rPr>
          <w:rFonts w:cs="Arial"/>
        </w:rPr>
        <w:t>. </w:t>
      </w:r>
      <w:r w:rsidRPr="00895136">
        <w:rPr>
          <w:rFonts w:cs="Arial"/>
        </w:rPr>
        <w:t>3 písm. d) vo veciach poskytovania odbornej a poradenskej činnosti školám a školským zariadeniam, ktorých je samosprávny kraj zriaďo</w:t>
      </w:r>
      <w:r w:rsidR="00470900">
        <w:rPr>
          <w:rFonts w:cs="Arial"/>
        </w:rPr>
        <w:t>vateľom najmä v oblastiach</w:t>
      </w:r>
    </w:p>
    <w:p w:rsidR="00C20222" w:rsidRPr="00271E63" w:rsidRDefault="00C20222" w:rsidP="0042120F">
      <w:pPr>
        <w:pStyle w:val="Odsekzoznamu"/>
        <w:numPr>
          <w:ilvl w:val="0"/>
          <w:numId w:val="19"/>
        </w:numPr>
        <w:spacing w:after="200"/>
        <w:ind w:left="567" w:hanging="283"/>
        <w:contextualSpacing/>
        <w:rPr>
          <w:rFonts w:cs="Arial"/>
        </w:rPr>
      </w:pPr>
      <w:r w:rsidRPr="00271E63">
        <w:rPr>
          <w:rFonts w:cs="Arial"/>
        </w:rPr>
        <w:t>riadenia a zabezpečovania výchovno-vzdelávacieho procesu a školské</w:t>
      </w:r>
      <w:r w:rsidR="001130C4">
        <w:rPr>
          <w:rFonts w:cs="Arial"/>
        </w:rPr>
        <w:t>ho stravovania,</w:t>
      </w:r>
    </w:p>
    <w:p w:rsidR="00C20222" w:rsidRDefault="00C20222" w:rsidP="0042120F">
      <w:pPr>
        <w:pStyle w:val="Odsekzoznamu"/>
        <w:numPr>
          <w:ilvl w:val="0"/>
          <w:numId w:val="19"/>
        </w:numPr>
        <w:spacing w:after="200"/>
        <w:ind w:left="567" w:hanging="283"/>
        <w:contextualSpacing/>
        <w:rPr>
          <w:rFonts w:cs="Arial"/>
        </w:rPr>
      </w:pPr>
      <w:r w:rsidRPr="00BC0C74">
        <w:rPr>
          <w:rFonts w:cs="Arial"/>
        </w:rPr>
        <w:t>ustanovovania a činnosti orgánov školskej s</w:t>
      </w:r>
      <w:r w:rsidR="00DE2737">
        <w:rPr>
          <w:rFonts w:cs="Arial"/>
        </w:rPr>
        <w:t>amosprávy na stredných školách</w:t>
      </w:r>
      <w:r w:rsidRPr="00BC0C74">
        <w:rPr>
          <w:rFonts w:cs="Arial"/>
        </w:rPr>
        <w:t>, jazykových školách</w:t>
      </w:r>
      <w:r w:rsidRPr="00895136">
        <w:rPr>
          <w:rFonts w:cs="Arial"/>
        </w:rPr>
        <w:t xml:space="preserve"> a v </w:t>
      </w:r>
      <w:r w:rsidR="007A1183">
        <w:rPr>
          <w:rFonts w:cs="Arial"/>
        </w:rPr>
        <w:t>základných umeleckých školách</w:t>
      </w:r>
      <w:r w:rsidRPr="00895136">
        <w:rPr>
          <w:rFonts w:cs="Arial"/>
        </w:rPr>
        <w:t xml:space="preserve">, </w:t>
      </w:r>
    </w:p>
    <w:p w:rsidR="00C20222" w:rsidRPr="00895136" w:rsidRDefault="00C20222" w:rsidP="0042120F">
      <w:pPr>
        <w:pStyle w:val="Odsekzoznamu"/>
        <w:numPr>
          <w:ilvl w:val="0"/>
          <w:numId w:val="19"/>
        </w:numPr>
        <w:spacing w:after="200"/>
        <w:ind w:left="567" w:hanging="283"/>
        <w:contextualSpacing/>
        <w:rPr>
          <w:rFonts w:cs="Arial"/>
        </w:rPr>
      </w:pPr>
      <w:r>
        <w:rPr>
          <w:rFonts w:cs="Arial"/>
        </w:rPr>
        <w:t xml:space="preserve">posudzovanie </w:t>
      </w:r>
      <w:r w:rsidRPr="006B0037">
        <w:rPr>
          <w:rFonts w:cs="Arial"/>
        </w:rPr>
        <w:t>kvalifikačných predpokladov na výkon pracovnej</w:t>
      </w:r>
      <w:r>
        <w:rPr>
          <w:rFonts w:cs="Arial"/>
        </w:rPr>
        <w:t xml:space="preserve"> </w:t>
      </w:r>
      <w:r w:rsidRPr="006B0037">
        <w:rPr>
          <w:rFonts w:cs="Arial"/>
        </w:rPr>
        <w:t>činnosti pedagogických zamest</w:t>
      </w:r>
      <w:r w:rsidR="00470900">
        <w:rPr>
          <w:rFonts w:cs="Arial"/>
        </w:rPr>
        <w:t xml:space="preserve">nancov a odborných zamestnancov, </w:t>
      </w:r>
      <w:r w:rsidRPr="006B0037">
        <w:rPr>
          <w:rFonts w:cs="Arial"/>
        </w:rPr>
        <w:t>ak ide o riaditeľov škôl  a školských zariadení.</w:t>
      </w:r>
    </w:p>
    <w:p w:rsidR="00C20222" w:rsidRDefault="00C20222" w:rsidP="00C20222">
      <w:pPr>
        <w:rPr>
          <w:rFonts w:cs="Arial"/>
        </w:rPr>
      </w:pPr>
      <w:r w:rsidRPr="00895136">
        <w:rPr>
          <w:rFonts w:cs="Arial"/>
        </w:rPr>
        <w:t xml:space="preserve"> (</w:t>
      </w:r>
      <w:r w:rsidRPr="001034A1">
        <w:rPr>
          <w:rFonts w:cs="Arial"/>
        </w:rPr>
        <w:t>5)</w:t>
      </w:r>
      <w:r>
        <w:rPr>
          <w:rFonts w:cs="Arial"/>
        </w:rPr>
        <w:t xml:space="preserve"> Zamestnanci samosprávn</w:t>
      </w:r>
      <w:r w:rsidR="00470900">
        <w:rPr>
          <w:rFonts w:cs="Arial"/>
        </w:rPr>
        <w:t>eho</w:t>
      </w:r>
      <w:r>
        <w:rPr>
          <w:rFonts w:cs="Arial"/>
        </w:rPr>
        <w:t xml:space="preserve"> kraj</w:t>
      </w:r>
      <w:r w:rsidR="00470900">
        <w:rPr>
          <w:rFonts w:cs="Arial"/>
        </w:rPr>
        <w:t>a</w:t>
      </w:r>
      <w:r>
        <w:rPr>
          <w:rFonts w:cs="Arial"/>
        </w:rPr>
        <w:t xml:space="preserve"> </w:t>
      </w:r>
      <w:r w:rsidRPr="00895136">
        <w:rPr>
          <w:rFonts w:cs="Arial"/>
        </w:rPr>
        <w:t xml:space="preserve">môžu </w:t>
      </w:r>
      <w:r>
        <w:rPr>
          <w:rFonts w:cs="Arial"/>
        </w:rPr>
        <w:t xml:space="preserve">odborne </w:t>
      </w:r>
      <w:r w:rsidRPr="00895136">
        <w:rPr>
          <w:rFonts w:cs="Arial"/>
        </w:rPr>
        <w:t>zabezpečovať aj činnosti spojené so zri</w:t>
      </w:r>
      <w:r>
        <w:rPr>
          <w:rFonts w:cs="Arial"/>
        </w:rPr>
        <w:t xml:space="preserve">aďovateľskou pôsobnosťou samosprávnych krajov, </w:t>
      </w:r>
      <w:r w:rsidRPr="00895136">
        <w:rPr>
          <w:rFonts w:cs="Arial"/>
        </w:rPr>
        <w:t>najmä môžu pripravovať podklady vo veciach</w:t>
      </w:r>
      <w:r>
        <w:rPr>
          <w:rFonts w:cs="Arial"/>
        </w:rPr>
        <w:t xml:space="preserve"> zaraďovania, vyraďovania a zmien v sieti stredných škôl, vrátane spojených škôl, ktorých organizačnou zložkou je stredná škola.</w:t>
      </w:r>
      <w:r w:rsidRPr="006B0037">
        <w:rPr>
          <w:rFonts w:cs="Arial"/>
        </w:rPr>
        <w:t xml:space="preserve"> </w:t>
      </w:r>
    </w:p>
    <w:p w:rsidR="00C20222" w:rsidRDefault="00C20222" w:rsidP="00C20222">
      <w:pPr>
        <w:rPr>
          <w:rFonts w:cs="Arial"/>
        </w:rPr>
      </w:pPr>
      <w:r>
        <w:rPr>
          <w:rFonts w:cs="Arial"/>
        </w:rPr>
        <w:t>(6) Zamestnanci samosprávn</w:t>
      </w:r>
      <w:r w:rsidR="00470900">
        <w:rPr>
          <w:rFonts w:cs="Arial"/>
        </w:rPr>
        <w:t>eho</w:t>
      </w:r>
      <w:r>
        <w:rPr>
          <w:rFonts w:cs="Arial"/>
        </w:rPr>
        <w:t xml:space="preserve"> kraj</w:t>
      </w:r>
      <w:r w:rsidR="00470900">
        <w:rPr>
          <w:rFonts w:cs="Arial"/>
        </w:rPr>
        <w:t>a</w:t>
      </w:r>
      <w:r>
        <w:rPr>
          <w:rFonts w:cs="Arial"/>
        </w:rPr>
        <w:t xml:space="preserve"> odborne zabezpečujú činnosti súvisiace s tvorbou regionálnej stratégie výchovy a vzdelávania v stredných školách v súlade s analýzami a prognózami o vývoji trhu práce a úlohy súvisiace s určovaním počtu tried prvého ročníka v členení na  jednotlivé študijné odbory alebo jednotlivé učebné odbory a počtu spoločných tried prvého ročníka v členení na jednotlivé príbuzné študijné odbory alebo jednotlivé príbuzné učebné odbory stredných škôl vo svojej územnej pôsobnosti pre prijímacie konanie v nasledujúcom školskom roku.“.</w:t>
      </w:r>
    </w:p>
    <w:p w:rsidR="00AC0CF5" w:rsidRDefault="00AC0CF5" w:rsidP="00D325B6">
      <w:pPr>
        <w:pStyle w:val="odsek"/>
        <w:numPr>
          <w:ilvl w:val="0"/>
          <w:numId w:val="0"/>
        </w:numPr>
      </w:pPr>
    </w:p>
    <w:p w:rsidR="00183BBE" w:rsidRPr="008777A8" w:rsidRDefault="003B3E2B" w:rsidP="00C63648">
      <w:pPr>
        <w:pStyle w:val="Nadpis3"/>
        <w:numPr>
          <w:ilvl w:val="0"/>
          <w:numId w:val="0"/>
        </w:numPr>
        <w:tabs>
          <w:tab w:val="right" w:pos="8820"/>
        </w:tabs>
      </w:pPr>
      <w:bookmarkStart w:id="21" w:name="_Toc10194418"/>
      <w:bookmarkStart w:id="22" w:name="_Toc11331087"/>
      <w:bookmarkStart w:id="23" w:name="_Toc464814847"/>
      <w:bookmarkStart w:id="24" w:name="_Toc464814999"/>
      <w:r>
        <w:lastRenderedPageBreak/>
        <w:t>Čl</w:t>
      </w:r>
      <w:r w:rsidR="0075515F">
        <w:t xml:space="preserve">. </w:t>
      </w:r>
      <w:bookmarkEnd w:id="21"/>
      <w:r w:rsidR="0042120F">
        <w:t>2</w:t>
      </w:r>
      <w:r w:rsidR="0042120F">
        <w:br/>
        <w:t>Účinnosť</w:t>
      </w:r>
      <w:bookmarkEnd w:id="22"/>
      <w:r w:rsidR="00183BBE" w:rsidRPr="008777A8">
        <w:br/>
      </w:r>
      <w:bookmarkEnd w:id="23"/>
      <w:bookmarkEnd w:id="24"/>
    </w:p>
    <w:p w:rsidR="00F3762C" w:rsidRPr="002A1BA3" w:rsidRDefault="00F3762C" w:rsidP="00F3762C">
      <w:pPr>
        <w:pStyle w:val="odsek"/>
        <w:numPr>
          <w:ilvl w:val="0"/>
          <w:numId w:val="0"/>
        </w:numPr>
        <w:rPr>
          <w:rFonts w:cs="Arial"/>
        </w:rPr>
      </w:pPr>
      <w:bookmarkStart w:id="25" w:name="_Toc68573010"/>
      <w:bookmarkStart w:id="26" w:name="_Toc68578964"/>
      <w:bookmarkStart w:id="27" w:name="_Toc68579145"/>
      <w:bookmarkStart w:id="28" w:name="_Toc68580021"/>
      <w:bookmarkStart w:id="29" w:name="_Toc68656941"/>
      <w:bookmarkStart w:id="30" w:name="_Toc68673462"/>
      <w:bookmarkEnd w:id="12"/>
      <w:r>
        <w:rPr>
          <w:rFonts w:cs="Arial"/>
        </w:rPr>
        <w:t>Táto smernica</w:t>
      </w:r>
      <w:r w:rsidRPr="004B3194">
        <w:rPr>
          <w:rFonts w:cs="Arial"/>
        </w:rPr>
        <w:t xml:space="preserve"> nadobúda účinnosť </w:t>
      </w:r>
      <w:r>
        <w:rPr>
          <w:rFonts w:cs="Arial"/>
        </w:rPr>
        <w:t xml:space="preserve">1. júla 2019 okrem </w:t>
      </w:r>
      <w:r w:rsidR="002C7ADE">
        <w:rPr>
          <w:rFonts w:cs="Arial"/>
        </w:rPr>
        <w:t>č</w:t>
      </w:r>
      <w:r>
        <w:rPr>
          <w:rFonts w:cs="Arial"/>
        </w:rPr>
        <w:t xml:space="preserve">l. </w:t>
      </w:r>
      <w:r w:rsidR="00A240B7">
        <w:rPr>
          <w:rFonts w:cs="Arial"/>
        </w:rPr>
        <w:t>1</w:t>
      </w:r>
      <w:r>
        <w:rPr>
          <w:rFonts w:cs="Arial"/>
        </w:rPr>
        <w:t xml:space="preserve"> štvrtého bodu, ktorý nadobúda účinnosť 1.</w:t>
      </w:r>
      <w:r w:rsidRPr="00AA540D">
        <w:rPr>
          <w:rFonts w:cs="Arial"/>
        </w:rPr>
        <w:t xml:space="preserve"> </w:t>
      </w:r>
      <w:r>
        <w:rPr>
          <w:rFonts w:cs="Arial"/>
        </w:rPr>
        <w:t>septembra 2019.</w:t>
      </w:r>
    </w:p>
    <w:p w:rsidR="000B0491" w:rsidRDefault="000A257E" w:rsidP="002A1BA3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3972589</wp:posOffset>
                </wp:positionH>
                <wp:positionV relativeFrom="paragraph">
                  <wp:posOffset>919274</wp:posOffset>
                </wp:positionV>
                <wp:extent cx="2628900" cy="38100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491" w:rsidRDefault="002C53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Pr="002F25D1">
                              <w:rPr>
                                <w:b/>
                              </w:rPr>
                              <w:t>inister</w:t>
                            </w:r>
                            <w:r>
                              <w:rPr>
                                <w:b/>
                              </w:rPr>
                              <w:t>ka</w:t>
                            </w:r>
                            <w:r w:rsidRPr="002F25D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327D8" w:rsidRDefault="003327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327D8" w:rsidRDefault="003327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1350"/>
                              <w:gridCol w:w="1017"/>
                              <w:gridCol w:w="1124"/>
                              <w:gridCol w:w="1350"/>
                              <w:gridCol w:w="1017"/>
                            </w:tblGrid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Funkcia: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Meno, priezvisko: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 xml:space="preserve">Podpis: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Funkcia: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Meno, priezvisko: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 xml:space="preserve">Podpis: </w:t>
                                  </w:r>
                                </w:p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Spracovateľ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VSÚ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ŠT 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</w:tbl>
                          <w:p w:rsidR="003327D8" w:rsidRPr="002F25D1" w:rsidRDefault="00332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8pt;margin-top:72.4pt;width:20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U6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" filled="f" stroked="f">
                <v:textbox>
                  <w:txbxContent>
                    <w:p w:rsidR="000B0491" w:rsidRDefault="002C53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Pr="002F25D1">
                        <w:rPr>
                          <w:b/>
                        </w:rPr>
                        <w:t>inister</w:t>
                      </w:r>
                      <w:r>
                        <w:rPr>
                          <w:b/>
                        </w:rPr>
                        <w:t>ka</w:t>
                      </w:r>
                      <w:r w:rsidRPr="002F25D1">
                        <w:rPr>
                          <w:b/>
                        </w:rPr>
                        <w:t xml:space="preserve"> </w:t>
                      </w:r>
                    </w:p>
                    <w:p w:rsidR="003327D8" w:rsidRDefault="003327D8">
                      <w:pPr>
                        <w:jc w:val="center"/>
                        <w:rPr>
                          <w:b/>
                        </w:rPr>
                      </w:pPr>
                    </w:p>
                    <w:p w:rsidR="003327D8" w:rsidRDefault="003327D8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1350"/>
                        <w:gridCol w:w="1017"/>
                        <w:gridCol w:w="1124"/>
                        <w:gridCol w:w="1350"/>
                        <w:gridCol w:w="1017"/>
                      </w:tblGrid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Funkcia:</w:t>
                            </w:r>
                          </w:p>
                        </w:tc>
                        <w:tc>
                          <w:tcPr>
                            <w:tcW w:w="2409" w:type="dxa"/>
                            <w:hideMark/>
                          </w:tcPr>
                          <w:p w:rsidR="003327D8" w:rsidRDefault="003327D8" w:rsidP="00B54858">
                            <w:r>
                              <w:t>Meno, priezvisko:</w:t>
                            </w:r>
                          </w:p>
                        </w:tc>
                        <w:tc>
                          <w:tcPr>
                            <w:tcW w:w="1134" w:type="dxa"/>
                            <w:hideMark/>
                          </w:tcPr>
                          <w:p w:rsidR="003327D8" w:rsidRDefault="003327D8" w:rsidP="00B54858">
                            <w:r>
                              <w:t xml:space="preserve">Podpis: </w:t>
                            </w:r>
                          </w:p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Funkcia:</w:t>
                            </w:r>
                          </w:p>
                        </w:tc>
                        <w:tc>
                          <w:tcPr>
                            <w:tcW w:w="2126" w:type="dxa"/>
                            <w:hideMark/>
                          </w:tcPr>
                          <w:p w:rsidR="003327D8" w:rsidRDefault="003327D8" w:rsidP="00B54858">
                            <w:r>
                              <w:t>Meno, priezvisko:</w:t>
                            </w:r>
                          </w:p>
                        </w:tc>
                        <w:tc>
                          <w:tcPr>
                            <w:tcW w:w="1166" w:type="dxa"/>
                            <w:hideMark/>
                          </w:tcPr>
                          <w:p w:rsidR="003327D8" w:rsidRDefault="003327D8" w:rsidP="00B54858">
                            <w:r>
                              <w:t xml:space="preserve">Podpis: </w:t>
                            </w:r>
                          </w:p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Spracovateľ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VSÚ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RO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ŠT 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GR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</w:tbl>
                    <w:p w:rsidR="003327D8" w:rsidRPr="002F25D1" w:rsidRDefault="003327D8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0491" w:rsidRPr="00301AF9">
        <w:rPr>
          <w:rFonts w:cs="Arial"/>
        </w:rPr>
        <w:br w:type="page"/>
      </w:r>
      <w:bookmarkEnd w:id="25"/>
      <w:bookmarkEnd w:id="26"/>
      <w:bookmarkEnd w:id="27"/>
      <w:bookmarkEnd w:id="28"/>
      <w:bookmarkEnd w:id="29"/>
      <w:bookmarkEnd w:id="30"/>
    </w:p>
    <w:p w:rsidR="0042120F" w:rsidRPr="00301AF9" w:rsidRDefault="0042120F" w:rsidP="002A1BA3">
      <w:pPr>
        <w:rPr>
          <w:rFonts w:cs="Arial"/>
        </w:rPr>
      </w:pPr>
    </w:p>
    <w:p w:rsidR="000B0491" w:rsidRPr="00301AF9" w:rsidRDefault="000B0491" w:rsidP="00493FCE">
      <w:pPr>
        <w:pStyle w:val="priloha"/>
        <w:numPr>
          <w:ilvl w:val="0"/>
          <w:numId w:val="0"/>
        </w:numPr>
        <w:rPr>
          <w:rFonts w:cs="Arial"/>
        </w:rPr>
      </w:pPr>
    </w:p>
    <w:p w:rsidR="002E71DA" w:rsidRDefault="002E71DA" w:rsidP="002E71DA">
      <w:pPr>
        <w:pStyle w:val="Nadpis2"/>
        <w:rPr>
          <w:color w:val="auto"/>
        </w:rPr>
      </w:pPr>
      <w:bookmarkStart w:id="31" w:name="_Toc11331088"/>
      <w:r>
        <w:rPr>
          <w:color w:val="auto"/>
        </w:rPr>
        <w:t>Obsah</w:t>
      </w:r>
      <w:bookmarkEnd w:id="31"/>
    </w:p>
    <w:p w:rsidR="0042120F" w:rsidRPr="0042120F" w:rsidRDefault="002E71DA" w:rsidP="0042120F">
      <w:pPr>
        <w:pStyle w:val="Obsah2"/>
        <w:tabs>
          <w:tab w:val="right" w:leader="dot" w:pos="9060"/>
        </w:tabs>
        <w:jc w:val="both"/>
        <w:rPr>
          <w:rFonts w:asciiTheme="minorHAnsi" w:eastAsiaTheme="minorEastAsia" w:hAnsiTheme="minorHAnsi" w:cstheme="minorBidi"/>
          <w:b w:val="0"/>
          <w:noProof/>
          <w:color w:val="auto"/>
          <w:sz w:val="24"/>
        </w:rPr>
      </w:pPr>
      <w:r w:rsidRPr="0042120F">
        <w:rPr>
          <w:rFonts w:cs="Arial"/>
          <w:b w:val="0"/>
          <w:color w:val="auto"/>
          <w:sz w:val="24"/>
        </w:rPr>
        <w:fldChar w:fldCharType="begin"/>
      </w:r>
      <w:r w:rsidRPr="0042120F">
        <w:rPr>
          <w:rFonts w:cs="Arial"/>
          <w:b w:val="0"/>
          <w:color w:val="auto"/>
          <w:sz w:val="24"/>
        </w:rPr>
        <w:instrText xml:space="preserve"> TOC \o "1-3" \h \z \u </w:instrText>
      </w:r>
      <w:r w:rsidRPr="0042120F">
        <w:rPr>
          <w:rFonts w:cs="Arial"/>
          <w:b w:val="0"/>
          <w:color w:val="auto"/>
          <w:sz w:val="24"/>
        </w:rPr>
        <w:fldChar w:fldCharType="separate"/>
      </w:r>
      <w:hyperlink w:anchor="_Toc11331085" w:history="1">
        <w:r w:rsidR="0042120F" w:rsidRPr="0042120F">
          <w:rPr>
            <w:rStyle w:val="Hypertextovprepojenie"/>
            <w:noProof/>
            <w:sz w:val="24"/>
          </w:rPr>
          <w:t>Smernica č. 21/2019,  ktorou sa mení smernica č. 34/2014, ktorou sa určuje postup okresného úradu v sídle kraja pri potvrdzovaní obce ako školského úradu a pri posudzovaní odborného zabezpečenia činnosti obce a samosprávneho kraja ako školských úradov v znení smernice č. 41/2015</w:t>
        </w:r>
        <w:r w:rsidR="0042120F" w:rsidRPr="0042120F">
          <w:rPr>
            <w:noProof/>
            <w:webHidden/>
            <w:sz w:val="24"/>
          </w:rPr>
          <w:tab/>
        </w:r>
        <w:r w:rsidR="0042120F" w:rsidRPr="0042120F">
          <w:rPr>
            <w:b w:val="0"/>
            <w:noProof/>
            <w:webHidden/>
            <w:sz w:val="24"/>
          </w:rPr>
          <w:fldChar w:fldCharType="begin"/>
        </w:r>
        <w:r w:rsidR="0042120F" w:rsidRPr="0042120F">
          <w:rPr>
            <w:b w:val="0"/>
            <w:noProof/>
            <w:webHidden/>
            <w:sz w:val="24"/>
          </w:rPr>
          <w:instrText xml:space="preserve"> PAGEREF _Toc11331085 \h </w:instrText>
        </w:r>
        <w:r w:rsidR="0042120F" w:rsidRPr="0042120F">
          <w:rPr>
            <w:b w:val="0"/>
            <w:noProof/>
            <w:webHidden/>
            <w:sz w:val="24"/>
          </w:rPr>
        </w:r>
        <w:r w:rsidR="0042120F" w:rsidRPr="0042120F">
          <w:rPr>
            <w:b w:val="0"/>
            <w:noProof/>
            <w:webHidden/>
            <w:sz w:val="24"/>
          </w:rPr>
          <w:fldChar w:fldCharType="separate"/>
        </w:r>
        <w:r w:rsidR="0042120F" w:rsidRPr="0042120F">
          <w:rPr>
            <w:b w:val="0"/>
            <w:noProof/>
            <w:webHidden/>
            <w:sz w:val="24"/>
          </w:rPr>
          <w:t>1</w:t>
        </w:r>
        <w:r w:rsidR="0042120F" w:rsidRPr="0042120F">
          <w:rPr>
            <w:b w:val="0"/>
            <w:noProof/>
            <w:webHidden/>
            <w:sz w:val="24"/>
          </w:rPr>
          <w:fldChar w:fldCharType="end"/>
        </w:r>
      </w:hyperlink>
    </w:p>
    <w:p w:rsidR="0042120F" w:rsidRPr="0042120F" w:rsidRDefault="0044618A">
      <w:pPr>
        <w:pStyle w:val="Obsah3"/>
        <w:rPr>
          <w:rFonts w:asciiTheme="minorHAnsi" w:eastAsiaTheme="minorEastAsia" w:hAnsiTheme="minorHAnsi" w:cstheme="minorBidi"/>
        </w:rPr>
      </w:pPr>
      <w:hyperlink w:anchor="_Toc11331086" w:history="1">
        <w:r w:rsidR="0042120F" w:rsidRPr="0042120F">
          <w:rPr>
            <w:rStyle w:val="Hypertextovprepojenie"/>
          </w:rPr>
          <w:t>Čl. 1</w:t>
        </w:r>
        <w:r w:rsidR="0042120F" w:rsidRPr="0042120F">
          <w:rPr>
            <w:webHidden/>
          </w:rPr>
          <w:tab/>
        </w:r>
        <w:r w:rsidR="0042120F">
          <w:rPr>
            <w:webHidden/>
          </w:rPr>
          <w:tab/>
        </w:r>
        <w:r w:rsidR="0042120F" w:rsidRPr="0042120F">
          <w:rPr>
            <w:webHidden/>
          </w:rPr>
          <w:fldChar w:fldCharType="begin"/>
        </w:r>
        <w:r w:rsidR="0042120F" w:rsidRPr="0042120F">
          <w:rPr>
            <w:webHidden/>
          </w:rPr>
          <w:instrText xml:space="preserve"> PAGEREF _Toc11331086 \h </w:instrText>
        </w:r>
        <w:r w:rsidR="0042120F" w:rsidRPr="0042120F">
          <w:rPr>
            <w:webHidden/>
          </w:rPr>
        </w:r>
        <w:r w:rsidR="0042120F" w:rsidRPr="0042120F">
          <w:rPr>
            <w:webHidden/>
          </w:rPr>
          <w:fldChar w:fldCharType="separate"/>
        </w:r>
        <w:r w:rsidR="0042120F" w:rsidRPr="0042120F">
          <w:rPr>
            <w:webHidden/>
          </w:rPr>
          <w:t>1</w:t>
        </w:r>
        <w:r w:rsidR="0042120F" w:rsidRPr="0042120F">
          <w:rPr>
            <w:webHidden/>
          </w:rPr>
          <w:fldChar w:fldCharType="end"/>
        </w:r>
      </w:hyperlink>
    </w:p>
    <w:p w:rsidR="0042120F" w:rsidRPr="0042120F" w:rsidRDefault="0044618A">
      <w:pPr>
        <w:pStyle w:val="Obsah3"/>
        <w:rPr>
          <w:rFonts w:asciiTheme="minorHAnsi" w:eastAsiaTheme="minorEastAsia" w:hAnsiTheme="minorHAnsi" w:cstheme="minorBidi"/>
        </w:rPr>
      </w:pPr>
      <w:hyperlink w:anchor="_Toc11331087" w:history="1">
        <w:r w:rsidR="0042120F" w:rsidRPr="0042120F">
          <w:rPr>
            <w:rStyle w:val="Hypertextovprepojenie"/>
          </w:rPr>
          <w:t>Čl. 2 Účinnosť</w:t>
        </w:r>
        <w:r w:rsidR="0042120F" w:rsidRPr="0042120F">
          <w:rPr>
            <w:webHidden/>
          </w:rPr>
          <w:tab/>
        </w:r>
        <w:r w:rsidR="0042120F" w:rsidRPr="0042120F">
          <w:rPr>
            <w:webHidden/>
          </w:rPr>
          <w:fldChar w:fldCharType="begin"/>
        </w:r>
        <w:r w:rsidR="0042120F" w:rsidRPr="0042120F">
          <w:rPr>
            <w:webHidden/>
          </w:rPr>
          <w:instrText xml:space="preserve"> PAGEREF _Toc11331087 \h </w:instrText>
        </w:r>
        <w:r w:rsidR="0042120F" w:rsidRPr="0042120F">
          <w:rPr>
            <w:webHidden/>
          </w:rPr>
        </w:r>
        <w:r w:rsidR="0042120F" w:rsidRPr="0042120F">
          <w:rPr>
            <w:webHidden/>
          </w:rPr>
          <w:fldChar w:fldCharType="separate"/>
        </w:r>
        <w:r w:rsidR="0042120F" w:rsidRPr="0042120F">
          <w:rPr>
            <w:webHidden/>
          </w:rPr>
          <w:t>5</w:t>
        </w:r>
        <w:r w:rsidR="0042120F" w:rsidRPr="0042120F">
          <w:rPr>
            <w:webHidden/>
          </w:rPr>
          <w:fldChar w:fldCharType="end"/>
        </w:r>
      </w:hyperlink>
    </w:p>
    <w:p w:rsidR="0042120F" w:rsidRPr="0042120F" w:rsidRDefault="0044618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4"/>
        </w:rPr>
      </w:pPr>
      <w:hyperlink w:anchor="_Toc11331088" w:history="1">
        <w:r w:rsidR="0042120F" w:rsidRPr="0042120F">
          <w:rPr>
            <w:rStyle w:val="Hypertextovprepojenie"/>
            <w:b w:val="0"/>
            <w:noProof/>
            <w:sz w:val="24"/>
          </w:rPr>
          <w:t>Obsah</w:t>
        </w:r>
        <w:r w:rsidR="0042120F" w:rsidRPr="0042120F">
          <w:rPr>
            <w:b w:val="0"/>
            <w:noProof/>
            <w:webHidden/>
            <w:sz w:val="24"/>
          </w:rPr>
          <w:tab/>
        </w:r>
        <w:r w:rsidR="0042120F" w:rsidRPr="0042120F">
          <w:rPr>
            <w:b w:val="0"/>
            <w:noProof/>
            <w:webHidden/>
            <w:sz w:val="24"/>
          </w:rPr>
          <w:fldChar w:fldCharType="begin"/>
        </w:r>
        <w:r w:rsidR="0042120F" w:rsidRPr="0042120F">
          <w:rPr>
            <w:b w:val="0"/>
            <w:noProof/>
            <w:webHidden/>
            <w:sz w:val="24"/>
          </w:rPr>
          <w:instrText xml:space="preserve"> PAGEREF _Toc11331088 \h </w:instrText>
        </w:r>
        <w:r w:rsidR="0042120F" w:rsidRPr="0042120F">
          <w:rPr>
            <w:b w:val="0"/>
            <w:noProof/>
            <w:webHidden/>
            <w:sz w:val="24"/>
          </w:rPr>
        </w:r>
        <w:r w:rsidR="0042120F" w:rsidRPr="0042120F">
          <w:rPr>
            <w:b w:val="0"/>
            <w:noProof/>
            <w:webHidden/>
            <w:sz w:val="24"/>
          </w:rPr>
          <w:fldChar w:fldCharType="separate"/>
        </w:r>
        <w:r w:rsidR="0042120F" w:rsidRPr="0042120F">
          <w:rPr>
            <w:b w:val="0"/>
            <w:noProof/>
            <w:webHidden/>
            <w:sz w:val="24"/>
          </w:rPr>
          <w:t>6</w:t>
        </w:r>
        <w:r w:rsidR="0042120F" w:rsidRPr="0042120F">
          <w:rPr>
            <w:b w:val="0"/>
            <w:noProof/>
            <w:webHidden/>
            <w:sz w:val="24"/>
          </w:rPr>
          <w:fldChar w:fldCharType="end"/>
        </w:r>
      </w:hyperlink>
    </w:p>
    <w:p w:rsidR="000B0491" w:rsidRDefault="002E71DA" w:rsidP="002E71DA">
      <w:pPr>
        <w:rPr>
          <w:rFonts w:cs="Arial"/>
          <w:color w:val="auto"/>
          <w:sz w:val="28"/>
          <w:szCs w:val="28"/>
        </w:rPr>
      </w:pPr>
      <w:r w:rsidRPr="0042120F">
        <w:rPr>
          <w:rFonts w:cs="Arial"/>
          <w:color w:val="auto"/>
        </w:rPr>
        <w:fldChar w:fldCharType="end"/>
      </w: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C20222" w:rsidRDefault="00C20222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F44ABD" w:rsidRPr="00301AF9" w:rsidRDefault="00F44ABD" w:rsidP="002E71DA">
      <w:pPr>
        <w:rPr>
          <w:rFonts w:cs="Arial"/>
        </w:rPr>
      </w:pPr>
    </w:p>
    <w:sectPr w:rsidR="00F44ABD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8A" w:rsidRDefault="0044618A">
      <w:r>
        <w:separator/>
      </w:r>
    </w:p>
  </w:endnote>
  <w:endnote w:type="continuationSeparator" w:id="0">
    <w:p w:rsidR="0044618A" w:rsidRDefault="0044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E6A2F">
      <w:rPr>
        <w:rStyle w:val="slostrany"/>
        <w:noProof/>
      </w:rPr>
      <w:t>5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8A" w:rsidRDefault="0044618A">
      <w:r>
        <w:separator/>
      </w:r>
    </w:p>
  </w:footnote>
  <w:footnote w:type="continuationSeparator" w:id="0">
    <w:p w:rsidR="0044618A" w:rsidRDefault="0044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895FDA" w:rsidP="00895FDA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</w:t>
    </w:r>
    <w:r w:rsidR="009A6756">
      <w:rPr>
        <w:rFonts w:cs="Arial"/>
        <w:i/>
      </w:rPr>
      <w:t xml:space="preserve"> </w:t>
    </w:r>
    <w:r w:rsidR="0042120F">
      <w:rPr>
        <w:rFonts w:cs="Arial"/>
        <w:i/>
      </w:rPr>
      <w:t>21</w:t>
    </w:r>
    <w:r w:rsidR="0046457A">
      <w:rPr>
        <w:rFonts w:cs="Arial"/>
        <w:i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02"/>
    <w:multiLevelType w:val="hybridMultilevel"/>
    <w:tmpl w:val="F22AF48A"/>
    <w:lvl w:ilvl="0" w:tplc="EF36938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E1DD0"/>
    <w:multiLevelType w:val="hybridMultilevel"/>
    <w:tmpl w:val="08F01B2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D01C70"/>
    <w:multiLevelType w:val="hybridMultilevel"/>
    <w:tmpl w:val="B0ECBA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C763CD"/>
    <w:multiLevelType w:val="hybridMultilevel"/>
    <w:tmpl w:val="5B52AE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6C6DF8"/>
    <w:multiLevelType w:val="hybridMultilevel"/>
    <w:tmpl w:val="DE9A6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03516"/>
    <w:multiLevelType w:val="hybridMultilevel"/>
    <w:tmpl w:val="86D298EA"/>
    <w:lvl w:ilvl="0" w:tplc="F31C30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CC46981"/>
    <w:multiLevelType w:val="hybridMultilevel"/>
    <w:tmpl w:val="2D44F11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3" w15:restartNumberingAfterBreak="0">
    <w:nsid w:val="45A623C1"/>
    <w:multiLevelType w:val="hybridMultilevel"/>
    <w:tmpl w:val="B0ECBA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76B60"/>
    <w:multiLevelType w:val="multilevel"/>
    <w:tmpl w:val="27D21982"/>
    <w:lvl w:ilvl="0">
      <w:start w:val="1"/>
      <w:numFmt w:val="decimal"/>
      <w:lvlText w:val="Čl. %1"/>
      <w:lvlJc w:val="left"/>
      <w:pPr>
        <w:tabs>
          <w:tab w:val="num" w:pos="5115"/>
        </w:tabs>
        <w:ind w:firstLine="113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214"/>
        </w:tabs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5"/>
        </w:tabs>
        <w:ind w:left="925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5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BA418E"/>
    <w:multiLevelType w:val="hybridMultilevel"/>
    <w:tmpl w:val="7280324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9DA0E1F"/>
    <w:multiLevelType w:val="hybridMultilevel"/>
    <w:tmpl w:val="D61C8F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33686B"/>
    <w:multiLevelType w:val="hybridMultilevel"/>
    <w:tmpl w:val="516060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18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103B0"/>
    <w:rsid w:val="00011117"/>
    <w:rsid w:val="0002459F"/>
    <w:rsid w:val="00025CC4"/>
    <w:rsid w:val="000321E5"/>
    <w:rsid w:val="00050AE7"/>
    <w:rsid w:val="00052728"/>
    <w:rsid w:val="00063780"/>
    <w:rsid w:val="000811CF"/>
    <w:rsid w:val="00096B3A"/>
    <w:rsid w:val="000A0DF1"/>
    <w:rsid w:val="000A257E"/>
    <w:rsid w:val="000B0491"/>
    <w:rsid w:val="000B4677"/>
    <w:rsid w:val="000B5B2F"/>
    <w:rsid w:val="000B5FE6"/>
    <w:rsid w:val="000C7842"/>
    <w:rsid w:val="000F5187"/>
    <w:rsid w:val="000F79F3"/>
    <w:rsid w:val="00100836"/>
    <w:rsid w:val="001034A1"/>
    <w:rsid w:val="00105D59"/>
    <w:rsid w:val="001067DC"/>
    <w:rsid w:val="001130C4"/>
    <w:rsid w:val="00163E8C"/>
    <w:rsid w:val="00181A38"/>
    <w:rsid w:val="00183BBE"/>
    <w:rsid w:val="001E1482"/>
    <w:rsid w:val="0020231B"/>
    <w:rsid w:val="002120B4"/>
    <w:rsid w:val="0021652D"/>
    <w:rsid w:val="0022775B"/>
    <w:rsid w:val="00231E2C"/>
    <w:rsid w:val="00235056"/>
    <w:rsid w:val="0023605C"/>
    <w:rsid w:val="0023790E"/>
    <w:rsid w:val="00244B5C"/>
    <w:rsid w:val="00257554"/>
    <w:rsid w:val="00264429"/>
    <w:rsid w:val="00266FFA"/>
    <w:rsid w:val="00271E63"/>
    <w:rsid w:val="002774DA"/>
    <w:rsid w:val="00292337"/>
    <w:rsid w:val="002A1BA3"/>
    <w:rsid w:val="002B6D6F"/>
    <w:rsid w:val="002C1049"/>
    <w:rsid w:val="002C5314"/>
    <w:rsid w:val="002C7ADE"/>
    <w:rsid w:val="002E71DA"/>
    <w:rsid w:val="002F25D1"/>
    <w:rsid w:val="00301AF9"/>
    <w:rsid w:val="00332407"/>
    <w:rsid w:val="003327D8"/>
    <w:rsid w:val="003463FD"/>
    <w:rsid w:val="003723B1"/>
    <w:rsid w:val="00373080"/>
    <w:rsid w:val="00384A2F"/>
    <w:rsid w:val="0038500F"/>
    <w:rsid w:val="00397C07"/>
    <w:rsid w:val="003B31E1"/>
    <w:rsid w:val="003B3E2B"/>
    <w:rsid w:val="003B5D8F"/>
    <w:rsid w:val="003B7F37"/>
    <w:rsid w:val="003C5A6A"/>
    <w:rsid w:val="003D047F"/>
    <w:rsid w:val="003D0506"/>
    <w:rsid w:val="003D3923"/>
    <w:rsid w:val="003F52C1"/>
    <w:rsid w:val="004060C1"/>
    <w:rsid w:val="004063AF"/>
    <w:rsid w:val="0042120F"/>
    <w:rsid w:val="0042291E"/>
    <w:rsid w:val="00430A14"/>
    <w:rsid w:val="004359FB"/>
    <w:rsid w:val="00436C3A"/>
    <w:rsid w:val="0044088A"/>
    <w:rsid w:val="0044133C"/>
    <w:rsid w:val="00444EEC"/>
    <w:rsid w:val="0044618A"/>
    <w:rsid w:val="004461BE"/>
    <w:rsid w:val="004579AA"/>
    <w:rsid w:val="0046457A"/>
    <w:rsid w:val="00470900"/>
    <w:rsid w:val="00473911"/>
    <w:rsid w:val="00476C70"/>
    <w:rsid w:val="00476E8A"/>
    <w:rsid w:val="00477E36"/>
    <w:rsid w:val="00493FCE"/>
    <w:rsid w:val="004A2FD1"/>
    <w:rsid w:val="004A7C41"/>
    <w:rsid w:val="004B173D"/>
    <w:rsid w:val="004B3194"/>
    <w:rsid w:val="004C7D55"/>
    <w:rsid w:val="004D7C44"/>
    <w:rsid w:val="00500598"/>
    <w:rsid w:val="005106A0"/>
    <w:rsid w:val="00520358"/>
    <w:rsid w:val="005206AA"/>
    <w:rsid w:val="005226E3"/>
    <w:rsid w:val="00555F0D"/>
    <w:rsid w:val="005563BC"/>
    <w:rsid w:val="005B37C0"/>
    <w:rsid w:val="005D2F51"/>
    <w:rsid w:val="005E3C24"/>
    <w:rsid w:val="005F3768"/>
    <w:rsid w:val="00671FA5"/>
    <w:rsid w:val="006912A3"/>
    <w:rsid w:val="006946F0"/>
    <w:rsid w:val="006A1770"/>
    <w:rsid w:val="006B0037"/>
    <w:rsid w:val="006B2FDC"/>
    <w:rsid w:val="006B30DF"/>
    <w:rsid w:val="006B5CE3"/>
    <w:rsid w:val="006C4441"/>
    <w:rsid w:val="006E0C0B"/>
    <w:rsid w:val="006F76ED"/>
    <w:rsid w:val="006F79CC"/>
    <w:rsid w:val="00703FC5"/>
    <w:rsid w:val="0070514E"/>
    <w:rsid w:val="007066DE"/>
    <w:rsid w:val="007269E2"/>
    <w:rsid w:val="007278C0"/>
    <w:rsid w:val="00736D8D"/>
    <w:rsid w:val="00741D0B"/>
    <w:rsid w:val="0075515F"/>
    <w:rsid w:val="007635C7"/>
    <w:rsid w:val="00765414"/>
    <w:rsid w:val="00785C0B"/>
    <w:rsid w:val="0079378A"/>
    <w:rsid w:val="00793E4C"/>
    <w:rsid w:val="00795BFC"/>
    <w:rsid w:val="007A1183"/>
    <w:rsid w:val="007A5807"/>
    <w:rsid w:val="007B4E50"/>
    <w:rsid w:val="007B5D6C"/>
    <w:rsid w:val="007C2F74"/>
    <w:rsid w:val="007D093F"/>
    <w:rsid w:val="007D2C8F"/>
    <w:rsid w:val="007D3C35"/>
    <w:rsid w:val="007E74BB"/>
    <w:rsid w:val="0081723F"/>
    <w:rsid w:val="00833203"/>
    <w:rsid w:val="0083334E"/>
    <w:rsid w:val="00833D49"/>
    <w:rsid w:val="00841714"/>
    <w:rsid w:val="00847430"/>
    <w:rsid w:val="0085689E"/>
    <w:rsid w:val="00871C1C"/>
    <w:rsid w:val="00872159"/>
    <w:rsid w:val="00875EC4"/>
    <w:rsid w:val="008777A8"/>
    <w:rsid w:val="008861D4"/>
    <w:rsid w:val="008876E6"/>
    <w:rsid w:val="0089139A"/>
    <w:rsid w:val="008921BB"/>
    <w:rsid w:val="00895136"/>
    <w:rsid w:val="00895FDA"/>
    <w:rsid w:val="008B1CF0"/>
    <w:rsid w:val="008B760A"/>
    <w:rsid w:val="008C5DB6"/>
    <w:rsid w:val="008D3BA8"/>
    <w:rsid w:val="008E30E7"/>
    <w:rsid w:val="008F0DEB"/>
    <w:rsid w:val="008F5C67"/>
    <w:rsid w:val="0090680C"/>
    <w:rsid w:val="00912753"/>
    <w:rsid w:val="00923F3C"/>
    <w:rsid w:val="009443E6"/>
    <w:rsid w:val="00960B8C"/>
    <w:rsid w:val="009671A8"/>
    <w:rsid w:val="00983D74"/>
    <w:rsid w:val="009A6756"/>
    <w:rsid w:val="009B6191"/>
    <w:rsid w:val="009C43AB"/>
    <w:rsid w:val="009C4A6B"/>
    <w:rsid w:val="009C4B01"/>
    <w:rsid w:val="009D7E91"/>
    <w:rsid w:val="009F3B79"/>
    <w:rsid w:val="00A23790"/>
    <w:rsid w:val="00A240B7"/>
    <w:rsid w:val="00A26930"/>
    <w:rsid w:val="00A36E61"/>
    <w:rsid w:val="00A57CDB"/>
    <w:rsid w:val="00A75F27"/>
    <w:rsid w:val="00A77296"/>
    <w:rsid w:val="00A9533B"/>
    <w:rsid w:val="00AB322E"/>
    <w:rsid w:val="00AC0CF5"/>
    <w:rsid w:val="00AD250A"/>
    <w:rsid w:val="00AE5CE3"/>
    <w:rsid w:val="00AF058B"/>
    <w:rsid w:val="00B0045F"/>
    <w:rsid w:val="00B131DD"/>
    <w:rsid w:val="00B1354F"/>
    <w:rsid w:val="00B37892"/>
    <w:rsid w:val="00B414A4"/>
    <w:rsid w:val="00B46DED"/>
    <w:rsid w:val="00B540A0"/>
    <w:rsid w:val="00B5428E"/>
    <w:rsid w:val="00B54858"/>
    <w:rsid w:val="00B6173D"/>
    <w:rsid w:val="00B66E56"/>
    <w:rsid w:val="00B675FA"/>
    <w:rsid w:val="00B74FF7"/>
    <w:rsid w:val="00B85730"/>
    <w:rsid w:val="00B92FED"/>
    <w:rsid w:val="00BA3592"/>
    <w:rsid w:val="00BB3DFB"/>
    <w:rsid w:val="00BB5F42"/>
    <w:rsid w:val="00BB6D01"/>
    <w:rsid w:val="00BB6FFC"/>
    <w:rsid w:val="00BC0C74"/>
    <w:rsid w:val="00BC21DD"/>
    <w:rsid w:val="00BC2DE0"/>
    <w:rsid w:val="00BD36B3"/>
    <w:rsid w:val="00BD50EF"/>
    <w:rsid w:val="00BE62FD"/>
    <w:rsid w:val="00BE6DEF"/>
    <w:rsid w:val="00BF571E"/>
    <w:rsid w:val="00BF6B8F"/>
    <w:rsid w:val="00C066C5"/>
    <w:rsid w:val="00C1739A"/>
    <w:rsid w:val="00C20222"/>
    <w:rsid w:val="00C24708"/>
    <w:rsid w:val="00C33FE4"/>
    <w:rsid w:val="00C34DF8"/>
    <w:rsid w:val="00C42F68"/>
    <w:rsid w:val="00C43175"/>
    <w:rsid w:val="00C63648"/>
    <w:rsid w:val="00C662EE"/>
    <w:rsid w:val="00C7235B"/>
    <w:rsid w:val="00C97A14"/>
    <w:rsid w:val="00CB156E"/>
    <w:rsid w:val="00CB6837"/>
    <w:rsid w:val="00CD400C"/>
    <w:rsid w:val="00D03C31"/>
    <w:rsid w:val="00D325B6"/>
    <w:rsid w:val="00D45E90"/>
    <w:rsid w:val="00D65D85"/>
    <w:rsid w:val="00D6656E"/>
    <w:rsid w:val="00D70651"/>
    <w:rsid w:val="00D70B69"/>
    <w:rsid w:val="00D74442"/>
    <w:rsid w:val="00D86F43"/>
    <w:rsid w:val="00D92AAA"/>
    <w:rsid w:val="00DB1B5E"/>
    <w:rsid w:val="00DB2BBC"/>
    <w:rsid w:val="00DD0EA0"/>
    <w:rsid w:val="00DE2737"/>
    <w:rsid w:val="00E1592B"/>
    <w:rsid w:val="00E15A45"/>
    <w:rsid w:val="00E249D7"/>
    <w:rsid w:val="00E41FD9"/>
    <w:rsid w:val="00E512B0"/>
    <w:rsid w:val="00E53F88"/>
    <w:rsid w:val="00E54018"/>
    <w:rsid w:val="00E67B16"/>
    <w:rsid w:val="00E7691F"/>
    <w:rsid w:val="00E86F4B"/>
    <w:rsid w:val="00E93C67"/>
    <w:rsid w:val="00EB183C"/>
    <w:rsid w:val="00EC16B8"/>
    <w:rsid w:val="00EC572B"/>
    <w:rsid w:val="00ED6E6F"/>
    <w:rsid w:val="00EF59AA"/>
    <w:rsid w:val="00F01D29"/>
    <w:rsid w:val="00F125D7"/>
    <w:rsid w:val="00F149B7"/>
    <w:rsid w:val="00F3762C"/>
    <w:rsid w:val="00F40D9B"/>
    <w:rsid w:val="00F40E66"/>
    <w:rsid w:val="00F44ABD"/>
    <w:rsid w:val="00F467F6"/>
    <w:rsid w:val="00F52359"/>
    <w:rsid w:val="00F52BED"/>
    <w:rsid w:val="00F61156"/>
    <w:rsid w:val="00F63228"/>
    <w:rsid w:val="00F641B3"/>
    <w:rsid w:val="00FA319C"/>
    <w:rsid w:val="00FC145E"/>
    <w:rsid w:val="00FC7C13"/>
    <w:rsid w:val="00FD29B3"/>
    <w:rsid w:val="00FE2126"/>
    <w:rsid w:val="00FE3F88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45F676-4D90-48D9-AA21-08E3AC18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7B4E50"/>
    <w:pPr>
      <w:tabs>
        <w:tab w:val="left" w:pos="851"/>
        <w:tab w:val="right" w:leader="dot" w:pos="9060"/>
      </w:tabs>
      <w:jc w:val="left"/>
    </w:pPr>
    <w:rPr>
      <w:noProof/>
      <w:color w:val="auto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table" w:styleId="Mriekatabuky">
    <w:name w:val="Table Grid"/>
    <w:basedOn w:val="Normlnatabuka"/>
    <w:uiPriority w:val="59"/>
    <w:rsid w:val="002F25D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A1BA3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A1BA3"/>
    <w:pPr>
      <w:jc w:val="left"/>
    </w:pPr>
    <w:rPr>
      <w:rFonts w:ascii="Times New Roman" w:hAnsi="Times New Roman"/>
      <w:color w:val="auto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A1BA3"/>
    <w:rPr>
      <w:rFonts w:cs="Times New Roman"/>
      <w:lang w:val="x-none" w:eastAsia="cs-CZ"/>
    </w:rPr>
  </w:style>
  <w:style w:type="character" w:styleId="Odkaznapoznmkupodiarou">
    <w:name w:val="footnote reference"/>
    <w:basedOn w:val="Predvolenpsmoodseku"/>
    <w:uiPriority w:val="99"/>
    <w:unhideWhenUsed/>
    <w:rsid w:val="002A1BA3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uiPriority w:val="59"/>
    <w:rsid w:val="00F44A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5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2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5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B2D6-2740-4530-BA1B-40AF713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2</cp:revision>
  <cp:lastPrinted>2019-06-05T13:40:00Z</cp:lastPrinted>
  <dcterms:created xsi:type="dcterms:W3CDTF">2019-06-20T08:29:00Z</dcterms:created>
  <dcterms:modified xsi:type="dcterms:W3CDTF">2019-06-20T08:29:00Z</dcterms:modified>
</cp:coreProperties>
</file>