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E3B8FE" w14:textId="3FF64353" w:rsidR="00F60ED9" w:rsidRDefault="00F60ED9" w:rsidP="00F60ED9">
      <w:pPr>
        <w:jc w:val="center"/>
        <w:rPr>
          <w:b/>
        </w:rPr>
      </w:pPr>
      <w:bookmarkStart w:id="0" w:name="_GoBack"/>
      <w:bookmarkEnd w:id="0"/>
      <w:r w:rsidRPr="00DB6FB0">
        <w:rPr>
          <w:b/>
        </w:rPr>
        <w:t xml:space="preserve">Postup </w:t>
      </w:r>
      <w:r>
        <w:rPr>
          <w:b/>
        </w:rPr>
        <w:t>pri výbere žiadateľov, ktorým bude poskytnuté Štipendium Martina Filka</w:t>
      </w:r>
    </w:p>
    <w:p w14:paraId="2B3CAABD" w14:textId="77777777" w:rsidR="00F60ED9" w:rsidRPr="004F347F" w:rsidRDefault="00F60ED9" w:rsidP="00F60ED9">
      <w:pPr>
        <w:pStyle w:val="Nadpis1"/>
        <w:rPr>
          <w:color w:val="auto"/>
        </w:rPr>
      </w:pPr>
      <w:r w:rsidRPr="004F347F">
        <w:rPr>
          <w:color w:val="auto"/>
        </w:rPr>
        <w:t>Čl. 1</w:t>
      </w:r>
    </w:p>
    <w:p w14:paraId="516ECC8E" w14:textId="1B7E9B04" w:rsidR="00F60ED9" w:rsidRDefault="00F60ED9" w:rsidP="00F60ED9">
      <w:pPr>
        <w:pStyle w:val="Odsekzoznamu"/>
        <w:numPr>
          <w:ilvl w:val="0"/>
          <w:numId w:val="1"/>
        </w:numPr>
        <w:ind w:left="0" w:firstLine="0"/>
        <w:jc w:val="both"/>
      </w:pPr>
      <w:r>
        <w:t xml:space="preserve">Činnosti spojené s výberom žiadateľov o poskytnutie Štipendia Martina Filka </w:t>
      </w:r>
      <w:r w:rsidR="00EB0A67">
        <w:t xml:space="preserve">(ďalej len „štipendium“) </w:t>
      </w:r>
      <w:r>
        <w:t>zabezpečuje, organizuje a koordinuje v rámci Ministerstva školstva, vedy, výskumu a športu Slovenskej republiky (ďalej len „ministerstvo“) sekcia vysokých škôl – odbor vysokoškolského vzdelávania v súčinnosti s ostatnými útvarmi ministerstva (príjem žiadostí prostredníctvom podateľne, súčinnosť odboru právn</w:t>
      </w:r>
      <w:r w:rsidR="00BC3048">
        <w:t xml:space="preserve">ych služieb </w:t>
      </w:r>
      <w:r>
        <w:t>pri uzatváraní zmlúv a podobne).</w:t>
      </w:r>
    </w:p>
    <w:p w14:paraId="22AA50C2" w14:textId="7A531E32" w:rsidR="00F60ED9" w:rsidRDefault="00F60ED9" w:rsidP="00F60ED9">
      <w:pPr>
        <w:pStyle w:val="Odsekzoznamu"/>
        <w:numPr>
          <w:ilvl w:val="0"/>
          <w:numId w:val="1"/>
        </w:numPr>
        <w:ind w:left="0" w:firstLine="0"/>
        <w:jc w:val="both"/>
      </w:pPr>
      <w:r>
        <w:t>Po doručení žiadosti vykoná ministerstvo jej formálnu kontrolu. Cieľom formálnej kontroly je preveriť, či je žiadateľ oprávnený požiadať o poskytnutie štipendia a či doručené písomnosti sú úplné a spĺňajú formálne náležitosti uvedené vo výzve</w:t>
      </w:r>
      <w:r w:rsidR="00F60EDC">
        <w:t xml:space="preserve"> na podávanie žiadostí o poskytnutie štipendia Martina Filka na akademický rok 2019/2020 (ďalej len „výzva“).</w:t>
      </w:r>
    </w:p>
    <w:p w14:paraId="7AE8EEE6" w14:textId="4558EB1A" w:rsidR="00F60ED9" w:rsidRDefault="009B7B18" w:rsidP="00F60ED9">
      <w:pPr>
        <w:pStyle w:val="Odsekzoznamu"/>
        <w:numPr>
          <w:ilvl w:val="0"/>
          <w:numId w:val="1"/>
        </w:numPr>
        <w:ind w:left="0" w:firstLine="0"/>
        <w:jc w:val="both"/>
      </w:pPr>
      <w:r>
        <w:t>Ak ministerstvo zistí</w:t>
      </w:r>
      <w:r w:rsidR="00F60ED9">
        <w:t xml:space="preserve">, že žiadosť nespĺňa požiadavky uvedené vo výzve (vysoká škola nie je umiestnená v rebríčkoch na určenom mieste, ide o vysokoškolské vzdelanie prvého stupňa, nejde o občana Slovenskej republiky a podobne), ministerstvo žiadateľovi oznámi, že jeho žiadosť je z ďalšieho procesu vyradená. Súčasne mu oznámi dôvod </w:t>
      </w:r>
      <w:r w:rsidR="00235782">
        <w:t>toh</w:t>
      </w:r>
      <w:r w:rsidR="00F60ED9">
        <w:t>to postupu.</w:t>
      </w:r>
    </w:p>
    <w:p w14:paraId="5521F83F" w14:textId="5960CD7E" w:rsidR="00F60ED9" w:rsidRDefault="009B7B18" w:rsidP="00F60ED9">
      <w:pPr>
        <w:pStyle w:val="Odsekzoznamu"/>
        <w:numPr>
          <w:ilvl w:val="0"/>
          <w:numId w:val="1"/>
        </w:numPr>
        <w:ind w:left="0" w:firstLine="0"/>
        <w:jc w:val="both"/>
      </w:pPr>
      <w:r>
        <w:t>Ak ministerstvo zistí</w:t>
      </w:r>
      <w:r w:rsidR="00F60ED9">
        <w:t xml:space="preserve">, že doručená žiadosť alebo niektorá z jej príloh nie je kompletná alebo nespĺňa formálne náležitosti uvedené vo výzve (žiadosť nie je podpísaná, nie sú vyplnené všetky položky a podobne), ministerstvo kontaktuje žiadateľa prostredníctvom elektronickej pošty a vyzve ho na doplnenie alebo opravu žiadosti v lehote troch pracovných dní od </w:t>
      </w:r>
      <w:r w:rsidR="00235782">
        <w:t>doručenia</w:t>
      </w:r>
      <w:r w:rsidR="00F60ED9">
        <w:t xml:space="preserve"> výzvy. Ak je to postačujúce, opravu doručí žiadateľ len elektronickou formou.</w:t>
      </w:r>
    </w:p>
    <w:p w14:paraId="133D6B1F" w14:textId="450BE295" w:rsidR="00F60ED9" w:rsidRDefault="00F60ED9" w:rsidP="00F60ED9">
      <w:pPr>
        <w:pStyle w:val="Odsekzoznamu"/>
        <w:numPr>
          <w:ilvl w:val="0"/>
          <w:numId w:val="1"/>
        </w:numPr>
        <w:ind w:left="0" w:firstLine="0"/>
        <w:jc w:val="both"/>
      </w:pPr>
      <w:r>
        <w:t xml:space="preserve">Ak žiadateľ nevykoná nápravu v určenej lehote alebo po vykonaní nápravy žiadateľom nedostatky v žiadosti pretrvávajú alebo vznikli nové, pričom </w:t>
      </w:r>
      <w:r w:rsidR="009B7B18">
        <w:t xml:space="preserve">aj </w:t>
      </w:r>
      <w:r>
        <w:t xml:space="preserve"> napriek týmto nedostatkom je možné žiadosť posúdiť, ministerstvo v ďalšom procese upozorní hodnotiteľov a členov </w:t>
      </w:r>
      <w:r w:rsidR="00F60EDC">
        <w:t>K</w:t>
      </w:r>
      <w:r>
        <w:t>omisie</w:t>
      </w:r>
      <w:r w:rsidR="00CE2235">
        <w:t xml:space="preserve"> na posúdenie žiadostí o poskytnutie Štipendia Martina Filka (ďalej len „komisia“)</w:t>
      </w:r>
      <w:r>
        <w:t xml:space="preserve"> na zistené nedostatky v žiadosti.</w:t>
      </w:r>
    </w:p>
    <w:p w14:paraId="36433CC2" w14:textId="77777777" w:rsidR="00F60ED9" w:rsidRDefault="00F60ED9" w:rsidP="00F60ED9">
      <w:pPr>
        <w:pStyle w:val="Odsekzoznamu"/>
        <w:numPr>
          <w:ilvl w:val="0"/>
          <w:numId w:val="1"/>
        </w:numPr>
        <w:ind w:left="0" w:firstLine="0"/>
        <w:jc w:val="both"/>
      </w:pPr>
      <w:r>
        <w:t>Ak žiadateľ nevykoná nápravu v určenej lehote alebo po vykonaní nápravy žiadateľom nedostatky v žiadosti pretrvávajú alebo vznikli nové, pričom zistené nedostatky neumožňujú objektívne posúdenie žiadosti (nejasné študijné náklady a podobne), ministerstvo žiadosť z ďalšieho procesu vyradí, o čom informuje žiadateľa.</w:t>
      </w:r>
    </w:p>
    <w:p w14:paraId="4C7EB6AB" w14:textId="2BF48132" w:rsidR="00F60ED9" w:rsidRDefault="00F60ED9" w:rsidP="00F60ED9">
      <w:pPr>
        <w:pStyle w:val="Odsekzoznamu"/>
        <w:numPr>
          <w:ilvl w:val="0"/>
          <w:numId w:val="1"/>
        </w:numPr>
        <w:ind w:left="0" w:firstLine="0"/>
        <w:jc w:val="both"/>
      </w:pPr>
      <w:r>
        <w:t xml:space="preserve">Ak ministerstvo nezaeviduje doručenie žiadosti v listinnej podobe aj v elektronickej podobe, kontaktuje žiadateľa (telefonicky, emailom alebo inou formou) s cieľom preverenia jeho postupu, </w:t>
      </w:r>
      <w:r w:rsidR="00F60EDC">
        <w:t>alebo s</w:t>
      </w:r>
      <w:r w:rsidR="00050E0F">
        <w:t xml:space="preserve"> </w:t>
      </w:r>
      <w:r>
        <w:t>požiadavkou na preukázanie podania žiadosti na poštovú prepravu v určenom termíne a</w:t>
      </w:r>
      <w:r w:rsidR="00F60EDC">
        <w:t> </w:t>
      </w:r>
      <w:r>
        <w:t>pod</w:t>
      </w:r>
      <w:r w:rsidR="00F60EDC">
        <w:t>obne.</w:t>
      </w:r>
    </w:p>
    <w:p w14:paraId="34328FF2" w14:textId="77777777" w:rsidR="00F60ED9" w:rsidRPr="004F347F" w:rsidRDefault="00F60ED9" w:rsidP="00F60ED9">
      <w:pPr>
        <w:pStyle w:val="Nadpis1"/>
        <w:rPr>
          <w:color w:val="auto"/>
        </w:rPr>
      </w:pPr>
      <w:r w:rsidRPr="004F347F">
        <w:rPr>
          <w:color w:val="auto"/>
        </w:rPr>
        <w:t>Čl. 2</w:t>
      </w:r>
    </w:p>
    <w:p w14:paraId="12C8F7E1" w14:textId="5E0D2E8F" w:rsidR="00F60ED9" w:rsidRDefault="00F60ED9" w:rsidP="00F60ED9">
      <w:pPr>
        <w:pStyle w:val="Odsekzoznamu"/>
        <w:numPr>
          <w:ilvl w:val="0"/>
          <w:numId w:val="2"/>
        </w:numPr>
        <w:ind w:left="0" w:firstLine="0"/>
        <w:jc w:val="both"/>
      </w:pPr>
      <w:r>
        <w:t>Ministerstvo vedie zoznam žiadateľov o poskytnutie štipendia a ku každému žiadateľovi zaznamenáva údaje potrebné k hodnoteniu, na základe vlastnej činnosti alebo na základe činnosti externých hodnotiteľov a členov komisie.</w:t>
      </w:r>
    </w:p>
    <w:p w14:paraId="42DA38B9" w14:textId="1E081B2F" w:rsidR="00F60ED9" w:rsidRDefault="00F60ED9" w:rsidP="00F60ED9">
      <w:pPr>
        <w:pStyle w:val="Odsekzoznamu"/>
        <w:numPr>
          <w:ilvl w:val="0"/>
          <w:numId w:val="2"/>
        </w:numPr>
        <w:ind w:left="0" w:firstLine="0"/>
        <w:jc w:val="both"/>
      </w:pPr>
      <w:r>
        <w:t>Ministerstvo na základe údajov uvedených v žiadosti a po ich verifikáci</w:t>
      </w:r>
      <w:r w:rsidR="00E40F14">
        <w:t>i</w:t>
      </w:r>
      <w:r>
        <w:t xml:space="preserve"> </w:t>
      </w:r>
      <w:r>
        <w:br/>
        <w:t>zostaví rebríček uchádzačov podľa umiestnenia študijnej oblasti v</w:t>
      </w:r>
      <w:r w:rsidR="00F60EDC">
        <w:t> </w:t>
      </w:r>
      <w:r>
        <w:t>rebríčku</w:t>
      </w:r>
      <w:r w:rsidR="00F60EDC">
        <w:t xml:space="preserve"> hodnotenia univerzít ARWU alebo RePEc</w:t>
      </w:r>
      <w:r>
        <w:t xml:space="preserve"> a rebríček uchádzačov podľa výšky študijných nákladov. Najvyšší počet bodov (rovnajúci sa počtu oprávnených žiadateľov) získa žiadateľ, ktorého študijná oblasť sa umiestnila na najvyššom mieste v rebríčku a  najnižší počet bodov získa žiadateľ, ktorého študijná oblasť sa </w:t>
      </w:r>
      <w:r>
        <w:lastRenderedPageBreak/>
        <w:t>umiestnila na najnižšom mieste v rebríčku. Pri zohľadňovaní študijných nákladov získa najvyšší počet bodov žiadateľ, ktorého celkového študijné náklady budú najnižšie a naopak. Následne sa vykoná prepočítanie bodov tak, aby bola dodržaná váha týchto kritérií v prvom kole hodnotenia.</w:t>
      </w:r>
    </w:p>
    <w:p w14:paraId="48BEDDB5" w14:textId="23776E2E" w:rsidR="00F60ED9" w:rsidRDefault="00F60ED9" w:rsidP="00F60ED9">
      <w:pPr>
        <w:pStyle w:val="Odsekzoznamu"/>
        <w:numPr>
          <w:ilvl w:val="0"/>
          <w:numId w:val="2"/>
        </w:numPr>
        <w:ind w:left="0" w:firstLine="0"/>
        <w:jc w:val="both"/>
      </w:pPr>
      <w:r>
        <w:t xml:space="preserve">Po pridelení bodov za umiestnenie v rebríčku a za celkové študijné náklady sprístupní ministerstvo kópie žiadostí oprávnených žiadateľov v elektronickej forme dvom externým hodnotiteľom. Ak to počet žiadostí umožňuje, externé hodnotenie všetkých žiadostí zabezpečujú práve dvaja externí hodnotitelia. Hodnotenie vybraných žiadostí zabezpečí ministerstvo </w:t>
      </w:r>
      <w:r w:rsidR="00F60EDC">
        <w:t xml:space="preserve">prostredníctvom ďalšieho </w:t>
      </w:r>
      <w:r>
        <w:t>extern</w:t>
      </w:r>
      <w:r w:rsidR="00F60EDC">
        <w:t>ého</w:t>
      </w:r>
      <w:r>
        <w:t xml:space="preserve"> hodnotiteľ</w:t>
      </w:r>
      <w:r w:rsidR="00F60EDC">
        <w:t>a</w:t>
      </w:r>
      <w:r>
        <w:t>, ak je u pôvodného externého hodnotiteľa zistený konflikt záujmu (išlo by o hodnotenie blízkej osoby a pod</w:t>
      </w:r>
      <w:r w:rsidR="009B7B18">
        <w:t>obne</w:t>
      </w:r>
      <w:r>
        <w:t>) alebo je to nevyhnutné s ohľadom na počet žiadostí a čas vymedzený na hodnotenie externými hodnotiteľmi. Spolu so žiadosťou ministerstvo poskytne externým hodnotiteľom aj informáciu o umiestnení žiadateľov podľa kritérií v odseku 2.</w:t>
      </w:r>
    </w:p>
    <w:p w14:paraId="5D4C540D" w14:textId="77777777" w:rsidR="00F60ED9" w:rsidRPr="00DC0808" w:rsidRDefault="00F60ED9" w:rsidP="00F60ED9">
      <w:pPr>
        <w:pStyle w:val="Odsekzoznamu"/>
        <w:numPr>
          <w:ilvl w:val="0"/>
          <w:numId w:val="2"/>
        </w:numPr>
        <w:ind w:left="0" w:firstLine="0"/>
        <w:jc w:val="both"/>
        <w:rPr>
          <w:color w:val="000000" w:themeColor="text1"/>
        </w:rPr>
      </w:pPr>
      <w:r>
        <w:t xml:space="preserve">Externí hodnotitelia vykonajú hodnotenie a jeho závery zaznamenajú na hodnotiacom hárku, ktorý im ministerstvo zašle spolu s podrobnými informáciami týkajúcimi sa hodnotenia (škálovanie a podobne). Konečný počet bodov za jednotlivé kritériá hodnotené externými hodnotiteľmi je </w:t>
      </w:r>
      <w:r w:rsidRPr="00DC0808">
        <w:rPr>
          <w:color w:val="000000" w:themeColor="text1"/>
        </w:rPr>
        <w:t>priemer hodnotení.</w:t>
      </w:r>
    </w:p>
    <w:p w14:paraId="544154C2" w14:textId="77777777" w:rsidR="00DC2C12" w:rsidRPr="00DC0808" w:rsidRDefault="00DC2C12" w:rsidP="00F60ED9">
      <w:pPr>
        <w:pStyle w:val="Odsekzoznamu"/>
        <w:numPr>
          <w:ilvl w:val="0"/>
          <w:numId w:val="2"/>
        </w:numPr>
        <w:ind w:left="0" w:firstLine="0"/>
        <w:jc w:val="both"/>
        <w:rPr>
          <w:color w:val="000000" w:themeColor="text1"/>
        </w:rPr>
      </w:pPr>
      <w:r w:rsidRPr="00DC0808">
        <w:rPr>
          <w:color w:val="000000" w:themeColor="text1"/>
        </w:rPr>
        <w:t xml:space="preserve">Minimálny počet bodov na postúpenie do druhého kola hodnotenia je </w:t>
      </w:r>
      <w:r w:rsidRPr="00DC0808">
        <w:rPr>
          <w:b/>
          <w:color w:val="000000" w:themeColor="text1"/>
        </w:rPr>
        <w:t>43 bodov</w:t>
      </w:r>
      <w:r w:rsidRPr="00DC0808">
        <w:rPr>
          <w:color w:val="000000" w:themeColor="text1"/>
        </w:rPr>
        <w:t xml:space="preserve"> z celkového počtu 75 bodov za kritériá hodnotené v prvom kole hodnotenia (bez započítania bodov získaných za hodnotenie celkových študijných nákladov). Žiadosti s nižším </w:t>
      </w:r>
      <w:r w:rsidR="00494256" w:rsidRPr="00DC0808">
        <w:rPr>
          <w:color w:val="000000" w:themeColor="text1"/>
        </w:rPr>
        <w:t>počtom bodov ako 43 sú z</w:t>
      </w:r>
      <w:r w:rsidRPr="00DC0808">
        <w:rPr>
          <w:color w:val="000000" w:themeColor="text1"/>
        </w:rPr>
        <w:t> ďalšieho hodnotenia vylúčené, čo ministerstvo žiadateľom oznámi.</w:t>
      </w:r>
    </w:p>
    <w:p w14:paraId="695D6EBD" w14:textId="6365080E" w:rsidR="00F60ED9" w:rsidRDefault="00F60EDC" w:rsidP="00F60ED9">
      <w:pPr>
        <w:pStyle w:val="Odsekzoznamu"/>
        <w:numPr>
          <w:ilvl w:val="0"/>
          <w:numId w:val="2"/>
        </w:numPr>
        <w:ind w:left="0" w:firstLine="0"/>
        <w:jc w:val="both"/>
      </w:pPr>
      <w:r>
        <w:rPr>
          <w:color w:val="000000" w:themeColor="text1"/>
        </w:rPr>
        <w:t xml:space="preserve">Zo žiadateľov, ktorí v prvom kole získali najmenej 43 bodov, </w:t>
      </w:r>
      <w:r w:rsidR="00DC2C12" w:rsidRPr="00DC0808">
        <w:rPr>
          <w:color w:val="000000" w:themeColor="text1"/>
        </w:rPr>
        <w:t>m</w:t>
      </w:r>
      <w:r w:rsidR="00F60ED9" w:rsidRPr="00DC0808">
        <w:rPr>
          <w:color w:val="000000" w:themeColor="text1"/>
        </w:rPr>
        <w:t xml:space="preserve">inisterstvo zostaví poradie podľa </w:t>
      </w:r>
      <w:r w:rsidR="00494256" w:rsidRPr="00DC0808">
        <w:rPr>
          <w:color w:val="000000" w:themeColor="text1"/>
        </w:rPr>
        <w:t xml:space="preserve">celkového počtu </w:t>
      </w:r>
      <w:r w:rsidR="00F60ED9" w:rsidRPr="00DC0808">
        <w:rPr>
          <w:color w:val="000000" w:themeColor="text1"/>
        </w:rPr>
        <w:t xml:space="preserve">bodov </w:t>
      </w:r>
      <w:r w:rsidR="00FC531A" w:rsidRPr="00DC0808">
        <w:rPr>
          <w:color w:val="000000" w:themeColor="text1"/>
        </w:rPr>
        <w:t xml:space="preserve">získaných </w:t>
      </w:r>
      <w:r w:rsidR="00494256" w:rsidRPr="00DC0808">
        <w:rPr>
          <w:color w:val="000000" w:themeColor="text1"/>
        </w:rPr>
        <w:t>v</w:t>
      </w:r>
      <w:r w:rsidR="00F60ED9" w:rsidRPr="00DC0808">
        <w:rPr>
          <w:color w:val="000000" w:themeColor="text1"/>
        </w:rPr>
        <w:t> prv</w:t>
      </w:r>
      <w:r w:rsidR="00FC531A" w:rsidRPr="00DC0808">
        <w:rPr>
          <w:color w:val="000000" w:themeColor="text1"/>
        </w:rPr>
        <w:t>om</w:t>
      </w:r>
      <w:r w:rsidR="00F60ED9" w:rsidRPr="00DC0808">
        <w:rPr>
          <w:color w:val="000000" w:themeColor="text1"/>
        </w:rPr>
        <w:t xml:space="preserve"> kol</w:t>
      </w:r>
      <w:r w:rsidR="00FC531A" w:rsidRPr="00DC0808">
        <w:rPr>
          <w:color w:val="000000" w:themeColor="text1"/>
        </w:rPr>
        <w:t>e</w:t>
      </w:r>
      <w:r w:rsidR="00F60ED9" w:rsidRPr="00DC0808">
        <w:rPr>
          <w:color w:val="000000" w:themeColor="text1"/>
        </w:rPr>
        <w:t xml:space="preserve"> hodnotenia a prvých deviatich žiadateľov, ktorí získali najväčší počet bodov pozve na osobný pohovor. Tento počet v prípade potreby ministerstvo zvýši. </w:t>
      </w:r>
      <w:r>
        <w:rPr>
          <w:color w:val="000000" w:themeColor="text1"/>
        </w:rPr>
        <w:t xml:space="preserve">Pozvánka </w:t>
      </w:r>
      <w:r w:rsidR="00F60ED9" w:rsidRPr="00DC0808">
        <w:rPr>
          <w:color w:val="000000" w:themeColor="text1"/>
        </w:rPr>
        <w:t xml:space="preserve">sa zasiela elektronickou </w:t>
      </w:r>
      <w:r w:rsidR="00F60ED9">
        <w:t>formou, naj</w:t>
      </w:r>
      <w:r w:rsidR="004A42E3">
        <w:t>neskôr</w:t>
      </w:r>
      <w:r w:rsidR="00F60ED9">
        <w:t xml:space="preserve"> tri pracovné dni vopred. Súčasne ostatným žiadateľom </w:t>
      </w:r>
      <w:r>
        <w:t xml:space="preserve">ministerstvo </w:t>
      </w:r>
      <w:r w:rsidR="00F60ED9">
        <w:t>písomne oznámi, že do druhého kola nepostupujú, čím je prvé kolo hodnotenia skončené.</w:t>
      </w:r>
    </w:p>
    <w:p w14:paraId="406E47D0" w14:textId="35F2EB1C" w:rsidR="00F60ED9" w:rsidRDefault="00F60ED9" w:rsidP="00F60ED9">
      <w:pPr>
        <w:pStyle w:val="Odsekzoznamu"/>
        <w:numPr>
          <w:ilvl w:val="0"/>
          <w:numId w:val="2"/>
        </w:numPr>
        <w:ind w:left="0" w:firstLine="0"/>
      </w:pPr>
      <w:r>
        <w:t>V prvom kole sa aplikujú</w:t>
      </w:r>
      <w:r w:rsidR="009B7B18">
        <w:t xml:space="preserve"> tieto</w:t>
      </w:r>
      <w:r>
        <w:t xml:space="preserve"> kritériá:</w:t>
      </w:r>
    </w:p>
    <w:tbl>
      <w:tblPr>
        <w:tblStyle w:val="Mriekatabuky"/>
        <w:tblW w:w="0" w:type="auto"/>
        <w:tblLayout w:type="fixed"/>
        <w:tblLook w:val="04A0" w:firstRow="1" w:lastRow="0" w:firstColumn="1" w:lastColumn="0" w:noHBand="0" w:noVBand="1"/>
      </w:tblPr>
      <w:tblGrid>
        <w:gridCol w:w="2004"/>
        <w:gridCol w:w="798"/>
        <w:gridCol w:w="850"/>
        <w:gridCol w:w="1843"/>
        <w:gridCol w:w="3260"/>
        <w:gridCol w:w="533"/>
      </w:tblGrid>
      <w:tr w:rsidR="00F60ED9" w14:paraId="7F02EF1B" w14:textId="77777777" w:rsidTr="00987D6E">
        <w:tc>
          <w:tcPr>
            <w:tcW w:w="3652" w:type="dxa"/>
            <w:gridSpan w:val="3"/>
            <w:vAlign w:val="center"/>
          </w:tcPr>
          <w:p w14:paraId="61C5D9C4" w14:textId="77777777" w:rsidR="00F60ED9" w:rsidRDefault="00F60ED9" w:rsidP="00987D6E">
            <w:pPr>
              <w:jc w:val="center"/>
              <w:rPr>
                <w:b/>
              </w:rPr>
            </w:pPr>
            <w:r w:rsidRPr="00034075">
              <w:rPr>
                <w:b/>
              </w:rPr>
              <w:t>Kritérium</w:t>
            </w:r>
            <w:r>
              <w:rPr>
                <w:b/>
              </w:rPr>
              <w:t>, váha kritéria/maximálny počet bodov</w:t>
            </w:r>
          </w:p>
        </w:tc>
        <w:tc>
          <w:tcPr>
            <w:tcW w:w="1843" w:type="dxa"/>
            <w:vAlign w:val="center"/>
          </w:tcPr>
          <w:p w14:paraId="7E4020EC" w14:textId="77777777" w:rsidR="00F60ED9" w:rsidRPr="00034075" w:rsidRDefault="00F60ED9" w:rsidP="00987D6E">
            <w:pPr>
              <w:jc w:val="center"/>
              <w:rPr>
                <w:b/>
              </w:rPr>
            </w:pPr>
            <w:r>
              <w:rPr>
                <w:b/>
              </w:rPr>
              <w:t>Zodpovedný za prideľovanie bodov</w:t>
            </w:r>
          </w:p>
        </w:tc>
        <w:tc>
          <w:tcPr>
            <w:tcW w:w="3793" w:type="dxa"/>
            <w:gridSpan w:val="2"/>
          </w:tcPr>
          <w:p w14:paraId="7D3BED13" w14:textId="77777777" w:rsidR="00F60ED9" w:rsidRDefault="00F60ED9" w:rsidP="00987D6E">
            <w:pPr>
              <w:jc w:val="center"/>
              <w:rPr>
                <w:b/>
              </w:rPr>
            </w:pPr>
            <w:r>
              <w:rPr>
                <w:b/>
              </w:rPr>
              <w:t>Subkritérium, maximálny počet bodov za subkritérium</w:t>
            </w:r>
          </w:p>
        </w:tc>
      </w:tr>
      <w:tr w:rsidR="00F60ED9" w14:paraId="57A2B0FA" w14:textId="77777777" w:rsidTr="00987D6E">
        <w:tc>
          <w:tcPr>
            <w:tcW w:w="2004" w:type="dxa"/>
            <w:vAlign w:val="center"/>
          </w:tcPr>
          <w:p w14:paraId="2E9BCCBB" w14:textId="77777777" w:rsidR="00F60ED9" w:rsidRDefault="00F60ED9" w:rsidP="00987D6E">
            <w:pPr>
              <w:jc w:val="center"/>
            </w:pPr>
            <w:r>
              <w:t>Umiestnenie študijnej oblasti v rebríčku</w:t>
            </w:r>
            <w:r>
              <w:rPr>
                <w:rStyle w:val="Odkaznapoznmkupodiarou"/>
              </w:rPr>
              <w:footnoteReference w:id="1"/>
            </w:r>
          </w:p>
        </w:tc>
        <w:tc>
          <w:tcPr>
            <w:tcW w:w="798" w:type="dxa"/>
            <w:vAlign w:val="center"/>
          </w:tcPr>
          <w:p w14:paraId="2A09E765" w14:textId="77777777" w:rsidR="00F60ED9" w:rsidRDefault="00F60ED9" w:rsidP="00987D6E">
            <w:pPr>
              <w:jc w:val="center"/>
            </w:pPr>
            <w:r>
              <w:t>20%</w:t>
            </w:r>
          </w:p>
        </w:tc>
        <w:tc>
          <w:tcPr>
            <w:tcW w:w="850" w:type="dxa"/>
            <w:vAlign w:val="center"/>
          </w:tcPr>
          <w:p w14:paraId="58FECFC7" w14:textId="77777777" w:rsidR="00F60ED9" w:rsidRDefault="00F60ED9" w:rsidP="00987D6E">
            <w:pPr>
              <w:jc w:val="center"/>
            </w:pPr>
            <w:r>
              <w:t>20</w:t>
            </w:r>
          </w:p>
        </w:tc>
        <w:tc>
          <w:tcPr>
            <w:tcW w:w="1843" w:type="dxa"/>
            <w:vAlign w:val="center"/>
          </w:tcPr>
          <w:p w14:paraId="4275E713" w14:textId="77777777" w:rsidR="00F60ED9" w:rsidRDefault="00F60ED9" w:rsidP="00987D6E">
            <w:pPr>
              <w:jc w:val="center"/>
            </w:pPr>
            <w:r>
              <w:t>Ministerstvo, na základe rebríčka vytvoreného zo všetkých oprávnených žiadateľov</w:t>
            </w:r>
          </w:p>
        </w:tc>
        <w:tc>
          <w:tcPr>
            <w:tcW w:w="3793" w:type="dxa"/>
            <w:gridSpan w:val="2"/>
          </w:tcPr>
          <w:p w14:paraId="402E9F51" w14:textId="77777777" w:rsidR="00F60ED9" w:rsidRDefault="00F60ED9" w:rsidP="00987D6E">
            <w:pPr>
              <w:jc w:val="center"/>
            </w:pPr>
            <w:r>
              <w:t>Nie je</w:t>
            </w:r>
          </w:p>
        </w:tc>
      </w:tr>
      <w:tr w:rsidR="00F60ED9" w14:paraId="75B9EF60" w14:textId="77777777" w:rsidTr="00987D6E">
        <w:tc>
          <w:tcPr>
            <w:tcW w:w="2004" w:type="dxa"/>
            <w:vAlign w:val="center"/>
          </w:tcPr>
          <w:p w14:paraId="176C5CC3" w14:textId="77777777" w:rsidR="00F60ED9" w:rsidRDefault="00F60ED9" w:rsidP="00987D6E">
            <w:pPr>
              <w:jc w:val="center"/>
            </w:pPr>
            <w:r>
              <w:t>Celkové študijné náklady</w:t>
            </w:r>
          </w:p>
        </w:tc>
        <w:tc>
          <w:tcPr>
            <w:tcW w:w="798" w:type="dxa"/>
            <w:vAlign w:val="center"/>
          </w:tcPr>
          <w:p w14:paraId="332F5492" w14:textId="77777777" w:rsidR="00F60ED9" w:rsidRDefault="00F60ED9" w:rsidP="00987D6E">
            <w:pPr>
              <w:jc w:val="center"/>
            </w:pPr>
            <w:r>
              <w:t>25%</w:t>
            </w:r>
          </w:p>
        </w:tc>
        <w:tc>
          <w:tcPr>
            <w:tcW w:w="850" w:type="dxa"/>
            <w:vAlign w:val="center"/>
          </w:tcPr>
          <w:p w14:paraId="39CC3391" w14:textId="77777777" w:rsidR="00F60ED9" w:rsidRDefault="00F60ED9" w:rsidP="00987D6E">
            <w:pPr>
              <w:jc w:val="center"/>
            </w:pPr>
            <w:r>
              <w:t>25</w:t>
            </w:r>
          </w:p>
        </w:tc>
        <w:tc>
          <w:tcPr>
            <w:tcW w:w="1843" w:type="dxa"/>
            <w:vAlign w:val="center"/>
          </w:tcPr>
          <w:p w14:paraId="69E302F0" w14:textId="77777777" w:rsidR="00F60ED9" w:rsidRDefault="00F60ED9" w:rsidP="00987D6E">
            <w:pPr>
              <w:jc w:val="center"/>
            </w:pPr>
            <w:r>
              <w:t>Ministerstvo, na základe rebríčka vytvoreného zo všetkých oprávnených žiadateľov</w:t>
            </w:r>
          </w:p>
        </w:tc>
        <w:tc>
          <w:tcPr>
            <w:tcW w:w="3793" w:type="dxa"/>
            <w:gridSpan w:val="2"/>
          </w:tcPr>
          <w:p w14:paraId="44F4930B" w14:textId="77777777" w:rsidR="00F60ED9" w:rsidRDefault="00F60ED9" w:rsidP="00987D6E">
            <w:pPr>
              <w:jc w:val="center"/>
            </w:pPr>
            <w:r>
              <w:t>Nie je</w:t>
            </w:r>
          </w:p>
        </w:tc>
      </w:tr>
      <w:tr w:rsidR="00F60ED9" w14:paraId="0507FF91" w14:textId="77777777" w:rsidTr="00987D6E">
        <w:trPr>
          <w:trHeight w:val="360"/>
        </w:trPr>
        <w:tc>
          <w:tcPr>
            <w:tcW w:w="2004" w:type="dxa"/>
            <w:vMerge w:val="restart"/>
            <w:vAlign w:val="center"/>
          </w:tcPr>
          <w:p w14:paraId="792122AB" w14:textId="77777777" w:rsidR="00F60ED9" w:rsidRDefault="00F60ED9" w:rsidP="00987D6E">
            <w:pPr>
              <w:jc w:val="center"/>
            </w:pPr>
            <w:r>
              <w:t xml:space="preserve">Spracovanie dát, </w:t>
            </w:r>
            <w:r>
              <w:lastRenderedPageBreak/>
              <w:t>analytické a koncepčné myslenie</w:t>
            </w:r>
          </w:p>
        </w:tc>
        <w:tc>
          <w:tcPr>
            <w:tcW w:w="798" w:type="dxa"/>
            <w:vMerge w:val="restart"/>
            <w:vAlign w:val="center"/>
          </w:tcPr>
          <w:p w14:paraId="073BF070" w14:textId="77777777" w:rsidR="00F60ED9" w:rsidRDefault="00F60ED9" w:rsidP="00987D6E">
            <w:pPr>
              <w:jc w:val="center"/>
            </w:pPr>
            <w:r>
              <w:lastRenderedPageBreak/>
              <w:t>20%</w:t>
            </w:r>
          </w:p>
        </w:tc>
        <w:tc>
          <w:tcPr>
            <w:tcW w:w="850" w:type="dxa"/>
            <w:vMerge w:val="restart"/>
            <w:vAlign w:val="center"/>
          </w:tcPr>
          <w:p w14:paraId="2183A4F9" w14:textId="77777777" w:rsidR="00F60ED9" w:rsidRDefault="00F60ED9" w:rsidP="00987D6E">
            <w:pPr>
              <w:jc w:val="center"/>
            </w:pPr>
            <w:r>
              <w:t>20</w:t>
            </w:r>
          </w:p>
        </w:tc>
        <w:tc>
          <w:tcPr>
            <w:tcW w:w="1843" w:type="dxa"/>
            <w:vMerge w:val="restart"/>
            <w:vAlign w:val="center"/>
          </w:tcPr>
          <w:p w14:paraId="525CA558" w14:textId="77777777" w:rsidR="00F60ED9" w:rsidRDefault="00F60ED9" w:rsidP="00987D6E">
            <w:pPr>
              <w:jc w:val="center"/>
            </w:pPr>
            <w:r w:rsidRPr="00A6216B">
              <w:t xml:space="preserve">Externí </w:t>
            </w:r>
            <w:r w:rsidRPr="00A6216B">
              <w:lastRenderedPageBreak/>
              <w:t>hodnotitelia</w:t>
            </w:r>
          </w:p>
        </w:tc>
        <w:tc>
          <w:tcPr>
            <w:tcW w:w="3260" w:type="dxa"/>
          </w:tcPr>
          <w:p w14:paraId="47400659" w14:textId="77777777" w:rsidR="00F60ED9" w:rsidRDefault="00F60ED9" w:rsidP="00987D6E">
            <w:pPr>
              <w:jc w:val="center"/>
            </w:pPr>
            <w:r>
              <w:lastRenderedPageBreak/>
              <w:t>Práca</w:t>
            </w:r>
            <w:r w:rsidRPr="00D56034">
              <w:t xml:space="preserve"> s</w:t>
            </w:r>
            <w:r>
              <w:t> </w:t>
            </w:r>
            <w:r w:rsidRPr="00D56034">
              <w:t>databázami</w:t>
            </w:r>
            <w:r>
              <w:t xml:space="preserve"> a </w:t>
            </w:r>
            <w:r w:rsidRPr="00D56034">
              <w:t xml:space="preserve">štatistickým </w:t>
            </w:r>
            <w:r w:rsidRPr="00D56034">
              <w:lastRenderedPageBreak/>
              <w:t>softvérom /E-view, MatLab a pod./</w:t>
            </w:r>
          </w:p>
        </w:tc>
        <w:tc>
          <w:tcPr>
            <w:tcW w:w="533" w:type="dxa"/>
          </w:tcPr>
          <w:p w14:paraId="7E4054F4" w14:textId="77777777" w:rsidR="00F60ED9" w:rsidRDefault="00F60ED9" w:rsidP="00987D6E">
            <w:pPr>
              <w:jc w:val="center"/>
            </w:pPr>
            <w:r>
              <w:lastRenderedPageBreak/>
              <w:t>6,5</w:t>
            </w:r>
          </w:p>
        </w:tc>
      </w:tr>
      <w:tr w:rsidR="00F60ED9" w14:paraId="7BBC54FC" w14:textId="77777777" w:rsidTr="00987D6E">
        <w:trPr>
          <w:trHeight w:val="360"/>
        </w:trPr>
        <w:tc>
          <w:tcPr>
            <w:tcW w:w="2004" w:type="dxa"/>
            <w:vMerge/>
            <w:vAlign w:val="center"/>
          </w:tcPr>
          <w:p w14:paraId="1EE418F2" w14:textId="77777777" w:rsidR="00F60ED9" w:rsidRDefault="00F60ED9" w:rsidP="00987D6E">
            <w:pPr>
              <w:jc w:val="center"/>
            </w:pPr>
          </w:p>
        </w:tc>
        <w:tc>
          <w:tcPr>
            <w:tcW w:w="798" w:type="dxa"/>
            <w:vMerge/>
            <w:vAlign w:val="center"/>
          </w:tcPr>
          <w:p w14:paraId="2F9DC964" w14:textId="77777777" w:rsidR="00F60ED9" w:rsidRDefault="00F60ED9" w:rsidP="00987D6E">
            <w:pPr>
              <w:jc w:val="center"/>
            </w:pPr>
          </w:p>
        </w:tc>
        <w:tc>
          <w:tcPr>
            <w:tcW w:w="850" w:type="dxa"/>
            <w:vMerge/>
            <w:vAlign w:val="center"/>
          </w:tcPr>
          <w:p w14:paraId="5343D41F" w14:textId="77777777" w:rsidR="00F60ED9" w:rsidRDefault="00F60ED9" w:rsidP="00987D6E">
            <w:pPr>
              <w:jc w:val="center"/>
            </w:pPr>
          </w:p>
        </w:tc>
        <w:tc>
          <w:tcPr>
            <w:tcW w:w="1843" w:type="dxa"/>
            <w:vMerge/>
            <w:vAlign w:val="center"/>
          </w:tcPr>
          <w:p w14:paraId="6C2D9E72" w14:textId="77777777" w:rsidR="00F60ED9" w:rsidRPr="00A6216B" w:rsidRDefault="00F60ED9" w:rsidP="00987D6E">
            <w:pPr>
              <w:jc w:val="center"/>
            </w:pPr>
          </w:p>
        </w:tc>
        <w:tc>
          <w:tcPr>
            <w:tcW w:w="3260" w:type="dxa"/>
          </w:tcPr>
          <w:p w14:paraId="2D247EEA" w14:textId="77777777" w:rsidR="00F60ED9" w:rsidRDefault="00F60ED9" w:rsidP="00987D6E">
            <w:pPr>
              <w:jc w:val="center"/>
            </w:pPr>
            <w:r>
              <w:t>Š</w:t>
            </w:r>
            <w:r w:rsidRPr="00D56034">
              <w:t>tatistik</w:t>
            </w:r>
            <w:r>
              <w:t>a, ekonometria</w:t>
            </w:r>
            <w:r w:rsidRPr="00D56034">
              <w:t>, matematické modelovania a pod.</w:t>
            </w:r>
          </w:p>
        </w:tc>
        <w:tc>
          <w:tcPr>
            <w:tcW w:w="533" w:type="dxa"/>
          </w:tcPr>
          <w:p w14:paraId="6C25A874" w14:textId="77777777" w:rsidR="00F60ED9" w:rsidRDefault="00F60ED9" w:rsidP="00987D6E">
            <w:pPr>
              <w:jc w:val="center"/>
            </w:pPr>
            <w:r>
              <w:t>6,5</w:t>
            </w:r>
          </w:p>
        </w:tc>
      </w:tr>
      <w:tr w:rsidR="00F60ED9" w14:paraId="0BD67D02" w14:textId="77777777" w:rsidTr="00987D6E">
        <w:trPr>
          <w:trHeight w:val="360"/>
        </w:trPr>
        <w:tc>
          <w:tcPr>
            <w:tcW w:w="2004" w:type="dxa"/>
            <w:vMerge/>
            <w:vAlign w:val="center"/>
          </w:tcPr>
          <w:p w14:paraId="031548A7" w14:textId="77777777" w:rsidR="00F60ED9" w:rsidRDefault="00F60ED9" w:rsidP="00987D6E">
            <w:pPr>
              <w:jc w:val="center"/>
            </w:pPr>
          </w:p>
        </w:tc>
        <w:tc>
          <w:tcPr>
            <w:tcW w:w="798" w:type="dxa"/>
            <w:vMerge/>
            <w:vAlign w:val="center"/>
          </w:tcPr>
          <w:p w14:paraId="6290E0F1" w14:textId="77777777" w:rsidR="00F60ED9" w:rsidRDefault="00F60ED9" w:rsidP="00987D6E">
            <w:pPr>
              <w:jc w:val="center"/>
            </w:pPr>
          </w:p>
        </w:tc>
        <w:tc>
          <w:tcPr>
            <w:tcW w:w="850" w:type="dxa"/>
            <w:vMerge/>
            <w:vAlign w:val="center"/>
          </w:tcPr>
          <w:p w14:paraId="6B12792F" w14:textId="77777777" w:rsidR="00F60ED9" w:rsidRDefault="00F60ED9" w:rsidP="00987D6E">
            <w:pPr>
              <w:jc w:val="center"/>
            </w:pPr>
          </w:p>
        </w:tc>
        <w:tc>
          <w:tcPr>
            <w:tcW w:w="1843" w:type="dxa"/>
            <w:vMerge/>
            <w:vAlign w:val="center"/>
          </w:tcPr>
          <w:p w14:paraId="3EBFE5AD" w14:textId="77777777" w:rsidR="00F60ED9" w:rsidRPr="00A6216B" w:rsidRDefault="00F60ED9" w:rsidP="00987D6E">
            <w:pPr>
              <w:jc w:val="center"/>
            </w:pPr>
          </w:p>
        </w:tc>
        <w:tc>
          <w:tcPr>
            <w:tcW w:w="3260" w:type="dxa"/>
          </w:tcPr>
          <w:p w14:paraId="62DB0360" w14:textId="77777777" w:rsidR="00F60ED9" w:rsidRDefault="00F60ED9" w:rsidP="00987D6E">
            <w:pPr>
              <w:jc w:val="center"/>
            </w:pPr>
            <w:r>
              <w:t>Skúsenosti s tvorbou analytických a koncepčných výstupov</w:t>
            </w:r>
          </w:p>
        </w:tc>
        <w:tc>
          <w:tcPr>
            <w:tcW w:w="533" w:type="dxa"/>
          </w:tcPr>
          <w:p w14:paraId="071D5870" w14:textId="77777777" w:rsidR="00F60ED9" w:rsidRDefault="00F60ED9" w:rsidP="00987D6E">
            <w:pPr>
              <w:jc w:val="center"/>
            </w:pPr>
            <w:r>
              <w:t>7</w:t>
            </w:r>
          </w:p>
        </w:tc>
      </w:tr>
      <w:tr w:rsidR="00F60ED9" w14:paraId="689A5FC6" w14:textId="77777777" w:rsidTr="00987D6E">
        <w:trPr>
          <w:trHeight w:val="163"/>
        </w:trPr>
        <w:tc>
          <w:tcPr>
            <w:tcW w:w="2004" w:type="dxa"/>
            <w:vMerge w:val="restart"/>
            <w:vAlign w:val="center"/>
          </w:tcPr>
          <w:p w14:paraId="3E8671AB" w14:textId="77777777" w:rsidR="00F60ED9" w:rsidRDefault="00F60ED9" w:rsidP="00987D6E">
            <w:pPr>
              <w:jc w:val="center"/>
            </w:pPr>
            <w:r>
              <w:t>Životopis</w:t>
            </w:r>
          </w:p>
        </w:tc>
        <w:tc>
          <w:tcPr>
            <w:tcW w:w="798" w:type="dxa"/>
            <w:vMerge w:val="restart"/>
            <w:vAlign w:val="center"/>
          </w:tcPr>
          <w:p w14:paraId="46C392F3" w14:textId="77777777" w:rsidR="00F60ED9" w:rsidRDefault="00F60ED9" w:rsidP="00987D6E">
            <w:pPr>
              <w:jc w:val="center"/>
            </w:pPr>
            <w:r>
              <w:t>25%</w:t>
            </w:r>
          </w:p>
        </w:tc>
        <w:tc>
          <w:tcPr>
            <w:tcW w:w="850" w:type="dxa"/>
            <w:vMerge w:val="restart"/>
            <w:vAlign w:val="center"/>
          </w:tcPr>
          <w:p w14:paraId="57E94859" w14:textId="77777777" w:rsidR="00F60ED9" w:rsidRPr="00A6216B" w:rsidRDefault="00F60ED9" w:rsidP="00987D6E">
            <w:pPr>
              <w:jc w:val="center"/>
            </w:pPr>
            <w:r>
              <w:t>25</w:t>
            </w:r>
          </w:p>
        </w:tc>
        <w:tc>
          <w:tcPr>
            <w:tcW w:w="1843" w:type="dxa"/>
            <w:vMerge w:val="restart"/>
            <w:vAlign w:val="center"/>
          </w:tcPr>
          <w:p w14:paraId="2B895088" w14:textId="77777777" w:rsidR="00F60ED9" w:rsidRDefault="00F60ED9" w:rsidP="00987D6E">
            <w:pPr>
              <w:jc w:val="center"/>
            </w:pPr>
            <w:r w:rsidRPr="00A6216B">
              <w:t>Externí hodnotitelia</w:t>
            </w:r>
          </w:p>
        </w:tc>
        <w:tc>
          <w:tcPr>
            <w:tcW w:w="3260" w:type="dxa"/>
          </w:tcPr>
          <w:p w14:paraId="4DE32ED9" w14:textId="77777777" w:rsidR="00F60ED9" w:rsidRPr="00A6216B" w:rsidRDefault="00F60ED9" w:rsidP="00987D6E">
            <w:pPr>
              <w:jc w:val="center"/>
            </w:pPr>
            <w:r>
              <w:t>Mimoškolské aktivity</w:t>
            </w:r>
          </w:p>
        </w:tc>
        <w:tc>
          <w:tcPr>
            <w:tcW w:w="533" w:type="dxa"/>
          </w:tcPr>
          <w:p w14:paraId="1F891293" w14:textId="77777777" w:rsidR="00F60ED9" w:rsidRPr="00A6216B" w:rsidRDefault="00F60ED9" w:rsidP="00987D6E">
            <w:pPr>
              <w:jc w:val="center"/>
            </w:pPr>
            <w:r>
              <w:t>10</w:t>
            </w:r>
          </w:p>
        </w:tc>
      </w:tr>
      <w:tr w:rsidR="00F60ED9" w14:paraId="4654C242" w14:textId="77777777" w:rsidTr="00987D6E">
        <w:trPr>
          <w:trHeight w:val="163"/>
        </w:trPr>
        <w:tc>
          <w:tcPr>
            <w:tcW w:w="2004" w:type="dxa"/>
            <w:vMerge/>
            <w:vAlign w:val="center"/>
          </w:tcPr>
          <w:p w14:paraId="05592EFC" w14:textId="77777777" w:rsidR="00F60ED9" w:rsidRDefault="00F60ED9" w:rsidP="00987D6E">
            <w:pPr>
              <w:jc w:val="center"/>
            </w:pPr>
          </w:p>
        </w:tc>
        <w:tc>
          <w:tcPr>
            <w:tcW w:w="798" w:type="dxa"/>
            <w:vMerge/>
            <w:vAlign w:val="center"/>
          </w:tcPr>
          <w:p w14:paraId="496C3D48" w14:textId="77777777" w:rsidR="00F60ED9" w:rsidRDefault="00F60ED9" w:rsidP="00987D6E">
            <w:pPr>
              <w:jc w:val="center"/>
            </w:pPr>
          </w:p>
        </w:tc>
        <w:tc>
          <w:tcPr>
            <w:tcW w:w="850" w:type="dxa"/>
            <w:vMerge/>
            <w:vAlign w:val="center"/>
          </w:tcPr>
          <w:p w14:paraId="5877D4C9" w14:textId="77777777" w:rsidR="00F60ED9" w:rsidRDefault="00F60ED9" w:rsidP="00987D6E">
            <w:pPr>
              <w:jc w:val="center"/>
            </w:pPr>
          </w:p>
        </w:tc>
        <w:tc>
          <w:tcPr>
            <w:tcW w:w="1843" w:type="dxa"/>
            <w:vMerge/>
            <w:vAlign w:val="center"/>
          </w:tcPr>
          <w:p w14:paraId="082B16DD" w14:textId="77777777" w:rsidR="00F60ED9" w:rsidRPr="00A6216B" w:rsidRDefault="00F60ED9" w:rsidP="00987D6E">
            <w:pPr>
              <w:jc w:val="center"/>
            </w:pPr>
          </w:p>
        </w:tc>
        <w:tc>
          <w:tcPr>
            <w:tcW w:w="3260" w:type="dxa"/>
          </w:tcPr>
          <w:p w14:paraId="7818C8B7" w14:textId="77777777" w:rsidR="00F60ED9" w:rsidRPr="00A6216B" w:rsidRDefault="00F60ED9" w:rsidP="00987D6E">
            <w:pPr>
              <w:jc w:val="center"/>
            </w:pPr>
            <w:r>
              <w:t>Pracovné skúsenosti</w:t>
            </w:r>
          </w:p>
        </w:tc>
        <w:tc>
          <w:tcPr>
            <w:tcW w:w="533" w:type="dxa"/>
          </w:tcPr>
          <w:p w14:paraId="69D909AB" w14:textId="77777777" w:rsidR="00F60ED9" w:rsidRPr="00A6216B" w:rsidRDefault="00F60ED9" w:rsidP="00987D6E">
            <w:pPr>
              <w:jc w:val="center"/>
            </w:pPr>
            <w:r>
              <w:t>10</w:t>
            </w:r>
          </w:p>
        </w:tc>
      </w:tr>
      <w:tr w:rsidR="00F60ED9" w14:paraId="0D837A35" w14:textId="77777777" w:rsidTr="00987D6E">
        <w:trPr>
          <w:trHeight w:val="163"/>
        </w:trPr>
        <w:tc>
          <w:tcPr>
            <w:tcW w:w="2004" w:type="dxa"/>
            <w:vMerge/>
            <w:vAlign w:val="center"/>
          </w:tcPr>
          <w:p w14:paraId="3CAD2F59" w14:textId="77777777" w:rsidR="00F60ED9" w:rsidRDefault="00F60ED9" w:rsidP="00987D6E">
            <w:pPr>
              <w:jc w:val="center"/>
            </w:pPr>
          </w:p>
        </w:tc>
        <w:tc>
          <w:tcPr>
            <w:tcW w:w="798" w:type="dxa"/>
            <w:vMerge/>
            <w:vAlign w:val="center"/>
          </w:tcPr>
          <w:p w14:paraId="5AFE4D36" w14:textId="77777777" w:rsidR="00F60ED9" w:rsidRDefault="00F60ED9" w:rsidP="00987D6E">
            <w:pPr>
              <w:jc w:val="center"/>
            </w:pPr>
          </w:p>
        </w:tc>
        <w:tc>
          <w:tcPr>
            <w:tcW w:w="850" w:type="dxa"/>
            <w:vMerge/>
            <w:vAlign w:val="center"/>
          </w:tcPr>
          <w:p w14:paraId="68E4EF53" w14:textId="77777777" w:rsidR="00F60ED9" w:rsidRDefault="00F60ED9" w:rsidP="00987D6E">
            <w:pPr>
              <w:jc w:val="center"/>
            </w:pPr>
          </w:p>
        </w:tc>
        <w:tc>
          <w:tcPr>
            <w:tcW w:w="1843" w:type="dxa"/>
            <w:vMerge/>
            <w:vAlign w:val="center"/>
          </w:tcPr>
          <w:p w14:paraId="31BE33C5" w14:textId="77777777" w:rsidR="00F60ED9" w:rsidRPr="00A6216B" w:rsidRDefault="00F60ED9" w:rsidP="00987D6E">
            <w:pPr>
              <w:jc w:val="center"/>
            </w:pPr>
          </w:p>
        </w:tc>
        <w:tc>
          <w:tcPr>
            <w:tcW w:w="3260" w:type="dxa"/>
          </w:tcPr>
          <w:p w14:paraId="68D4E6A1" w14:textId="77777777" w:rsidR="00F60ED9" w:rsidRPr="00A6216B" w:rsidRDefault="00F60ED9" w:rsidP="00987D6E">
            <w:pPr>
              <w:jc w:val="center"/>
            </w:pPr>
            <w:r>
              <w:t>Ovládanie jazykov</w:t>
            </w:r>
          </w:p>
        </w:tc>
        <w:tc>
          <w:tcPr>
            <w:tcW w:w="533" w:type="dxa"/>
          </w:tcPr>
          <w:p w14:paraId="4AA09511" w14:textId="77777777" w:rsidR="00F60ED9" w:rsidRPr="00A6216B" w:rsidRDefault="00F60ED9" w:rsidP="00987D6E">
            <w:pPr>
              <w:jc w:val="center"/>
            </w:pPr>
            <w:r>
              <w:t>5</w:t>
            </w:r>
          </w:p>
        </w:tc>
      </w:tr>
      <w:tr w:rsidR="00F60ED9" w14:paraId="0EEBFAE3" w14:textId="77777777" w:rsidTr="00987D6E">
        <w:trPr>
          <w:trHeight w:val="123"/>
        </w:trPr>
        <w:tc>
          <w:tcPr>
            <w:tcW w:w="2004" w:type="dxa"/>
            <w:vMerge w:val="restart"/>
            <w:vAlign w:val="center"/>
          </w:tcPr>
          <w:p w14:paraId="07F3EC3E" w14:textId="77777777" w:rsidR="00F60ED9" w:rsidRDefault="00F60ED9" w:rsidP="00987D6E">
            <w:pPr>
              <w:jc w:val="center"/>
            </w:pPr>
            <w:r>
              <w:t>Motivačný list</w:t>
            </w:r>
          </w:p>
        </w:tc>
        <w:tc>
          <w:tcPr>
            <w:tcW w:w="798" w:type="dxa"/>
            <w:vMerge w:val="restart"/>
            <w:vAlign w:val="center"/>
          </w:tcPr>
          <w:p w14:paraId="33BAC7B6" w14:textId="77777777" w:rsidR="00F60ED9" w:rsidRDefault="00F60ED9" w:rsidP="00987D6E">
            <w:pPr>
              <w:jc w:val="center"/>
            </w:pPr>
            <w:r>
              <w:t>10%</w:t>
            </w:r>
          </w:p>
        </w:tc>
        <w:tc>
          <w:tcPr>
            <w:tcW w:w="850" w:type="dxa"/>
            <w:vMerge w:val="restart"/>
            <w:vAlign w:val="center"/>
          </w:tcPr>
          <w:p w14:paraId="1F8C6C02" w14:textId="77777777" w:rsidR="00F60ED9" w:rsidRPr="00A6216B" w:rsidRDefault="00F60ED9" w:rsidP="00987D6E">
            <w:pPr>
              <w:jc w:val="center"/>
            </w:pPr>
            <w:r>
              <w:t>10</w:t>
            </w:r>
          </w:p>
        </w:tc>
        <w:tc>
          <w:tcPr>
            <w:tcW w:w="1843" w:type="dxa"/>
            <w:vMerge w:val="restart"/>
            <w:vAlign w:val="center"/>
          </w:tcPr>
          <w:p w14:paraId="691848DD" w14:textId="77777777" w:rsidR="00F60ED9" w:rsidRDefault="00F60ED9" w:rsidP="00987D6E">
            <w:pPr>
              <w:jc w:val="center"/>
            </w:pPr>
            <w:r w:rsidRPr="00A6216B">
              <w:t>Externí hodnotitelia</w:t>
            </w:r>
          </w:p>
        </w:tc>
        <w:tc>
          <w:tcPr>
            <w:tcW w:w="3260" w:type="dxa"/>
          </w:tcPr>
          <w:p w14:paraId="63B032B4" w14:textId="77777777" w:rsidR="00F60ED9" w:rsidRPr="00A6216B" w:rsidRDefault="00F60ED9" w:rsidP="00987D6E">
            <w:pPr>
              <w:jc w:val="center"/>
            </w:pPr>
            <w:r>
              <w:t>Úplnosť z pohľadu výzvy</w:t>
            </w:r>
          </w:p>
        </w:tc>
        <w:tc>
          <w:tcPr>
            <w:tcW w:w="533" w:type="dxa"/>
          </w:tcPr>
          <w:p w14:paraId="79961D39" w14:textId="77777777" w:rsidR="00F60ED9" w:rsidRPr="00A6216B" w:rsidRDefault="00F60ED9" w:rsidP="00987D6E">
            <w:pPr>
              <w:jc w:val="center"/>
            </w:pPr>
            <w:r>
              <w:t>2</w:t>
            </w:r>
          </w:p>
        </w:tc>
      </w:tr>
      <w:tr w:rsidR="00F60ED9" w14:paraId="3F96BA3A" w14:textId="77777777" w:rsidTr="00987D6E">
        <w:trPr>
          <w:trHeight w:val="122"/>
        </w:trPr>
        <w:tc>
          <w:tcPr>
            <w:tcW w:w="2004" w:type="dxa"/>
            <w:vMerge/>
            <w:vAlign w:val="center"/>
          </w:tcPr>
          <w:p w14:paraId="0E048E97" w14:textId="77777777" w:rsidR="00F60ED9" w:rsidRDefault="00F60ED9" w:rsidP="00987D6E">
            <w:pPr>
              <w:jc w:val="center"/>
            </w:pPr>
          </w:p>
        </w:tc>
        <w:tc>
          <w:tcPr>
            <w:tcW w:w="798" w:type="dxa"/>
            <w:vMerge/>
            <w:vAlign w:val="center"/>
          </w:tcPr>
          <w:p w14:paraId="5FDEEC34" w14:textId="77777777" w:rsidR="00F60ED9" w:rsidRDefault="00F60ED9" w:rsidP="00987D6E">
            <w:pPr>
              <w:jc w:val="center"/>
            </w:pPr>
          </w:p>
        </w:tc>
        <w:tc>
          <w:tcPr>
            <w:tcW w:w="850" w:type="dxa"/>
            <w:vMerge/>
          </w:tcPr>
          <w:p w14:paraId="06186D52" w14:textId="77777777" w:rsidR="00F60ED9" w:rsidRDefault="00F60ED9" w:rsidP="00987D6E">
            <w:pPr>
              <w:jc w:val="center"/>
            </w:pPr>
          </w:p>
        </w:tc>
        <w:tc>
          <w:tcPr>
            <w:tcW w:w="1843" w:type="dxa"/>
            <w:vMerge/>
            <w:vAlign w:val="center"/>
          </w:tcPr>
          <w:p w14:paraId="7226A1E0" w14:textId="77777777" w:rsidR="00F60ED9" w:rsidRPr="00A6216B" w:rsidRDefault="00F60ED9" w:rsidP="00987D6E">
            <w:pPr>
              <w:jc w:val="center"/>
            </w:pPr>
          </w:p>
        </w:tc>
        <w:tc>
          <w:tcPr>
            <w:tcW w:w="3260" w:type="dxa"/>
          </w:tcPr>
          <w:p w14:paraId="4F1D0C54" w14:textId="77777777" w:rsidR="00F60ED9" w:rsidRPr="00A6216B" w:rsidRDefault="00F60ED9" w:rsidP="00987D6E">
            <w:pPr>
              <w:jc w:val="center"/>
            </w:pPr>
            <w:r>
              <w:t>Forma a štylistika</w:t>
            </w:r>
          </w:p>
        </w:tc>
        <w:tc>
          <w:tcPr>
            <w:tcW w:w="533" w:type="dxa"/>
          </w:tcPr>
          <w:p w14:paraId="286ED965" w14:textId="77777777" w:rsidR="00F60ED9" w:rsidRPr="00A6216B" w:rsidRDefault="00F60ED9" w:rsidP="00987D6E">
            <w:pPr>
              <w:jc w:val="center"/>
            </w:pPr>
            <w:r>
              <w:t>2</w:t>
            </w:r>
          </w:p>
        </w:tc>
      </w:tr>
      <w:tr w:rsidR="00F60ED9" w14:paraId="77ED42A0" w14:textId="77777777" w:rsidTr="00987D6E">
        <w:trPr>
          <w:trHeight w:val="122"/>
        </w:trPr>
        <w:tc>
          <w:tcPr>
            <w:tcW w:w="2004" w:type="dxa"/>
            <w:vMerge/>
            <w:vAlign w:val="center"/>
          </w:tcPr>
          <w:p w14:paraId="1473284D" w14:textId="77777777" w:rsidR="00F60ED9" w:rsidRDefault="00F60ED9" w:rsidP="00987D6E">
            <w:pPr>
              <w:jc w:val="center"/>
            </w:pPr>
          </w:p>
        </w:tc>
        <w:tc>
          <w:tcPr>
            <w:tcW w:w="798" w:type="dxa"/>
            <w:vMerge/>
            <w:vAlign w:val="center"/>
          </w:tcPr>
          <w:p w14:paraId="20DDD4A9" w14:textId="77777777" w:rsidR="00F60ED9" w:rsidRDefault="00F60ED9" w:rsidP="00987D6E">
            <w:pPr>
              <w:jc w:val="center"/>
            </w:pPr>
          </w:p>
        </w:tc>
        <w:tc>
          <w:tcPr>
            <w:tcW w:w="850" w:type="dxa"/>
            <w:vMerge/>
          </w:tcPr>
          <w:p w14:paraId="79342431" w14:textId="77777777" w:rsidR="00F60ED9" w:rsidRDefault="00F60ED9" w:rsidP="00987D6E">
            <w:pPr>
              <w:jc w:val="center"/>
            </w:pPr>
          </w:p>
        </w:tc>
        <w:tc>
          <w:tcPr>
            <w:tcW w:w="1843" w:type="dxa"/>
            <w:vMerge/>
            <w:vAlign w:val="center"/>
          </w:tcPr>
          <w:p w14:paraId="605D72F8" w14:textId="77777777" w:rsidR="00F60ED9" w:rsidRPr="00A6216B" w:rsidRDefault="00F60ED9" w:rsidP="00987D6E">
            <w:pPr>
              <w:jc w:val="center"/>
            </w:pPr>
          </w:p>
        </w:tc>
        <w:tc>
          <w:tcPr>
            <w:tcW w:w="3260" w:type="dxa"/>
          </w:tcPr>
          <w:p w14:paraId="7C108801" w14:textId="77777777" w:rsidR="00F60ED9" w:rsidRPr="00A6216B" w:rsidRDefault="00F60ED9" w:rsidP="00987D6E">
            <w:pPr>
              <w:jc w:val="center"/>
            </w:pPr>
            <w:r>
              <w:t>Motivácia, osobnostné predpoklady</w:t>
            </w:r>
          </w:p>
        </w:tc>
        <w:tc>
          <w:tcPr>
            <w:tcW w:w="533" w:type="dxa"/>
          </w:tcPr>
          <w:p w14:paraId="213E8E7E" w14:textId="77777777" w:rsidR="00F60ED9" w:rsidRPr="00A6216B" w:rsidRDefault="00F60ED9" w:rsidP="00987D6E">
            <w:pPr>
              <w:jc w:val="center"/>
            </w:pPr>
            <w:r>
              <w:t>3</w:t>
            </w:r>
          </w:p>
        </w:tc>
      </w:tr>
      <w:tr w:rsidR="00F60ED9" w14:paraId="0B189BDC" w14:textId="77777777" w:rsidTr="00987D6E">
        <w:trPr>
          <w:trHeight w:val="122"/>
        </w:trPr>
        <w:tc>
          <w:tcPr>
            <w:tcW w:w="2004" w:type="dxa"/>
            <w:vMerge/>
            <w:vAlign w:val="center"/>
          </w:tcPr>
          <w:p w14:paraId="6421DF92" w14:textId="77777777" w:rsidR="00F60ED9" w:rsidRDefault="00F60ED9" w:rsidP="00987D6E">
            <w:pPr>
              <w:jc w:val="center"/>
            </w:pPr>
          </w:p>
        </w:tc>
        <w:tc>
          <w:tcPr>
            <w:tcW w:w="798" w:type="dxa"/>
            <w:vMerge/>
            <w:vAlign w:val="center"/>
          </w:tcPr>
          <w:p w14:paraId="028AD02A" w14:textId="77777777" w:rsidR="00F60ED9" w:rsidRDefault="00F60ED9" w:rsidP="00987D6E">
            <w:pPr>
              <w:jc w:val="center"/>
            </w:pPr>
          </w:p>
        </w:tc>
        <w:tc>
          <w:tcPr>
            <w:tcW w:w="850" w:type="dxa"/>
            <w:vMerge/>
          </w:tcPr>
          <w:p w14:paraId="226092DB" w14:textId="77777777" w:rsidR="00F60ED9" w:rsidRDefault="00F60ED9" w:rsidP="00987D6E">
            <w:pPr>
              <w:jc w:val="center"/>
            </w:pPr>
          </w:p>
        </w:tc>
        <w:tc>
          <w:tcPr>
            <w:tcW w:w="1843" w:type="dxa"/>
            <w:vMerge/>
            <w:vAlign w:val="center"/>
          </w:tcPr>
          <w:p w14:paraId="6DEEACDB" w14:textId="77777777" w:rsidR="00F60ED9" w:rsidRPr="00A6216B" w:rsidRDefault="00F60ED9" w:rsidP="00987D6E">
            <w:pPr>
              <w:jc w:val="center"/>
            </w:pPr>
          </w:p>
        </w:tc>
        <w:tc>
          <w:tcPr>
            <w:tcW w:w="3260" w:type="dxa"/>
          </w:tcPr>
          <w:p w14:paraId="786A4178" w14:textId="77777777" w:rsidR="00F60ED9" w:rsidRPr="00A6216B" w:rsidRDefault="00F60ED9" w:rsidP="00987D6E">
            <w:pPr>
              <w:jc w:val="center"/>
            </w:pPr>
            <w:r>
              <w:t>Konzistentnosť a integrita</w:t>
            </w:r>
          </w:p>
        </w:tc>
        <w:tc>
          <w:tcPr>
            <w:tcW w:w="533" w:type="dxa"/>
          </w:tcPr>
          <w:p w14:paraId="1F5E98CC" w14:textId="77777777" w:rsidR="00F60ED9" w:rsidRPr="00A6216B" w:rsidRDefault="00F60ED9" w:rsidP="00987D6E">
            <w:pPr>
              <w:jc w:val="center"/>
            </w:pPr>
            <w:r>
              <w:t>3</w:t>
            </w:r>
          </w:p>
        </w:tc>
      </w:tr>
      <w:tr w:rsidR="00F60ED9" w14:paraId="2AF14A2B" w14:textId="77777777" w:rsidTr="00987D6E">
        <w:tc>
          <w:tcPr>
            <w:tcW w:w="2004" w:type="dxa"/>
            <w:vAlign w:val="center"/>
          </w:tcPr>
          <w:p w14:paraId="4A2000EB" w14:textId="77777777" w:rsidR="00F60ED9" w:rsidRDefault="00F60ED9" w:rsidP="00987D6E">
            <w:pPr>
              <w:jc w:val="center"/>
            </w:pPr>
            <w:r>
              <w:t xml:space="preserve">Spolu </w:t>
            </w:r>
          </w:p>
        </w:tc>
        <w:tc>
          <w:tcPr>
            <w:tcW w:w="798" w:type="dxa"/>
            <w:vAlign w:val="center"/>
          </w:tcPr>
          <w:p w14:paraId="48D0017A" w14:textId="77777777" w:rsidR="00F60ED9" w:rsidRPr="000A1059" w:rsidRDefault="00F60ED9" w:rsidP="00987D6E">
            <w:pPr>
              <w:jc w:val="center"/>
              <w:rPr>
                <w:lang w:val="en-US"/>
              </w:rPr>
            </w:pPr>
            <w:r>
              <w:t xml:space="preserve">100 </w:t>
            </w:r>
            <w:r>
              <w:rPr>
                <w:lang w:val="en-US"/>
              </w:rPr>
              <w:t>%</w:t>
            </w:r>
          </w:p>
        </w:tc>
        <w:tc>
          <w:tcPr>
            <w:tcW w:w="850" w:type="dxa"/>
          </w:tcPr>
          <w:p w14:paraId="6ED57172" w14:textId="77777777" w:rsidR="00F60ED9" w:rsidRDefault="00F60ED9" w:rsidP="00987D6E">
            <w:pPr>
              <w:jc w:val="center"/>
            </w:pPr>
            <w:r>
              <w:t>100</w:t>
            </w:r>
          </w:p>
        </w:tc>
        <w:tc>
          <w:tcPr>
            <w:tcW w:w="1843" w:type="dxa"/>
            <w:vAlign w:val="center"/>
          </w:tcPr>
          <w:p w14:paraId="0D6E113D" w14:textId="77777777" w:rsidR="00F60ED9" w:rsidRPr="00A6216B" w:rsidRDefault="00F60ED9" w:rsidP="00987D6E">
            <w:pPr>
              <w:jc w:val="center"/>
            </w:pPr>
          </w:p>
        </w:tc>
        <w:tc>
          <w:tcPr>
            <w:tcW w:w="3793" w:type="dxa"/>
            <w:gridSpan w:val="2"/>
          </w:tcPr>
          <w:p w14:paraId="5297F726" w14:textId="77777777" w:rsidR="00F60ED9" w:rsidRPr="00A6216B" w:rsidRDefault="00F60ED9" w:rsidP="00987D6E">
            <w:pPr>
              <w:jc w:val="center"/>
            </w:pPr>
          </w:p>
        </w:tc>
      </w:tr>
    </w:tbl>
    <w:p w14:paraId="05B7138A" w14:textId="77777777" w:rsidR="00F60ED9" w:rsidRPr="004F347F" w:rsidRDefault="00F60ED9" w:rsidP="00F60ED9">
      <w:pPr>
        <w:pStyle w:val="Nadpis1"/>
        <w:rPr>
          <w:color w:val="auto"/>
        </w:rPr>
      </w:pPr>
      <w:r w:rsidRPr="004F347F">
        <w:rPr>
          <w:color w:val="auto"/>
        </w:rPr>
        <w:t>Čl. 3</w:t>
      </w:r>
    </w:p>
    <w:p w14:paraId="5B754649" w14:textId="21C84B68" w:rsidR="00F60ED9" w:rsidRDefault="00F60ED9" w:rsidP="00F60ED9">
      <w:pPr>
        <w:pStyle w:val="Odsekzoznamu"/>
        <w:numPr>
          <w:ilvl w:val="0"/>
          <w:numId w:val="3"/>
        </w:numPr>
        <w:ind w:left="0" w:firstLine="0"/>
        <w:jc w:val="both"/>
      </w:pPr>
      <w:r>
        <w:t>Ministerstvo po skončení prvého kola hodnotenia sprístupní členom komisie žiadosti žiadateľov pozvaných na osobný pohovor a</w:t>
      </w:r>
      <w:r w:rsidR="000D234F">
        <w:t xml:space="preserve"> predseda komisie </w:t>
      </w:r>
      <w:r>
        <w:t>zvolá rokovanie výberovej komisie.</w:t>
      </w:r>
    </w:p>
    <w:p w14:paraId="3D163E5A" w14:textId="1E163B2E" w:rsidR="00F60ED9" w:rsidRDefault="00F60ED9" w:rsidP="00F60ED9">
      <w:pPr>
        <w:pStyle w:val="Odsekzoznamu"/>
        <w:numPr>
          <w:ilvl w:val="0"/>
          <w:numId w:val="3"/>
        </w:numPr>
        <w:ind w:left="0" w:firstLine="0"/>
        <w:jc w:val="both"/>
      </w:pPr>
      <w:r>
        <w:t>Členovia komisie, okrem predsedu komisie, nemajú k dispozíci</w:t>
      </w:r>
      <w:r w:rsidR="001F7F2C">
        <w:t>i</w:t>
      </w:r>
      <w:r>
        <w:t xml:space="preserve"> poradie žiadateľov podľa hodnotenia v prvom kole.</w:t>
      </w:r>
    </w:p>
    <w:p w14:paraId="1962E8C0" w14:textId="2808BD64" w:rsidR="00F60ED9" w:rsidRDefault="00F60ED9" w:rsidP="00F60ED9">
      <w:pPr>
        <w:pStyle w:val="Odsekzoznamu"/>
        <w:numPr>
          <w:ilvl w:val="0"/>
          <w:numId w:val="3"/>
        </w:numPr>
        <w:ind w:left="0" w:firstLine="0"/>
        <w:jc w:val="both"/>
      </w:pPr>
      <w:r>
        <w:t>Na osobný pohovor s jedným žiadateľom je vyčlenených 20 minút, počas ktorých majú členovia komisie možnosť klásť žiadateľovi otázky. Žiadateľ po osobnom pohovore určí svoje preferencie v rámci ponúkaných pracovných pozícií (dostane zoznam ponúkaných pozícií, ktoré zoradí od 1 = najpreferovanejšia pozícia do 1</w:t>
      </w:r>
      <w:r w:rsidR="00427565">
        <w:t>8</w:t>
      </w:r>
      <w:r>
        <w:t xml:space="preserve"> = najmenej preferovaná pozícia). Členovia komisie, okrem predsedu komisie, nemajú k dispozícií preferencie žiadateľov</w:t>
      </w:r>
      <w:r w:rsidRPr="00EF703D">
        <w:t xml:space="preserve"> </w:t>
      </w:r>
      <w:r>
        <w:t>v rámci ponúkaných pracovných pozícií</w:t>
      </w:r>
      <w:r w:rsidDel="00F403E3">
        <w:t xml:space="preserve"> </w:t>
      </w:r>
      <w:r>
        <w:t>.</w:t>
      </w:r>
    </w:p>
    <w:p w14:paraId="0287D05E" w14:textId="72567187" w:rsidR="00F60ED9" w:rsidRDefault="00F60ED9" w:rsidP="00F60ED9">
      <w:pPr>
        <w:pStyle w:val="Odsekzoznamu"/>
        <w:numPr>
          <w:ilvl w:val="0"/>
          <w:numId w:val="3"/>
        </w:numPr>
        <w:ind w:left="0" w:firstLine="0"/>
        <w:jc w:val="both"/>
      </w:pPr>
      <w:r>
        <w:t xml:space="preserve">Jednotliví členovia komisie, okrem predsedu, si zostavujú poradie žiadateľov, na </w:t>
      </w:r>
      <w:r w:rsidR="002D1252">
        <w:t>základe ich žiadostí</w:t>
      </w:r>
      <w:r>
        <w:t xml:space="preserve"> a osobného pohovoru. Po skončení osobných pohovorov toto poradie odovzdajú predsedovi komisie.</w:t>
      </w:r>
    </w:p>
    <w:p w14:paraId="2F51459F" w14:textId="387C6295" w:rsidR="00F60ED9" w:rsidRDefault="00F60ED9" w:rsidP="00F60ED9">
      <w:pPr>
        <w:pStyle w:val="Odsekzoznamu"/>
        <w:numPr>
          <w:ilvl w:val="0"/>
          <w:numId w:val="3"/>
        </w:numPr>
        <w:ind w:left="0" w:firstLine="0"/>
        <w:jc w:val="both"/>
      </w:pPr>
      <w:r>
        <w:t xml:space="preserve">Člen komisie môže oznámiť, že na pozíciu </w:t>
      </w:r>
      <w:r w:rsidR="00EB0A67">
        <w:t xml:space="preserve">navrhnutú </w:t>
      </w:r>
      <w:r>
        <w:t>ústredným orgánom štátnej správy, ktor</w:t>
      </w:r>
      <w:r w:rsidR="00F15308">
        <w:t>ý</w:t>
      </w:r>
      <w:r>
        <w:t xml:space="preserve"> v komisii zastupuje, neakceptuje žiadneho zo žiadateľov.</w:t>
      </w:r>
    </w:p>
    <w:p w14:paraId="5BE8A354" w14:textId="77777777" w:rsidR="00F60ED9" w:rsidRPr="004F347F" w:rsidRDefault="00F60ED9" w:rsidP="00F60ED9">
      <w:pPr>
        <w:pStyle w:val="Nadpis1"/>
        <w:rPr>
          <w:color w:val="auto"/>
        </w:rPr>
      </w:pPr>
      <w:r w:rsidRPr="004F347F">
        <w:rPr>
          <w:color w:val="auto"/>
        </w:rPr>
        <w:t>Čl. 4</w:t>
      </w:r>
    </w:p>
    <w:p w14:paraId="557E373C" w14:textId="16D0C442" w:rsidR="00F60ED9" w:rsidRDefault="00F60ED9" w:rsidP="00FF26CF">
      <w:pPr>
        <w:pStyle w:val="Odsekzoznamu"/>
        <w:numPr>
          <w:ilvl w:val="0"/>
          <w:numId w:val="4"/>
        </w:numPr>
        <w:ind w:left="0" w:firstLine="0"/>
        <w:jc w:val="both"/>
      </w:pPr>
      <w:r>
        <w:t xml:space="preserve">Po skončení osobných pohovorov </w:t>
      </w:r>
      <w:r w:rsidR="00F60EDC">
        <w:t>p</w:t>
      </w:r>
      <w:r w:rsidR="004F347F">
        <w:t>redseda komisie z</w:t>
      </w:r>
      <w:r>
        <w:t>ostaví</w:t>
      </w:r>
      <w:r w:rsidR="00F60EDC">
        <w:t xml:space="preserve"> </w:t>
      </w:r>
      <w:r>
        <w:t xml:space="preserve">zoznam žiadateľov, ktorí sa umiestnili v hodnotení členov komisie na prvom mieste. Ak viacerí členovia komisie určia na prvé miesto rovnakého žiadateľa, zohľadní sa preferencia pozícií žiadateľa tak, že žiadateľ bude priradený len jednej pozícii. Pozícia, ktorá v takomto prípade zostane voľná sa obsadí </w:t>
      </w:r>
      <w:r w:rsidR="00EB0A67">
        <w:t xml:space="preserve">v poradí </w:t>
      </w:r>
      <w:r>
        <w:t>ďalším najlepšie hodnoteným žiadateľom. Ak týmto postupom opätovne viacerí členovia komisie určia na prvé miesto rovnakého žiadateľa, zohľadní sa rovnako preferencia pozícií žiadateľa.</w:t>
      </w:r>
    </w:p>
    <w:p w14:paraId="6619D45B" w14:textId="214CD359" w:rsidR="00F60ED9" w:rsidRDefault="009B7B18" w:rsidP="004F347F">
      <w:pPr>
        <w:jc w:val="both"/>
      </w:pPr>
      <w:r>
        <w:t>(</w:t>
      </w:r>
      <w:r w:rsidR="00F60EDC">
        <w:t>2</w:t>
      </w:r>
      <w:r>
        <w:t xml:space="preserve">) </w:t>
      </w:r>
      <w:r w:rsidR="004F347F">
        <w:t xml:space="preserve">    </w:t>
      </w:r>
      <w:r w:rsidR="00F60ED9">
        <w:t xml:space="preserve">Jednotlivé dvojice pozícia – žiadateľ sa zoradia podľa počtu bodov, ktoré získal žiadateľ v hodnotení v prvom kole od najväčšieho po najmenší, pričom prvým </w:t>
      </w:r>
      <w:r w:rsidR="00F60EDC">
        <w:t xml:space="preserve">žiadateľom </w:t>
      </w:r>
      <w:r w:rsidR="00F60ED9">
        <w:t>v poradí bude ponúknut</w:t>
      </w:r>
      <w:r w:rsidR="00EB0A67">
        <w:t>é</w:t>
      </w:r>
      <w:r w:rsidR="00F60ED9">
        <w:t xml:space="preserve"> </w:t>
      </w:r>
      <w:r w:rsidR="00EB0A67">
        <w:t>štipendium</w:t>
      </w:r>
      <w:r w:rsidR="00F60ED9">
        <w:t xml:space="preserve">, do vyčerpania vyčlenených finančných prostriedkov. Ak nie je možné </w:t>
      </w:r>
      <w:r w:rsidR="00F60ED9">
        <w:lastRenderedPageBreak/>
        <w:t xml:space="preserve">poskytnúť celkovo požadovanú sumu, overí sa, či žiadateľ akceptuje aj </w:t>
      </w:r>
      <w:r w:rsidR="00EB0A67">
        <w:t xml:space="preserve">štipendium </w:t>
      </w:r>
      <w:r w:rsidR="00F60ED9">
        <w:t xml:space="preserve">v nižšej sume, ak je na úrovni najmenej 30 percent požadovanej sumy. </w:t>
      </w:r>
    </w:p>
    <w:p w14:paraId="07F4A5EA" w14:textId="39B27F16" w:rsidR="00F60ED9" w:rsidRDefault="00F60EDC" w:rsidP="004F347F">
      <w:pPr>
        <w:jc w:val="both"/>
      </w:pPr>
      <w:r>
        <w:t>(3</w:t>
      </w:r>
      <w:r w:rsidR="009B7B18">
        <w:t xml:space="preserve">) </w:t>
      </w:r>
      <w:r w:rsidR="004F347F">
        <w:t xml:space="preserve">    </w:t>
      </w:r>
      <w:r w:rsidR="00F60ED9">
        <w:t xml:space="preserve">Ak po vykonaní postupu podľa </w:t>
      </w:r>
      <w:r>
        <w:t>odseku 2</w:t>
      </w:r>
      <w:r w:rsidR="009B7B18">
        <w:t xml:space="preserve"> </w:t>
      </w:r>
      <w:r w:rsidR="00F60ED9">
        <w:t>sú stále voľné finančné prostriedky a neobsadené pozície, postup sa zopakuje so žiadateľom, ktorý sa v hodnotení príslušného člena komisie umiestnil ako ďalší v poradí.</w:t>
      </w:r>
    </w:p>
    <w:p w14:paraId="4F8DC957" w14:textId="5874976C" w:rsidR="00F60ED9" w:rsidRDefault="00F60EDC" w:rsidP="004F347F">
      <w:pPr>
        <w:jc w:val="both"/>
      </w:pPr>
      <w:r>
        <w:t>(4</w:t>
      </w:r>
      <w:r w:rsidR="009B7B18">
        <w:t xml:space="preserve">) </w:t>
      </w:r>
      <w:r w:rsidR="004F347F">
        <w:t xml:space="preserve">       </w:t>
      </w:r>
      <w:r w:rsidR="00F60ED9">
        <w:t xml:space="preserve">Zoznam </w:t>
      </w:r>
      <w:r w:rsidR="00283AAC">
        <w:t xml:space="preserve">úspešných </w:t>
      </w:r>
      <w:r w:rsidR="00F60ED9">
        <w:t>žiadateľov s navrhnutou výškou štipendia sa uvedie v zápisnici z rokovania komisie.</w:t>
      </w:r>
    </w:p>
    <w:p w14:paraId="0D71E573" w14:textId="77777777" w:rsidR="00F60ED9" w:rsidRPr="004F347F" w:rsidRDefault="00F60ED9" w:rsidP="00F60ED9">
      <w:pPr>
        <w:pStyle w:val="Nadpis1"/>
        <w:rPr>
          <w:color w:val="auto"/>
        </w:rPr>
      </w:pPr>
      <w:r w:rsidRPr="004F347F">
        <w:rPr>
          <w:color w:val="auto"/>
        </w:rPr>
        <w:t>Čl. 5</w:t>
      </w:r>
    </w:p>
    <w:p w14:paraId="657C3442" w14:textId="700C7A69" w:rsidR="00F60ED9" w:rsidRDefault="00F60ED9" w:rsidP="00F60ED9">
      <w:pPr>
        <w:pStyle w:val="Odsekzoznamu"/>
        <w:numPr>
          <w:ilvl w:val="0"/>
          <w:numId w:val="5"/>
        </w:numPr>
        <w:ind w:left="0" w:firstLine="0"/>
        <w:jc w:val="both"/>
      </w:pPr>
      <w:r>
        <w:t xml:space="preserve">Ministerstvo po schválení zápisnice z rokovania komisie oznámi jednotlivým žiadateľom, či im bude poskytnuté štipendium, a ak áno v akej výške. </w:t>
      </w:r>
      <w:r w:rsidR="00283AAC">
        <w:t xml:space="preserve">Úspešným </w:t>
      </w:r>
      <w:r>
        <w:t>uchádzačom zašle návrh zmluvy a vyzve ich na doručenie nimi podpísaných rovnopisov zmluvy v lehote siedmich pracovných dní.</w:t>
      </w:r>
    </w:p>
    <w:p w14:paraId="68EDACC1" w14:textId="77777777" w:rsidR="00F60ED9" w:rsidRPr="004131AF" w:rsidRDefault="00F60ED9" w:rsidP="00F60ED9">
      <w:pPr>
        <w:pStyle w:val="Odsekzoznamu"/>
        <w:numPr>
          <w:ilvl w:val="0"/>
          <w:numId w:val="5"/>
        </w:numPr>
        <w:ind w:left="0" w:firstLine="0"/>
        <w:jc w:val="both"/>
      </w:pPr>
      <w:r>
        <w:t>Ministerstvo zverejní informácie o uskutočnenom výbere a jeho výsledkoch na svojom webovom sídle.</w:t>
      </w:r>
    </w:p>
    <w:p w14:paraId="01094DB8" w14:textId="77777777" w:rsidR="00F60ED9" w:rsidRDefault="00F60ED9" w:rsidP="00F60ED9"/>
    <w:p w14:paraId="5CF74B02" w14:textId="77777777" w:rsidR="00005979" w:rsidRDefault="00005979"/>
    <w:sectPr w:rsidR="0000597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53A104" w14:textId="77777777" w:rsidR="007A172F" w:rsidRDefault="007A172F" w:rsidP="00F60ED9">
      <w:pPr>
        <w:spacing w:after="0" w:line="240" w:lineRule="auto"/>
      </w:pPr>
      <w:r>
        <w:separator/>
      </w:r>
    </w:p>
  </w:endnote>
  <w:endnote w:type="continuationSeparator" w:id="0">
    <w:p w14:paraId="141DBB3E" w14:textId="77777777" w:rsidR="007A172F" w:rsidRDefault="007A172F" w:rsidP="00F60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1DB45" w14:textId="6E734B32" w:rsidR="00AD4732" w:rsidRDefault="00AB112D">
    <w:pPr>
      <w:pStyle w:val="Pta"/>
      <w:jc w:val="center"/>
    </w:pPr>
    <w:r>
      <w:fldChar w:fldCharType="begin"/>
    </w:r>
    <w:r>
      <w:instrText>PAGE   \* MERGEFORMAT</w:instrText>
    </w:r>
    <w:r>
      <w:fldChar w:fldCharType="separate"/>
    </w:r>
    <w:r w:rsidR="00326984">
      <w:rPr>
        <w:noProof/>
      </w:rPr>
      <w:t>1</w:t>
    </w:r>
    <w:r>
      <w:fldChar w:fldCharType="end"/>
    </w:r>
  </w:p>
  <w:p w14:paraId="4C75A2AF" w14:textId="77777777" w:rsidR="00AD4732" w:rsidRDefault="007A172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A7BC5" w14:textId="77777777" w:rsidR="007A172F" w:rsidRDefault="007A172F" w:rsidP="00F60ED9">
      <w:pPr>
        <w:spacing w:after="0" w:line="240" w:lineRule="auto"/>
      </w:pPr>
      <w:r>
        <w:separator/>
      </w:r>
    </w:p>
  </w:footnote>
  <w:footnote w:type="continuationSeparator" w:id="0">
    <w:p w14:paraId="723C6685" w14:textId="77777777" w:rsidR="007A172F" w:rsidRDefault="007A172F" w:rsidP="00F60ED9">
      <w:pPr>
        <w:spacing w:after="0" w:line="240" w:lineRule="auto"/>
      </w:pPr>
      <w:r>
        <w:continuationSeparator/>
      </w:r>
    </w:p>
  </w:footnote>
  <w:footnote w:id="1">
    <w:p w14:paraId="37F0136D" w14:textId="77777777" w:rsidR="00F60ED9" w:rsidRDefault="00F60ED9" w:rsidP="00F60ED9">
      <w:pPr>
        <w:pStyle w:val="Textpoznmkypodiarou"/>
        <w:jc w:val="both"/>
      </w:pPr>
      <w:r>
        <w:rPr>
          <w:rStyle w:val="Odkaznapoznmkupodiarou"/>
        </w:rPr>
        <w:footnoteRef/>
      </w:r>
      <w:r>
        <w:t xml:space="preserve"> Pri umiestnení sa vychádza z rankingu na </w:t>
      </w:r>
      <w:r w:rsidR="00F31348" w:rsidRPr="00F31348">
        <w:rPr>
          <w:rStyle w:val="Hypertextovprepojenie"/>
        </w:rPr>
        <w:t>https://www.timeshighereducation.com/world-university-ranking</w:t>
      </w:r>
      <w:r>
        <w:t>. Ak sa vysoká škola</w:t>
      </w:r>
      <w:r w:rsidRPr="009D25F9">
        <w:t xml:space="preserve"> v </w:t>
      </w:r>
      <w:r>
        <w:t>príslušnej</w:t>
      </w:r>
      <w:r w:rsidRPr="009D25F9">
        <w:t xml:space="preserve"> študijne</w:t>
      </w:r>
      <w:r>
        <w:t>j oblasti nenachádza v rankingu do 100. miesta, použije sa pre jej umiestnenie hodnota 101.</w:t>
      </w:r>
      <w:r>
        <w:rPr>
          <w:rStyle w:val="Hypertextovprepojenie"/>
          <w:rFonts w:cs="Calibr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045F1" w14:textId="0CC9549F" w:rsidR="00A32C17" w:rsidRPr="00D02ADE" w:rsidRDefault="00AB112D">
    <w:pPr>
      <w:pStyle w:val="Hlavika"/>
      <w:rPr>
        <w:rFonts w:ascii="Arial" w:hAnsi="Arial" w:cs="Arial"/>
      </w:rPr>
    </w:pPr>
    <w:r w:rsidRPr="00D02ADE">
      <w:rPr>
        <w:rFonts w:ascii="Arial" w:hAnsi="Arial" w:cs="Arial"/>
      </w:rPr>
      <w:t xml:space="preserve">Príloha č. </w:t>
    </w:r>
    <w:r>
      <w:rPr>
        <w:rFonts w:ascii="Arial" w:hAnsi="Arial" w:cs="Arial"/>
      </w:rPr>
      <w:t>2</w:t>
    </w:r>
    <w:r w:rsidRPr="00D02ADE">
      <w:rPr>
        <w:rFonts w:ascii="Arial" w:hAnsi="Arial" w:cs="Arial"/>
      </w:rPr>
      <w:t xml:space="preserve"> k príkazu ministra č. </w:t>
    </w:r>
    <w:r w:rsidR="007B47EC">
      <w:rPr>
        <w:rFonts w:ascii="Arial" w:hAnsi="Arial" w:cs="Arial"/>
      </w:rPr>
      <w:t>9</w:t>
    </w:r>
    <w:r w:rsidRPr="00D02ADE">
      <w:rPr>
        <w:rFonts w:ascii="Arial" w:hAnsi="Arial" w:cs="Arial"/>
      </w:rPr>
      <w:t>/201</w:t>
    </w:r>
    <w:r w:rsidR="008F792E">
      <w:rPr>
        <w:rFonts w:ascii="Arial" w:hAnsi="Arial" w:cs="Arial"/>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7353A"/>
    <w:multiLevelType w:val="hybridMultilevel"/>
    <w:tmpl w:val="AC3ABDBE"/>
    <w:lvl w:ilvl="0" w:tplc="1B364CCE">
      <w:start w:val="1"/>
      <w:numFmt w:val="decimal"/>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
    <w:nsid w:val="60C81499"/>
    <w:multiLevelType w:val="hybridMultilevel"/>
    <w:tmpl w:val="AC3ABDBE"/>
    <w:lvl w:ilvl="0" w:tplc="1B364CC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61055966"/>
    <w:multiLevelType w:val="hybridMultilevel"/>
    <w:tmpl w:val="AC3ABDBE"/>
    <w:lvl w:ilvl="0" w:tplc="1B364CCE">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64D20B85"/>
    <w:multiLevelType w:val="hybridMultilevel"/>
    <w:tmpl w:val="BCCC86CE"/>
    <w:lvl w:ilvl="0" w:tplc="1B364CCE">
      <w:start w:val="1"/>
      <w:numFmt w:val="decimal"/>
      <w:lvlText w:val="(%1)"/>
      <w:lvlJc w:val="left"/>
      <w:pPr>
        <w:ind w:left="360" w:hanging="360"/>
      </w:pPr>
      <w:rPr>
        <w:rFonts w:cs="Times New Roman" w:hint="default"/>
      </w:rPr>
    </w:lvl>
    <w:lvl w:ilvl="1" w:tplc="15303796">
      <w:start w:val="1"/>
      <w:numFmt w:val="lowerLetter"/>
      <w:lvlText w:val="%2)"/>
      <w:lvlJc w:val="left"/>
      <w:pPr>
        <w:ind w:left="1080" w:hanging="360"/>
      </w:pPr>
      <w:rPr>
        <w:rFonts w:asciiTheme="minorHAnsi" w:eastAsia="Times New Roman" w:hAnsiTheme="minorHAnsi"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nsid w:val="7B7C09F4"/>
    <w:multiLevelType w:val="hybridMultilevel"/>
    <w:tmpl w:val="AC3ABDBE"/>
    <w:lvl w:ilvl="0" w:tplc="1B364CCE">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ED9"/>
    <w:rsid w:val="00005979"/>
    <w:rsid w:val="0001314C"/>
    <w:rsid w:val="00042A0A"/>
    <w:rsid w:val="00050E0F"/>
    <w:rsid w:val="000D234F"/>
    <w:rsid w:val="000F4A48"/>
    <w:rsid w:val="001F7F2C"/>
    <w:rsid w:val="00235782"/>
    <w:rsid w:val="002361E7"/>
    <w:rsid w:val="00283AAC"/>
    <w:rsid w:val="002A44B8"/>
    <w:rsid w:val="002A763A"/>
    <w:rsid w:val="002D1252"/>
    <w:rsid w:val="00326984"/>
    <w:rsid w:val="003D61F1"/>
    <w:rsid w:val="00427565"/>
    <w:rsid w:val="00494256"/>
    <w:rsid w:val="004A42E3"/>
    <w:rsid w:val="004D6919"/>
    <w:rsid w:val="004F347F"/>
    <w:rsid w:val="00536EEA"/>
    <w:rsid w:val="005A6F19"/>
    <w:rsid w:val="006F66B0"/>
    <w:rsid w:val="00712025"/>
    <w:rsid w:val="007432F7"/>
    <w:rsid w:val="007A172F"/>
    <w:rsid w:val="007B47EC"/>
    <w:rsid w:val="008415C6"/>
    <w:rsid w:val="008B3B73"/>
    <w:rsid w:val="008F66C3"/>
    <w:rsid w:val="008F792E"/>
    <w:rsid w:val="00963F9A"/>
    <w:rsid w:val="009B7B18"/>
    <w:rsid w:val="009D6564"/>
    <w:rsid w:val="009F5C11"/>
    <w:rsid w:val="00A32C17"/>
    <w:rsid w:val="00A57039"/>
    <w:rsid w:val="00A600B4"/>
    <w:rsid w:val="00A83770"/>
    <w:rsid w:val="00A85327"/>
    <w:rsid w:val="00AB112D"/>
    <w:rsid w:val="00AE7059"/>
    <w:rsid w:val="00B2342F"/>
    <w:rsid w:val="00BA6A9C"/>
    <w:rsid w:val="00BC3048"/>
    <w:rsid w:val="00BF2BEC"/>
    <w:rsid w:val="00C139D5"/>
    <w:rsid w:val="00C8333C"/>
    <w:rsid w:val="00CA17CE"/>
    <w:rsid w:val="00CA44C7"/>
    <w:rsid w:val="00CE2235"/>
    <w:rsid w:val="00D5494C"/>
    <w:rsid w:val="00DC0808"/>
    <w:rsid w:val="00DC2C12"/>
    <w:rsid w:val="00DD6CBE"/>
    <w:rsid w:val="00E408FD"/>
    <w:rsid w:val="00E40F14"/>
    <w:rsid w:val="00E419A6"/>
    <w:rsid w:val="00EB0A67"/>
    <w:rsid w:val="00EF1CCA"/>
    <w:rsid w:val="00F12928"/>
    <w:rsid w:val="00F15308"/>
    <w:rsid w:val="00F31348"/>
    <w:rsid w:val="00F60ED9"/>
    <w:rsid w:val="00F60EDC"/>
    <w:rsid w:val="00FB3EC9"/>
    <w:rsid w:val="00FC531A"/>
    <w:rsid w:val="00FF26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EA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0ED9"/>
    <w:rPr>
      <w:rFonts w:eastAsia="Times New Roman" w:cs="Times New Roman"/>
    </w:rPr>
  </w:style>
  <w:style w:type="paragraph" w:styleId="Nadpis1">
    <w:name w:val="heading 1"/>
    <w:basedOn w:val="Normlny"/>
    <w:next w:val="Normlny"/>
    <w:link w:val="Nadpis1Char"/>
    <w:uiPriority w:val="9"/>
    <w:qFormat/>
    <w:rsid w:val="00F60ED9"/>
    <w:pPr>
      <w:keepNext/>
      <w:keepLines/>
      <w:spacing w:before="480" w:after="0"/>
      <w:jc w:val="center"/>
      <w:outlineLvl w:val="0"/>
    </w:pPr>
    <w:rPr>
      <w:rFonts w:asciiTheme="majorHAnsi" w:eastAsiaTheme="majorEastAsia" w:hAnsiTheme="majorHAns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60ED9"/>
    <w:rPr>
      <w:rFonts w:asciiTheme="majorHAnsi" w:eastAsiaTheme="majorEastAsia" w:hAnsiTheme="majorHAnsi" w:cs="Times New Roman"/>
      <w:b/>
      <w:bCs/>
      <w:color w:val="365F91" w:themeColor="accent1" w:themeShade="BF"/>
      <w:sz w:val="28"/>
      <w:szCs w:val="28"/>
    </w:rPr>
  </w:style>
  <w:style w:type="paragraph" w:styleId="Hlavika">
    <w:name w:val="header"/>
    <w:basedOn w:val="Normlny"/>
    <w:link w:val="HlavikaChar"/>
    <w:uiPriority w:val="99"/>
    <w:unhideWhenUsed/>
    <w:rsid w:val="00F60ED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60ED9"/>
    <w:rPr>
      <w:rFonts w:eastAsia="Times New Roman" w:cs="Times New Roman"/>
    </w:rPr>
  </w:style>
  <w:style w:type="paragraph" w:styleId="Pta">
    <w:name w:val="footer"/>
    <w:basedOn w:val="Normlny"/>
    <w:link w:val="PtaChar"/>
    <w:uiPriority w:val="99"/>
    <w:unhideWhenUsed/>
    <w:rsid w:val="00F60ED9"/>
    <w:pPr>
      <w:tabs>
        <w:tab w:val="center" w:pos="4536"/>
        <w:tab w:val="right" w:pos="9072"/>
      </w:tabs>
      <w:spacing w:after="0" w:line="240" w:lineRule="auto"/>
    </w:pPr>
  </w:style>
  <w:style w:type="character" w:customStyle="1" w:styleId="PtaChar">
    <w:name w:val="Päta Char"/>
    <w:basedOn w:val="Predvolenpsmoodseku"/>
    <w:link w:val="Pta"/>
    <w:uiPriority w:val="99"/>
    <w:rsid w:val="00F60ED9"/>
    <w:rPr>
      <w:rFonts w:eastAsia="Times New Roman" w:cs="Times New Roman"/>
    </w:rPr>
  </w:style>
  <w:style w:type="paragraph" w:styleId="Odsekzoznamu">
    <w:name w:val="List Paragraph"/>
    <w:basedOn w:val="Normlny"/>
    <w:uiPriority w:val="34"/>
    <w:qFormat/>
    <w:rsid w:val="00F60ED9"/>
    <w:pPr>
      <w:ind w:left="720"/>
      <w:contextualSpacing/>
    </w:pPr>
  </w:style>
  <w:style w:type="table" w:styleId="Mriekatabuky">
    <w:name w:val="Table Grid"/>
    <w:basedOn w:val="Normlnatabuka"/>
    <w:uiPriority w:val="59"/>
    <w:rsid w:val="00F60ED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F60ED9"/>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60ED9"/>
    <w:rPr>
      <w:rFonts w:eastAsia="Times New Roman" w:cs="Times New Roman"/>
      <w:sz w:val="20"/>
      <w:szCs w:val="20"/>
    </w:rPr>
  </w:style>
  <w:style w:type="character" w:styleId="Odkaznapoznmkupodiarou">
    <w:name w:val="footnote reference"/>
    <w:basedOn w:val="Predvolenpsmoodseku"/>
    <w:uiPriority w:val="99"/>
    <w:semiHidden/>
    <w:unhideWhenUsed/>
    <w:rsid w:val="00F60ED9"/>
    <w:rPr>
      <w:rFonts w:cs="Times New Roman"/>
      <w:vertAlign w:val="superscript"/>
    </w:rPr>
  </w:style>
  <w:style w:type="character" w:styleId="Hypertextovprepojenie">
    <w:name w:val="Hyperlink"/>
    <w:basedOn w:val="Predvolenpsmoodseku"/>
    <w:uiPriority w:val="99"/>
    <w:unhideWhenUsed/>
    <w:rsid w:val="00F60ED9"/>
    <w:rPr>
      <w:rFonts w:cs="Times New Roman"/>
      <w:color w:val="0000FF" w:themeColor="hyperlink"/>
      <w:u w:val="single"/>
    </w:rPr>
  </w:style>
  <w:style w:type="character" w:styleId="PouitHypertextovPrepojenie">
    <w:name w:val="FollowedHyperlink"/>
    <w:basedOn w:val="Predvolenpsmoodseku"/>
    <w:uiPriority w:val="99"/>
    <w:semiHidden/>
    <w:unhideWhenUsed/>
    <w:rsid w:val="0001314C"/>
    <w:rPr>
      <w:color w:val="800080" w:themeColor="followedHyperlink"/>
      <w:u w:val="single"/>
    </w:rPr>
  </w:style>
  <w:style w:type="paragraph" w:styleId="Textbubliny">
    <w:name w:val="Balloon Text"/>
    <w:basedOn w:val="Normlny"/>
    <w:link w:val="TextbublinyChar"/>
    <w:uiPriority w:val="99"/>
    <w:semiHidden/>
    <w:unhideWhenUsed/>
    <w:rsid w:val="0042756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27565"/>
    <w:rPr>
      <w:rFonts w:ascii="Tahoma" w:eastAsia="Times New Roman" w:hAnsi="Tahoma" w:cs="Tahoma"/>
      <w:sz w:val="16"/>
      <w:szCs w:val="16"/>
    </w:rPr>
  </w:style>
  <w:style w:type="character" w:styleId="Odkaznakomentr">
    <w:name w:val="annotation reference"/>
    <w:basedOn w:val="Predvolenpsmoodseku"/>
    <w:uiPriority w:val="99"/>
    <w:semiHidden/>
    <w:unhideWhenUsed/>
    <w:rsid w:val="005A6F19"/>
    <w:rPr>
      <w:sz w:val="16"/>
      <w:szCs w:val="16"/>
    </w:rPr>
  </w:style>
  <w:style w:type="paragraph" w:styleId="Textkomentra">
    <w:name w:val="annotation text"/>
    <w:basedOn w:val="Normlny"/>
    <w:link w:val="TextkomentraChar"/>
    <w:uiPriority w:val="99"/>
    <w:semiHidden/>
    <w:unhideWhenUsed/>
    <w:rsid w:val="005A6F19"/>
    <w:pPr>
      <w:spacing w:line="240" w:lineRule="auto"/>
    </w:pPr>
    <w:rPr>
      <w:sz w:val="20"/>
      <w:szCs w:val="20"/>
    </w:rPr>
  </w:style>
  <w:style w:type="character" w:customStyle="1" w:styleId="TextkomentraChar">
    <w:name w:val="Text komentára Char"/>
    <w:basedOn w:val="Predvolenpsmoodseku"/>
    <w:link w:val="Textkomentra"/>
    <w:uiPriority w:val="99"/>
    <w:semiHidden/>
    <w:rsid w:val="005A6F19"/>
    <w:rPr>
      <w:rFonts w:eastAsia="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5A6F19"/>
    <w:rPr>
      <w:b/>
      <w:bCs/>
    </w:rPr>
  </w:style>
  <w:style w:type="character" w:customStyle="1" w:styleId="PredmetkomentraChar">
    <w:name w:val="Predmet komentára Char"/>
    <w:basedOn w:val="TextkomentraChar"/>
    <w:link w:val="Predmetkomentra"/>
    <w:uiPriority w:val="99"/>
    <w:semiHidden/>
    <w:rsid w:val="005A6F19"/>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0ED9"/>
    <w:rPr>
      <w:rFonts w:eastAsia="Times New Roman" w:cs="Times New Roman"/>
    </w:rPr>
  </w:style>
  <w:style w:type="paragraph" w:styleId="Nadpis1">
    <w:name w:val="heading 1"/>
    <w:basedOn w:val="Normlny"/>
    <w:next w:val="Normlny"/>
    <w:link w:val="Nadpis1Char"/>
    <w:uiPriority w:val="9"/>
    <w:qFormat/>
    <w:rsid w:val="00F60ED9"/>
    <w:pPr>
      <w:keepNext/>
      <w:keepLines/>
      <w:spacing w:before="480" w:after="0"/>
      <w:jc w:val="center"/>
      <w:outlineLvl w:val="0"/>
    </w:pPr>
    <w:rPr>
      <w:rFonts w:asciiTheme="majorHAnsi" w:eastAsiaTheme="majorEastAsia" w:hAnsiTheme="majorHAns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60ED9"/>
    <w:rPr>
      <w:rFonts w:asciiTheme="majorHAnsi" w:eastAsiaTheme="majorEastAsia" w:hAnsiTheme="majorHAnsi" w:cs="Times New Roman"/>
      <w:b/>
      <w:bCs/>
      <w:color w:val="365F91" w:themeColor="accent1" w:themeShade="BF"/>
      <w:sz w:val="28"/>
      <w:szCs w:val="28"/>
    </w:rPr>
  </w:style>
  <w:style w:type="paragraph" w:styleId="Hlavika">
    <w:name w:val="header"/>
    <w:basedOn w:val="Normlny"/>
    <w:link w:val="HlavikaChar"/>
    <w:uiPriority w:val="99"/>
    <w:unhideWhenUsed/>
    <w:rsid w:val="00F60ED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60ED9"/>
    <w:rPr>
      <w:rFonts w:eastAsia="Times New Roman" w:cs="Times New Roman"/>
    </w:rPr>
  </w:style>
  <w:style w:type="paragraph" w:styleId="Pta">
    <w:name w:val="footer"/>
    <w:basedOn w:val="Normlny"/>
    <w:link w:val="PtaChar"/>
    <w:uiPriority w:val="99"/>
    <w:unhideWhenUsed/>
    <w:rsid w:val="00F60ED9"/>
    <w:pPr>
      <w:tabs>
        <w:tab w:val="center" w:pos="4536"/>
        <w:tab w:val="right" w:pos="9072"/>
      </w:tabs>
      <w:spacing w:after="0" w:line="240" w:lineRule="auto"/>
    </w:pPr>
  </w:style>
  <w:style w:type="character" w:customStyle="1" w:styleId="PtaChar">
    <w:name w:val="Päta Char"/>
    <w:basedOn w:val="Predvolenpsmoodseku"/>
    <w:link w:val="Pta"/>
    <w:uiPriority w:val="99"/>
    <w:rsid w:val="00F60ED9"/>
    <w:rPr>
      <w:rFonts w:eastAsia="Times New Roman" w:cs="Times New Roman"/>
    </w:rPr>
  </w:style>
  <w:style w:type="paragraph" w:styleId="Odsekzoznamu">
    <w:name w:val="List Paragraph"/>
    <w:basedOn w:val="Normlny"/>
    <w:uiPriority w:val="34"/>
    <w:qFormat/>
    <w:rsid w:val="00F60ED9"/>
    <w:pPr>
      <w:ind w:left="720"/>
      <w:contextualSpacing/>
    </w:pPr>
  </w:style>
  <w:style w:type="table" w:styleId="Mriekatabuky">
    <w:name w:val="Table Grid"/>
    <w:basedOn w:val="Normlnatabuka"/>
    <w:uiPriority w:val="59"/>
    <w:rsid w:val="00F60ED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F60ED9"/>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60ED9"/>
    <w:rPr>
      <w:rFonts w:eastAsia="Times New Roman" w:cs="Times New Roman"/>
      <w:sz w:val="20"/>
      <w:szCs w:val="20"/>
    </w:rPr>
  </w:style>
  <w:style w:type="character" w:styleId="Odkaznapoznmkupodiarou">
    <w:name w:val="footnote reference"/>
    <w:basedOn w:val="Predvolenpsmoodseku"/>
    <w:uiPriority w:val="99"/>
    <w:semiHidden/>
    <w:unhideWhenUsed/>
    <w:rsid w:val="00F60ED9"/>
    <w:rPr>
      <w:rFonts w:cs="Times New Roman"/>
      <w:vertAlign w:val="superscript"/>
    </w:rPr>
  </w:style>
  <w:style w:type="character" w:styleId="Hypertextovprepojenie">
    <w:name w:val="Hyperlink"/>
    <w:basedOn w:val="Predvolenpsmoodseku"/>
    <w:uiPriority w:val="99"/>
    <w:unhideWhenUsed/>
    <w:rsid w:val="00F60ED9"/>
    <w:rPr>
      <w:rFonts w:cs="Times New Roman"/>
      <w:color w:val="0000FF" w:themeColor="hyperlink"/>
      <w:u w:val="single"/>
    </w:rPr>
  </w:style>
  <w:style w:type="character" w:styleId="PouitHypertextovPrepojenie">
    <w:name w:val="FollowedHyperlink"/>
    <w:basedOn w:val="Predvolenpsmoodseku"/>
    <w:uiPriority w:val="99"/>
    <w:semiHidden/>
    <w:unhideWhenUsed/>
    <w:rsid w:val="0001314C"/>
    <w:rPr>
      <w:color w:val="800080" w:themeColor="followedHyperlink"/>
      <w:u w:val="single"/>
    </w:rPr>
  </w:style>
  <w:style w:type="paragraph" w:styleId="Textbubliny">
    <w:name w:val="Balloon Text"/>
    <w:basedOn w:val="Normlny"/>
    <w:link w:val="TextbublinyChar"/>
    <w:uiPriority w:val="99"/>
    <w:semiHidden/>
    <w:unhideWhenUsed/>
    <w:rsid w:val="0042756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27565"/>
    <w:rPr>
      <w:rFonts w:ascii="Tahoma" w:eastAsia="Times New Roman" w:hAnsi="Tahoma" w:cs="Tahoma"/>
      <w:sz w:val="16"/>
      <w:szCs w:val="16"/>
    </w:rPr>
  </w:style>
  <w:style w:type="character" w:styleId="Odkaznakomentr">
    <w:name w:val="annotation reference"/>
    <w:basedOn w:val="Predvolenpsmoodseku"/>
    <w:uiPriority w:val="99"/>
    <w:semiHidden/>
    <w:unhideWhenUsed/>
    <w:rsid w:val="005A6F19"/>
    <w:rPr>
      <w:sz w:val="16"/>
      <w:szCs w:val="16"/>
    </w:rPr>
  </w:style>
  <w:style w:type="paragraph" w:styleId="Textkomentra">
    <w:name w:val="annotation text"/>
    <w:basedOn w:val="Normlny"/>
    <w:link w:val="TextkomentraChar"/>
    <w:uiPriority w:val="99"/>
    <w:semiHidden/>
    <w:unhideWhenUsed/>
    <w:rsid w:val="005A6F19"/>
    <w:pPr>
      <w:spacing w:line="240" w:lineRule="auto"/>
    </w:pPr>
    <w:rPr>
      <w:sz w:val="20"/>
      <w:szCs w:val="20"/>
    </w:rPr>
  </w:style>
  <w:style w:type="character" w:customStyle="1" w:styleId="TextkomentraChar">
    <w:name w:val="Text komentára Char"/>
    <w:basedOn w:val="Predvolenpsmoodseku"/>
    <w:link w:val="Textkomentra"/>
    <w:uiPriority w:val="99"/>
    <w:semiHidden/>
    <w:rsid w:val="005A6F19"/>
    <w:rPr>
      <w:rFonts w:eastAsia="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5A6F19"/>
    <w:rPr>
      <w:b/>
      <w:bCs/>
    </w:rPr>
  </w:style>
  <w:style w:type="character" w:customStyle="1" w:styleId="PredmetkomentraChar">
    <w:name w:val="Predmet komentára Char"/>
    <w:basedOn w:val="TextkomentraChar"/>
    <w:link w:val="Predmetkomentra"/>
    <w:uiPriority w:val="99"/>
    <w:semiHidden/>
    <w:rsid w:val="005A6F19"/>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2FD7C-AC12-44CC-8CC9-B32589FBF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1395</Words>
  <Characters>7954</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Krajčovičová Zuzana</dc:creator>
  <cp:lastModifiedBy>Krajčovičová Zuzana</cp:lastModifiedBy>
  <cp:revision>2</cp:revision>
  <cp:lastPrinted>2019-02-18T10:18:00Z</cp:lastPrinted>
  <dcterms:created xsi:type="dcterms:W3CDTF">2019-03-07T10:46:00Z</dcterms:created>
  <dcterms:modified xsi:type="dcterms:W3CDTF">2019-03-07T10:46:00Z</dcterms:modified>
</cp:coreProperties>
</file>