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2E32" w14:textId="0D95C066" w:rsidR="00EF4838" w:rsidRDefault="00EF4838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EA4134">
        <w:rPr>
          <w:rFonts w:ascii="Arial Narrow" w:hAnsi="Arial Narrow" w:cs="Arial"/>
          <w:b/>
          <w:bCs/>
        </w:rPr>
        <w:t>Zoznam investičných aktivít projektu</w:t>
      </w:r>
      <w:r w:rsidR="00E0630E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– Skupina 2 – Aktivity na podporu integrovanej infraštruktúry</w:t>
      </w:r>
    </w:p>
    <w:p w14:paraId="55DA24B5" w14:textId="77777777" w:rsidR="00EF4838" w:rsidRPr="000658C8" w:rsidRDefault="00EF4838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106"/>
        <w:gridCol w:w="1276"/>
        <w:gridCol w:w="1202"/>
        <w:gridCol w:w="782"/>
        <w:gridCol w:w="1696"/>
      </w:tblGrid>
      <w:tr w:rsidR="00EF4838" w:rsidRPr="000658C8" w14:paraId="37769D88" w14:textId="77777777" w:rsidTr="00EF4838">
        <w:trPr>
          <w:trHeight w:val="492"/>
        </w:trPr>
        <w:tc>
          <w:tcPr>
            <w:tcW w:w="90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BF06DA" w14:textId="07B8EF19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 w:rsidR="00953F4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(č</w:t>
            </w:r>
            <w:r w:rsidR="00D41BA5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íslo</w:t>
            </w:r>
            <w:r w:rsidR="00953F4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1BA5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953F4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ktivity)</w:t>
            </w:r>
          </w:p>
        </w:tc>
      </w:tr>
      <w:tr w:rsidR="00EF4838" w:rsidRPr="000658C8" w14:paraId="6A02BEFF" w14:textId="77777777" w:rsidTr="00953F4A">
        <w:trPr>
          <w:trHeight w:val="1221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86370E" w14:textId="77777777" w:rsidR="00EF4838" w:rsidRDefault="00EF4838" w:rsidP="003F48B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  <w:p w14:paraId="23FB0D52" w14:textId="76217E0B" w:rsidR="00EF4838" w:rsidRPr="000658C8" w:rsidRDefault="00EF4838" w:rsidP="003F48B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</w:t>
            </w:r>
            <w:r w:rsidR="00654469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 Podmienke poskytnutia prostriedkov mechanizmu</w:t>
            </w: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č.3 ide)</w:t>
            </w:r>
            <w:r w:rsidR="006D2030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956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13AD894" w14:textId="77777777" w:rsidR="00EF4838" w:rsidRPr="000658C8" w:rsidRDefault="00EF4838" w:rsidP="003F48B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7993A524" w14:textId="77777777" w:rsidR="00EF4838" w:rsidRDefault="00EF4838" w:rsidP="003F48BE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30334E31" w14:textId="77777777" w:rsidR="00EF4838" w:rsidRPr="00286980" w:rsidRDefault="00EF4838" w:rsidP="003F48BE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  <w:p w14:paraId="3B4B67DF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56DCA715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4838" w:rsidRPr="000658C8" w14:paraId="25FE2781" w14:textId="77777777" w:rsidTr="00182815">
        <w:trPr>
          <w:trHeight w:val="723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662BD6" w14:textId="77777777" w:rsidR="00EF4838" w:rsidRPr="000658C8" w:rsidRDefault="00EF4838" w:rsidP="003F48B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4956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AC5323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F4838" w:rsidRPr="000658C8" w14:paraId="38B32E80" w14:textId="77777777" w:rsidTr="00953F4A">
        <w:trPr>
          <w:trHeight w:val="750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3E45C6" w14:textId="77777777" w:rsidR="00EF4838" w:rsidRPr="000658C8" w:rsidRDefault="00EF4838" w:rsidP="003F48BE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Trvanie aktivity</w:t>
            </w:r>
          </w:p>
        </w:tc>
        <w:tc>
          <w:tcPr>
            <w:tcW w:w="4956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078276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D24D84A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298A462E" w14:textId="77777777" w:rsidR="00EF4838" w:rsidRPr="000658C8" w:rsidRDefault="00EF4838" w:rsidP="003F48BE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916C2" w:rsidRPr="000658C8" w14:paraId="1D3091E3" w14:textId="77777777" w:rsidTr="00953F4A">
        <w:trPr>
          <w:trHeight w:val="42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79E7F9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953F4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Príspevok k napĺňaniu cieľov Reformy 5 a investície 1 Komponentu 8 POO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DC517D8" w14:textId="77777777" w:rsidR="005916C2" w:rsidRPr="000658C8" w:rsidRDefault="005916C2" w:rsidP="005916C2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5916C2" w:rsidRPr="000658C8" w14:paraId="3D86F2A7" w14:textId="77777777" w:rsidTr="00953F4A">
        <w:trPr>
          <w:trHeight w:val="1823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B71EEC" w14:textId="77777777" w:rsidR="005916C2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sz w:val="20"/>
                <w:szCs w:val="20"/>
              </w:rPr>
              <w:t>Opis aktivity</w:t>
            </w:r>
          </w:p>
          <w:p w14:paraId="3B2A35B3" w14:textId="6CE9E14F" w:rsidR="005916C2" w:rsidRPr="000658C8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CE49CD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U</w:t>
            </w:r>
            <w:r w:rsidRPr="00CE49CD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bude </w:t>
            </w:r>
            <w:r w:rsidR="007306F5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infraštruktúra, na ktorej sa vykonáva aktivita, využívaná konzorciom VŠ)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FC5CF6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5916C2" w:rsidRPr="000658C8" w14:paraId="6CD418BA" w14:textId="77777777" w:rsidTr="00953F4A">
        <w:trPr>
          <w:trHeight w:val="1823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17CDBA" w14:textId="77777777" w:rsidR="005916C2" w:rsidRPr="000658C8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Opis podaktivít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D65051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0E891A50" w14:textId="77777777" w:rsidTr="005916C2">
        <w:trPr>
          <w:trHeight w:val="415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05BEDD" w14:textId="0C1DF437" w:rsidR="005916C2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Predpokladané riziká, prekážky realizácie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ich</w:t>
            </w:r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mitigácia</w:t>
            </w:r>
            <w:proofErr w:type="spellEnd"/>
            <w:r w:rsidRPr="00A041F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780C9F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3448E773" w14:textId="77777777" w:rsidTr="005916C2">
        <w:trPr>
          <w:trHeight w:val="553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4F6C9C" w14:textId="742E9CA5" w:rsidR="005916C2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Časová následnosť 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etapizácia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) realizácie aktivity a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06571D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36A3AD78" w14:textId="77777777" w:rsidTr="005916C2">
        <w:trPr>
          <w:trHeight w:val="594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292796" w14:textId="3D0AEFFD" w:rsidR="005916C2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</w:t>
            </w:r>
            <w:r w:rsidRPr="009F1805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ázov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stavby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E0943D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75FCD878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EE5F1" w14:textId="573BCDEB" w:rsidR="005916C2" w:rsidRDefault="005916C2" w:rsidP="005916C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3932F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Adresa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stavby, pozemku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(Ulica, orientačné číslo, mesto/obec, PSČ)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C801E0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09EE49F5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9C6CDA" w14:textId="1597F8B3" w:rsidR="005916C2" w:rsidRPr="003932FA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údaje o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 stavbe 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(súpisné číslo, číslo listu vlastníctva, čísla parcely)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08AD55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3C113FB1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4889F2" w14:textId="7CC53978" w:rsidR="005916C2" w:rsidRPr="006F1347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Vlastník stavby, vzťah žiadateľa ku stavbe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E0E07F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0B86269C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B62104" w14:textId="3483DA35" w:rsidR="005916C2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Identifikačné údaje o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  <w:r w:rsidRPr="006F134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pozemku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B87EF6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(číslo listu vlastníctva, čísla parcely)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1D7E61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3704861A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2720DA" w14:textId="43996D96" w:rsidR="005916C2" w:rsidRPr="006F1347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Vlastník pozemku, vzťah žiadateľa ku pozemku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240C9C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7F253319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E9A6EA" w14:textId="51265532" w:rsidR="005916C2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Súčasné využitie stavby a pozemku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B523A4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5916C2" w:rsidRPr="000658C8" w14:paraId="3CC653B5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DFCF29" w14:textId="1F8619ED" w:rsidR="005916C2" w:rsidRDefault="005916C2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Využitie stavby a pozemku po realizácii projektu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1B1A22" w14:textId="77777777" w:rsidR="005916C2" w:rsidRPr="000658C8" w:rsidRDefault="005916C2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6624A8" w:rsidRPr="000658C8" w14:paraId="7174BAC3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5D2A59" w14:textId="77777777" w:rsidR="006624A8" w:rsidRDefault="006624A8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procesu prípravy projektu</w:t>
            </w:r>
          </w:p>
          <w:p w14:paraId="42ABE79C" w14:textId="3DF744EB" w:rsidR="006624A8" w:rsidRPr="00182815" w:rsidRDefault="006624A8" w:rsidP="005916C2">
            <w:pP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základné informácie o procese EIA , ak je potrebná, územného a stavebného podania – počet, dátum vydania a stručný popis podmienok vydania rozhodnutí)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7E11879" w14:textId="77777777" w:rsidR="006624A8" w:rsidRPr="000658C8" w:rsidRDefault="006624A8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1E590B5D" w14:textId="77777777" w:rsidTr="00182815">
        <w:trPr>
          <w:trHeight w:val="370"/>
        </w:trPr>
        <w:tc>
          <w:tcPr>
            <w:tcW w:w="410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3530D" w14:textId="3D8256F7" w:rsidR="00712838" w:rsidRDefault="00712838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Územné rozhodnutie – ak je k dispozícii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F8B27D" w14:textId="77777777" w:rsidR="00712838" w:rsidRPr="00182815" w:rsidRDefault="00712838" w:rsidP="00182815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Číslo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C4AC9E" w14:textId="4E1EC858" w:rsidR="00712838" w:rsidRPr="00182815" w:rsidRDefault="00712838" w:rsidP="00182815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Dátum právoplatnosti</w:t>
            </w:r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56070B" w14:textId="0DE295BD" w:rsidR="00712838" w:rsidRPr="00182815" w:rsidRDefault="00712838" w:rsidP="00182815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V</w:t>
            </w: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ydal</w:t>
            </w:r>
          </w:p>
        </w:tc>
      </w:tr>
      <w:tr w:rsidR="00712838" w:rsidRPr="000658C8" w14:paraId="7174DB36" w14:textId="77777777" w:rsidTr="00182815">
        <w:trPr>
          <w:trHeight w:val="615"/>
        </w:trPr>
        <w:tc>
          <w:tcPr>
            <w:tcW w:w="410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B62B30" w14:textId="77777777" w:rsidR="00712838" w:rsidRDefault="00712838" w:rsidP="005916C2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65CE69" w14:textId="77777777" w:rsidR="00712838" w:rsidRDefault="00712838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AC7A5E" w14:textId="77777777" w:rsidR="00712838" w:rsidRDefault="00712838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A3A81B" w14:textId="74BC71C7" w:rsidR="00712838" w:rsidRDefault="00712838" w:rsidP="005916C2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67B6B82D" w14:textId="77777777" w:rsidTr="00182815">
        <w:trPr>
          <w:trHeight w:val="597"/>
        </w:trPr>
        <w:tc>
          <w:tcPr>
            <w:tcW w:w="410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44059" w14:textId="007858AD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Stavebné povolenie / oznámenie stavebného úradu</w:t>
            </w:r>
            <w:r w:rsidR="00B104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– ak je k dispozícii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267534" w14:textId="6262E90B" w:rsidR="00712838" w:rsidRPr="000658C8" w:rsidRDefault="00712838" w:rsidP="00182815">
            <w:pPr>
              <w:jc w:val="center"/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Číslo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6B304B" w14:textId="366DF464" w:rsidR="00712838" w:rsidRPr="000658C8" w:rsidRDefault="00712838" w:rsidP="00182815">
            <w:pPr>
              <w:jc w:val="center"/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Dátum právoplatnosti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/ oznámenia</w:t>
            </w:r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755E7D" w14:textId="334F3389" w:rsidR="00712838" w:rsidRPr="000658C8" w:rsidRDefault="00712838" w:rsidP="00182815">
            <w:pPr>
              <w:jc w:val="center"/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V</w:t>
            </w:r>
            <w:r w:rsidRPr="000F46DD">
              <w:rPr>
                <w:rFonts w:ascii="Arial Narrow" w:eastAsia="Arial" w:hAnsi="Arial Narrow" w:cs="Arial"/>
                <w:sz w:val="20"/>
                <w:szCs w:val="20"/>
              </w:rPr>
              <w:t>ydal</w:t>
            </w:r>
          </w:p>
        </w:tc>
      </w:tr>
      <w:tr w:rsidR="00712838" w:rsidRPr="000658C8" w14:paraId="71F80E70" w14:textId="77777777" w:rsidTr="00182815">
        <w:trPr>
          <w:trHeight w:val="315"/>
        </w:trPr>
        <w:tc>
          <w:tcPr>
            <w:tcW w:w="410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77700" w14:textId="77777777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CF4B48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87D069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7CEF60" w14:textId="04904C64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B104E3" w:rsidRPr="000658C8" w14:paraId="6D900B89" w14:textId="77777777" w:rsidTr="00182815">
        <w:trPr>
          <w:trHeight w:val="419"/>
        </w:trPr>
        <w:tc>
          <w:tcPr>
            <w:tcW w:w="410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C47D39" w14:textId="41EBCE92" w:rsidR="00B104E3" w:rsidRDefault="00B104E3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Verejné obstarávanie – ak bolo vyhlásené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E6C5F4" w14:textId="4A5ADE68" w:rsidR="00B104E3" w:rsidRPr="00182815" w:rsidRDefault="00B104E3" w:rsidP="00182815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Fáza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44F09D" w14:textId="38A09053" w:rsidR="00B104E3" w:rsidRPr="00182815" w:rsidRDefault="00B104E3" w:rsidP="00182815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04DC9B" w14:textId="3095BB00" w:rsidR="00B104E3" w:rsidRPr="000658C8" w:rsidRDefault="00B104E3" w:rsidP="00182815">
            <w:pPr>
              <w:jc w:val="center"/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sz w:val="20"/>
                <w:szCs w:val="20"/>
              </w:rPr>
              <w:t>Podpísaná zmluva s dodávateľom</w:t>
            </w:r>
          </w:p>
        </w:tc>
      </w:tr>
      <w:tr w:rsidR="00B104E3" w:rsidRPr="000658C8" w14:paraId="208A56A1" w14:textId="77777777" w:rsidTr="00182815">
        <w:trPr>
          <w:trHeight w:val="315"/>
        </w:trPr>
        <w:tc>
          <w:tcPr>
            <w:tcW w:w="410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F6A8ED" w14:textId="77777777" w:rsidR="00B104E3" w:rsidRDefault="00B104E3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5A3819" w14:textId="77777777" w:rsidR="00B104E3" w:rsidRDefault="00B104E3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26F112" w14:textId="77777777" w:rsidR="00B104E3" w:rsidRDefault="00B104E3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BB67D0" w14:textId="089BA6CA" w:rsidR="00B104E3" w:rsidRDefault="00B104E3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203A7F0D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2BC87" w14:textId="7F28E957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Predpokladaný termín odovzdania do užívania (kolaudácie), resp. protokol o odovzdaní diela 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0732F4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2C131802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477ADF" w14:textId="738CC982" w:rsidR="00712838" w:rsidRDefault="00712838" w:rsidP="00712838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Del="00B6093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toho ako bude plnená požiadavka princípu „výrazne nenarušiť“ (na základe Metodickej príručky k výstavbe a obnove budov)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41BD97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2838" w:rsidRPr="000658C8" w14:paraId="19AD7221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CBEA9D" w14:textId="2E002292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Cieľová skupina </w:t>
            </w:r>
            <w:r w:rsidRPr="00940662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(študenti I. II. </w:t>
            </w:r>
            <w:r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940662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 III. stupňa štúdia, zamestnanci univerzity, verejnosť)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F456A9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56844F50" w14:textId="77777777" w:rsidTr="00953F4A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5B64A1" w14:textId="2CE3A241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940662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Cieľový stav (Uveďte cieľový stav, ku ktorému úspešná implementácia projektu povedie, aké dosahy bude mať na kvalitu vysokej školy, ako prispeje jednotlivým cieľovým skupinám.)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3056F2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D41BA5" w14:paraId="7615CE72" w14:textId="77777777" w:rsidTr="003C1452">
        <w:trPr>
          <w:trHeight w:val="248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BAF73C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mechanizmu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60AB9110" w14:textId="77777777" w:rsidR="00712838" w:rsidRPr="00D41BA5" w:rsidRDefault="00712838" w:rsidP="00712838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30E9029B" w14:textId="77777777" w:rsidR="00712838" w:rsidRPr="00D41BA5" w:rsidRDefault="00712838" w:rsidP="00712838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Bez DPH</w:t>
            </w:r>
          </w:p>
        </w:tc>
      </w:tr>
      <w:tr w:rsidR="00712838" w14:paraId="2CE31721" w14:textId="77777777" w:rsidTr="003C1452">
        <w:trPr>
          <w:trHeight w:val="405"/>
        </w:trPr>
        <w:tc>
          <w:tcPr>
            <w:tcW w:w="4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9DD8F6" w14:textId="77777777" w:rsidR="00712838" w:rsidRDefault="00712838" w:rsidP="00712838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B991E6C" w14:textId="77777777" w:rsidR="0071283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30F2E4" w14:textId="77777777" w:rsidR="0071283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12838" w:rsidRPr="000658C8" w14:paraId="451290C4" w14:textId="77777777" w:rsidTr="003C1452">
        <w:trPr>
          <w:trHeight w:val="210"/>
        </w:trPr>
        <w:tc>
          <w:tcPr>
            <w:tcW w:w="4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FB2209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Celkové výdavky na potrebné na realizáciu projektu 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56CF7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21454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Bez DPH</w:t>
            </w:r>
          </w:p>
        </w:tc>
      </w:tr>
      <w:tr w:rsidR="00712838" w:rsidRPr="000658C8" w14:paraId="7FA04D75" w14:textId="77777777" w:rsidTr="003C1452">
        <w:trPr>
          <w:trHeight w:val="210"/>
        </w:trPr>
        <w:tc>
          <w:tcPr>
            <w:tcW w:w="4106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487628" w14:textId="77777777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E9DD43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DA0937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12838" w:rsidRPr="000658C8" w14:paraId="4E37A776" w14:textId="77777777" w:rsidTr="00CD1271">
        <w:trPr>
          <w:trHeight w:val="420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CEBDF9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Spôsob zabezpečenia financovania neoprávnených výdavkov</w:t>
            </w:r>
          </w:p>
        </w:tc>
        <w:tc>
          <w:tcPr>
            <w:tcW w:w="4956" w:type="dxa"/>
            <w:gridSpan w:val="4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5ADF5D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12838" w:rsidRPr="000658C8" w14:paraId="0AC6B69F" w14:textId="77777777" w:rsidTr="007306F5">
        <w:trPr>
          <w:trHeight w:val="420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A8219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4956" w:type="dxa"/>
            <w:gridSpan w:val="4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EDE713" w14:textId="77777777" w:rsidR="00712838" w:rsidRPr="000658C8" w:rsidRDefault="00712838" w:rsidP="0071283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12838" w:rsidRPr="0003718D" w14:paraId="23F1CB56" w14:textId="77777777" w:rsidTr="0003718D">
        <w:trPr>
          <w:trHeight w:val="630"/>
        </w:trPr>
        <w:tc>
          <w:tcPr>
            <w:tcW w:w="906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FF0B3" w14:textId="77777777" w:rsidR="00712838" w:rsidRPr="0003718D" w:rsidRDefault="00712838" w:rsidP="00712838">
            <w:pPr>
              <w:rPr>
                <w:rFonts w:ascii="Arial Narrow" w:eastAsia="Arial" w:hAnsi="Arial Narrow" w:cs="Arial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03718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Pre aktivity A.1. Rekonštrukcia a modernizácia zameraná na energetickú obnovu</w:t>
            </w:r>
          </w:p>
        </w:tc>
      </w:tr>
      <w:tr w:rsidR="00712838" w:rsidRPr="000658C8" w14:paraId="146215BF" w14:textId="77777777" w:rsidTr="0003718D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126096" w14:textId="77777777" w:rsidR="00712838" w:rsidRPr="003A16CF" w:rsidRDefault="00712838" w:rsidP="00712838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3A16CF">
              <w:rPr>
                <w:rFonts w:ascii="Arial Narrow" w:eastAsia="Arial" w:hAnsi="Arial Narrow" w:cs="Arial"/>
                <w:sz w:val="20"/>
                <w:szCs w:val="20"/>
              </w:rPr>
              <w:t xml:space="preserve">Celková podlahová plocha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objektu</w:t>
            </w:r>
            <w:r w:rsidRPr="003A16CF">
              <w:rPr>
                <w:rFonts w:ascii="Arial Narrow" w:eastAsia="Arial" w:hAnsi="Arial Narrow" w:cs="Arial"/>
                <w:sz w:val="20"/>
                <w:szCs w:val="20"/>
              </w:rPr>
              <w:t xml:space="preserve"> v m</w:t>
            </w:r>
            <w:r w:rsidRPr="003A16CF">
              <w:rPr>
                <w:rFonts w:ascii="Arial Narrow" w:eastAsia="Arial" w:hAnsi="Arial Narrow" w:cs="Arial"/>
                <w:sz w:val="20"/>
                <w:szCs w:val="20"/>
                <w:vertAlign w:val="superscript"/>
              </w:rPr>
              <w:t>2</w:t>
            </w:r>
          </w:p>
          <w:p w14:paraId="721012C3" w14:textId="77777777" w:rsidR="00712838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</w:t>
            </w:r>
            <w:r w:rsidRPr="00B87EF6">
              <w:rPr>
                <w:rStyle w:val="Odkaznakomentr"/>
                <w:rFonts w:ascii="Arial Narrow" w:hAnsi="Arial Narrow"/>
                <w:i/>
                <w:iCs/>
                <w:sz w:val="20"/>
                <w:szCs w:val="20"/>
              </w:rPr>
              <w:t>zh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odná s celkovou podlahovou plochou na Projektu prislúchajúcom Energetickom </w:t>
            </w:r>
            <w:r w:rsidRPr="00B31249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certifikáte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(EC)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alebo Projektovom energetickom hodnotení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(PEH)</w:t>
            </w:r>
            <w:r w:rsidRPr="00B87EF6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ACAC7C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658C8" w14:paraId="457AC7E8" w14:textId="77777777" w:rsidTr="0003718D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E90E3E" w14:textId="77777777" w:rsidR="00712838" w:rsidRPr="003A16CF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5916C2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</w:t>
            </w:r>
            <w:r w:rsidRPr="007B1C5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ýška</w:t>
            </w:r>
            <w:r w:rsidRPr="005916C2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plánovanej</w:t>
            </w:r>
            <w:r w:rsidRPr="007B1C5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úspory primárnej energie podložená údajom z EC/PEH</w:t>
            </w: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D4096F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712838" w:rsidRPr="0003718D" w14:paraId="38E97303" w14:textId="77777777" w:rsidTr="0003718D">
        <w:trPr>
          <w:trHeight w:val="630"/>
        </w:trPr>
        <w:tc>
          <w:tcPr>
            <w:tcW w:w="906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53EE4B" w14:textId="77777777" w:rsidR="00712838" w:rsidRPr="0003718D" w:rsidRDefault="00712838" w:rsidP="00712838">
            <w:pPr>
              <w:rPr>
                <w:rFonts w:ascii="Arial Narrow" w:eastAsia="Arial" w:hAnsi="Arial Narrow" w:cs="Arial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03718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Pre aktivity A.2. Rekonštrukcia a modernizácia bez energetickej obnovy</w:t>
            </w:r>
          </w:p>
        </w:tc>
      </w:tr>
      <w:tr w:rsidR="00712838" w:rsidRPr="000658C8" w14:paraId="3E5B268B" w14:textId="77777777" w:rsidTr="0003718D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F95CFA" w14:textId="77777777" w:rsidR="00B104E3" w:rsidRDefault="00712838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Podlahová plocha, na ktorej je aktivita realizovaná</w:t>
            </w:r>
            <w:r w:rsidR="00B104E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EEE03AB" w14:textId="1ECDF33E" w:rsidR="00712838" w:rsidDel="00B6093C" w:rsidRDefault="00B104E3" w:rsidP="00712838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182815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</w:rPr>
              <w:t>(uveďte iba podlahovú plochu na ktorej budú prebiehať aktivity, nie plochu celej stavby)</w:t>
            </w:r>
          </w:p>
        </w:tc>
        <w:tc>
          <w:tcPr>
            <w:tcW w:w="495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0F9F32" w14:textId="77777777" w:rsidR="00712838" w:rsidRPr="000658C8" w:rsidRDefault="00712838" w:rsidP="00712838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1FC58797" w14:textId="3027CA87" w:rsidR="00EF4838" w:rsidRDefault="00EF4838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01917BE8" w14:textId="22537343" w:rsidR="00953F4A" w:rsidRDefault="00953F4A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bookmarkStart w:id="1" w:name="_Hlk140584363"/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 prípade potreby je možné doplniť 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ľubovoľný počet</w:t>
      </w: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akti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vít.</w:t>
      </w:r>
      <w:bookmarkEnd w:id="1"/>
    </w:p>
    <w:p w14:paraId="76799140" w14:textId="2DEF1552" w:rsidR="005916C2" w:rsidRDefault="005916C2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4811BB30" w14:textId="1D476146" w:rsidR="005916C2" w:rsidRDefault="005916C2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4F5A4E50" w14:textId="77777777" w:rsidR="005916C2" w:rsidRDefault="005916C2" w:rsidP="00EF4838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7B85B7AC" w14:textId="7DED67C6" w:rsidR="005916C2" w:rsidRPr="005916C2" w:rsidRDefault="006D2030" w:rsidP="006D2030">
      <w:pPr>
        <w:widowControl w:val="0"/>
        <w:spacing w:line="276" w:lineRule="auto"/>
        <w:jc w:val="both"/>
        <w:rPr>
          <w:rFonts w:ascii="Arial Narrow" w:eastAsia="Arial" w:hAnsi="Arial Narrow" w:cs="Arial"/>
          <w:b/>
          <w:color w:val="000000" w:themeColor="text1"/>
          <w:sz w:val="24"/>
          <w:szCs w:val="20"/>
          <w:u w:val="single"/>
        </w:rPr>
      </w:pPr>
      <w:r>
        <w:rPr>
          <w:rFonts w:ascii="Arial Narrow" w:eastAsia="Arial" w:hAnsi="Arial Narrow" w:cs="Arial"/>
          <w:b/>
          <w:color w:val="000000" w:themeColor="text1"/>
          <w:sz w:val="24"/>
          <w:szCs w:val="20"/>
          <w:u w:val="single"/>
        </w:rPr>
        <w:t>*</w:t>
      </w:r>
      <w:r w:rsidR="005916C2" w:rsidRPr="005916C2">
        <w:rPr>
          <w:rFonts w:ascii="Arial Narrow" w:eastAsia="Arial" w:hAnsi="Arial Narrow" w:cs="Arial"/>
          <w:b/>
          <w:color w:val="000000" w:themeColor="text1"/>
          <w:sz w:val="24"/>
          <w:szCs w:val="20"/>
          <w:u w:val="single"/>
        </w:rPr>
        <w:t xml:space="preserve">Zoznam aktivít a </w:t>
      </w:r>
      <w:proofErr w:type="spellStart"/>
      <w:r w:rsidR="005916C2" w:rsidRPr="005916C2">
        <w:rPr>
          <w:rFonts w:ascii="Arial Narrow" w:eastAsia="Arial" w:hAnsi="Arial Narrow" w:cs="Arial"/>
          <w:b/>
          <w:color w:val="000000" w:themeColor="text1"/>
          <w:sz w:val="24"/>
          <w:szCs w:val="20"/>
          <w:u w:val="single"/>
        </w:rPr>
        <w:t>podaktivít</w:t>
      </w:r>
      <w:proofErr w:type="spellEnd"/>
      <w:r w:rsidR="005916C2" w:rsidRPr="005916C2">
        <w:rPr>
          <w:rFonts w:ascii="Arial Narrow" w:eastAsia="Arial" w:hAnsi="Arial Narrow" w:cs="Arial"/>
          <w:b/>
          <w:color w:val="000000" w:themeColor="text1"/>
          <w:sz w:val="24"/>
          <w:szCs w:val="20"/>
          <w:u w:val="single"/>
        </w:rPr>
        <w:t>:</w:t>
      </w:r>
    </w:p>
    <w:p w14:paraId="01D2F3E7" w14:textId="7399C19F" w:rsidR="005916C2" w:rsidRPr="005916C2" w:rsidRDefault="005916C2" w:rsidP="005916C2">
      <w:pPr>
        <w:widowControl w:val="0"/>
        <w:spacing w:after="0" w:line="276" w:lineRule="auto"/>
        <w:jc w:val="both"/>
        <w:rPr>
          <w:rFonts w:ascii="Arial Narrow" w:eastAsia="Arial" w:hAnsi="Arial Narrow" w:cs="Arial"/>
          <w:b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b/>
          <w:color w:val="000000" w:themeColor="text1"/>
          <w:sz w:val="20"/>
          <w:szCs w:val="20"/>
        </w:rPr>
        <w:t>A.</w:t>
      </w:r>
      <w:r>
        <w:rPr>
          <w:rFonts w:ascii="Arial Narrow" w:eastAsia="Arial" w:hAnsi="Arial Narrow" w:cs="Arial"/>
          <w:b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b/>
          <w:color w:val="000000" w:themeColor="text1"/>
          <w:sz w:val="20"/>
          <w:szCs w:val="20"/>
        </w:rPr>
        <w:t>Aktivity rekonštrukcie a modernizácie (žiadateľ a partner si zvolí najmenej jednu z aktivít)</w:t>
      </w:r>
    </w:p>
    <w:p w14:paraId="14E38477" w14:textId="6F8FA7D3" w:rsidR="005916C2" w:rsidRPr="005916C2" w:rsidRDefault="005916C2" w:rsidP="005916C2">
      <w:pPr>
        <w:widowControl w:val="0"/>
        <w:spacing w:after="0" w:line="276" w:lineRule="auto"/>
        <w:ind w:left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1. Rekonštrukcia, modernizácia, alebo iné opatrenia a aktivity na obnove objektu vysokej školy spoločne vedúce ku zlepšeniu energetickej hospodárnosti objektu, ktorou sa dosiahne úspora primárnej energie výpočtovo určenou hodnotou primárnej energie (globálneho ukazovateľa) minimálne na úrovni 30 %.</w:t>
      </w:r>
    </w:p>
    <w:p w14:paraId="775D8EC3" w14:textId="77777777" w:rsidR="005916C2" w:rsidRPr="005916C2" w:rsidRDefault="005916C2" w:rsidP="005916C2">
      <w:pPr>
        <w:widowControl w:val="0"/>
        <w:spacing w:after="0" w:line="276" w:lineRule="auto"/>
        <w:ind w:left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Aktivita môže byť realizovaná samostatne, alebo v kombinácii s ľubovoľným počtom nasledujúcich </w:t>
      </w:r>
      <w:proofErr w:type="spellStart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podaktivít</w:t>
      </w:r>
      <w:proofErr w:type="spellEnd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na každom objekte vysokej školy:</w:t>
      </w:r>
    </w:p>
    <w:p w14:paraId="5B3AD543" w14:textId="214A52D2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a)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Nákup a montáž interiérového vybavenia</w:t>
      </w:r>
    </w:p>
    <w:p w14:paraId="7B144015" w14:textId="3C78A3F7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b)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Zvýšenie mobility a </w:t>
      </w:r>
      <w:proofErr w:type="spellStart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debarierizácia</w:t>
      </w:r>
      <w:proofErr w:type="spellEnd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budovy</w:t>
      </w:r>
    </w:p>
    <w:p w14:paraId="52EB502D" w14:textId="0A45606A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c)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Digitalizácia budov – elektronické a informačné systémy</w:t>
      </w:r>
    </w:p>
    <w:p w14:paraId="286FB394" w14:textId="1B50131E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d)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Úprava vonkajších areálov</w:t>
      </w:r>
    </w:p>
    <w:p w14:paraId="6A49E9F1" w14:textId="3C465D35" w:rsid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e)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Iné vyvolané investície</w:t>
      </w:r>
    </w:p>
    <w:p w14:paraId="72729417" w14:textId="77777777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0DD64131" w14:textId="77777777" w:rsidR="005916C2" w:rsidRPr="005916C2" w:rsidRDefault="005916C2" w:rsidP="005916C2">
      <w:pPr>
        <w:widowControl w:val="0"/>
        <w:spacing w:after="0" w:line="276" w:lineRule="auto"/>
        <w:ind w:left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 xml:space="preserve">2. Rekonštrukcia alebo modernizácia bez energetickej obnovy. </w:t>
      </w:r>
    </w:p>
    <w:p w14:paraId="30A0A35C" w14:textId="0F10AD55" w:rsidR="005916C2" w:rsidRPr="005916C2" w:rsidRDefault="005916C2" w:rsidP="005916C2">
      <w:pPr>
        <w:widowControl w:val="0"/>
        <w:spacing w:after="0" w:line="276" w:lineRule="auto"/>
        <w:ind w:left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Aktivita môže byť realizovaná samostatne, alebo v kombinácii s ľubovoľným počtom nasledujúcich </w:t>
      </w:r>
      <w:proofErr w:type="spellStart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podaktivít</w:t>
      </w:r>
      <w:proofErr w:type="spellEnd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:</w:t>
      </w:r>
    </w:p>
    <w:p w14:paraId="1DA7CDFA" w14:textId="27B094FA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a)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Nákup a montáž interiérového vybavenia</w:t>
      </w:r>
    </w:p>
    <w:p w14:paraId="4995A339" w14:textId="62BD5C89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b)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Zvýšenie mobility a </w:t>
      </w:r>
      <w:proofErr w:type="spellStart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debarierizácia</w:t>
      </w:r>
      <w:proofErr w:type="spellEnd"/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budovy</w:t>
      </w:r>
    </w:p>
    <w:p w14:paraId="0CA38C6A" w14:textId="6687FA33" w:rsidR="005916C2" w:rsidRPr="005916C2" w:rsidRDefault="005916C2" w:rsidP="005916C2">
      <w:pPr>
        <w:widowControl w:val="0"/>
        <w:spacing w:after="0" w:line="276" w:lineRule="auto"/>
        <w:ind w:left="708" w:firstLine="708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lastRenderedPageBreak/>
        <w:t>c)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</w:t>
      </w:r>
      <w:r w:rsidRPr="005916C2">
        <w:rPr>
          <w:rFonts w:ascii="Arial Narrow" w:eastAsia="Arial" w:hAnsi="Arial Narrow" w:cs="Arial"/>
          <w:color w:val="000000" w:themeColor="text1"/>
          <w:sz w:val="20"/>
          <w:szCs w:val="20"/>
        </w:rPr>
        <w:t>Digitalizácia budov – elektronické a informačné systémy</w:t>
      </w:r>
    </w:p>
    <w:p w14:paraId="794E75A7" w14:textId="77777777" w:rsidR="005916C2" w:rsidRPr="005916C2" w:rsidRDefault="005916C2" w:rsidP="005916C2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52047BE2" w14:textId="678D2CB2" w:rsidR="005916C2" w:rsidRPr="005916C2" w:rsidRDefault="005916C2" w:rsidP="005916C2">
      <w:pPr>
        <w:widowControl w:val="0"/>
        <w:spacing w:after="0" w:line="276" w:lineRule="auto"/>
        <w:jc w:val="both"/>
        <w:rPr>
          <w:rFonts w:ascii="Arial Narrow" w:eastAsia="Arial" w:hAnsi="Arial Narrow" w:cs="Arial"/>
          <w:b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b/>
          <w:color w:val="000000" w:themeColor="text1"/>
          <w:sz w:val="20"/>
          <w:szCs w:val="20"/>
        </w:rPr>
        <w:t>B. Iné investičné aktivity (žiadateľ a partner si zvolí ľubovoľný počet aktivít)</w:t>
      </w:r>
    </w:p>
    <w:p w14:paraId="11115C74" w14:textId="36032EE0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1. Výstavba nových objektov</w:t>
      </w:r>
    </w:p>
    <w:p w14:paraId="62148F54" w14:textId="70C7DDFB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2. Prístavba, nadstavba existujúcich budov</w:t>
      </w:r>
    </w:p>
    <w:p w14:paraId="49CB6467" w14:textId="7A55DE93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3. Úprava vonkajších areálov</w:t>
      </w:r>
    </w:p>
    <w:p w14:paraId="1AD7A9EC" w14:textId="3EE27D80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4. Nákup stavieb</w:t>
      </w:r>
    </w:p>
    <w:p w14:paraId="5E9E88CA" w14:textId="101E0760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5. Nákup pozemkov</w:t>
      </w:r>
    </w:p>
    <w:p w14:paraId="7490E783" w14:textId="064F9BB9" w:rsidR="005916C2" w:rsidRPr="005916C2" w:rsidRDefault="005916C2" w:rsidP="005916C2">
      <w:pPr>
        <w:widowControl w:val="0"/>
        <w:spacing w:after="0" w:line="276" w:lineRule="auto"/>
        <w:ind w:firstLine="708"/>
        <w:jc w:val="both"/>
        <w:rPr>
          <w:rFonts w:ascii="Arial Narrow" w:eastAsia="Arial" w:hAnsi="Arial Narrow" w:cs="Arial"/>
          <w:i/>
          <w:color w:val="000000" w:themeColor="text1"/>
          <w:sz w:val="20"/>
          <w:szCs w:val="20"/>
        </w:rPr>
      </w:pPr>
      <w:r w:rsidRPr="005916C2">
        <w:rPr>
          <w:rFonts w:ascii="Arial Narrow" w:eastAsia="Arial" w:hAnsi="Arial Narrow" w:cs="Arial"/>
          <w:i/>
          <w:color w:val="000000" w:themeColor="text1"/>
          <w:sz w:val="20"/>
          <w:szCs w:val="20"/>
        </w:rPr>
        <w:t>6. Iné aktivity spojené s integrovanou infraštruktúrou</w:t>
      </w:r>
    </w:p>
    <w:sectPr w:rsidR="005916C2" w:rsidRPr="0059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8E93" w14:textId="77777777" w:rsidR="00167B57" w:rsidRDefault="00167B57" w:rsidP="005916C2">
      <w:pPr>
        <w:spacing w:after="0" w:line="240" w:lineRule="auto"/>
      </w:pPr>
      <w:r>
        <w:separator/>
      </w:r>
    </w:p>
  </w:endnote>
  <w:endnote w:type="continuationSeparator" w:id="0">
    <w:p w14:paraId="0F63B46D" w14:textId="77777777" w:rsidR="00167B57" w:rsidRDefault="00167B57" w:rsidP="0059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955E0" w14:textId="77777777" w:rsidR="00167B57" w:rsidRDefault="00167B57" w:rsidP="005916C2">
      <w:pPr>
        <w:spacing w:after="0" w:line="240" w:lineRule="auto"/>
      </w:pPr>
      <w:r>
        <w:separator/>
      </w:r>
    </w:p>
  </w:footnote>
  <w:footnote w:type="continuationSeparator" w:id="0">
    <w:p w14:paraId="186F95D1" w14:textId="77777777" w:rsidR="00167B57" w:rsidRDefault="00167B57" w:rsidP="0059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258"/>
    <w:multiLevelType w:val="hybridMultilevel"/>
    <w:tmpl w:val="96DCDA9C"/>
    <w:lvl w:ilvl="0" w:tplc="A50EA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38"/>
    <w:rsid w:val="000928CC"/>
    <w:rsid w:val="00167B57"/>
    <w:rsid w:val="00182815"/>
    <w:rsid w:val="00281AAF"/>
    <w:rsid w:val="004F31D2"/>
    <w:rsid w:val="005916C2"/>
    <w:rsid w:val="00654469"/>
    <w:rsid w:val="006624A8"/>
    <w:rsid w:val="006D2030"/>
    <w:rsid w:val="006F0518"/>
    <w:rsid w:val="0070516C"/>
    <w:rsid w:val="00712838"/>
    <w:rsid w:val="007306F5"/>
    <w:rsid w:val="007C21AA"/>
    <w:rsid w:val="0090693D"/>
    <w:rsid w:val="00953F4A"/>
    <w:rsid w:val="00965570"/>
    <w:rsid w:val="00B104E3"/>
    <w:rsid w:val="00D41BA5"/>
    <w:rsid w:val="00E0630E"/>
    <w:rsid w:val="00E44138"/>
    <w:rsid w:val="00EF4838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5160"/>
  <w15:chartTrackingRefBased/>
  <w15:docId w15:val="{9D42367A-F35F-4CA5-9CD4-6B9F0027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4838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483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051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1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16C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1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16C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16C"/>
    <w:rPr>
      <w:rFonts w:ascii="Segoe UI" w:eastAsia="Calibri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306F5"/>
    <w:pPr>
      <w:spacing w:after="0" w:line="240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549C-8F6E-4C08-80DA-89910BBA084B}">
  <ds:schemaRefs>
    <ds:schemaRef ds:uri="86fee524-2a5c-428d-808a-5494a972a508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973990-A07F-493F-87C6-74BB986910F3}"/>
</file>

<file path=customXml/itemProps3.xml><?xml version="1.0" encoding="utf-8"?>
<ds:datastoreItem xmlns:ds="http://schemas.openxmlformats.org/officeDocument/2006/customXml" ds:itemID="{83B612C7-DD1A-4B22-A544-3255D7120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B6C22-7D6D-4AF4-9EAC-E3D8242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Zrak Andrej</dc:creator>
  <cp:keywords/>
  <dc:description/>
  <cp:lastModifiedBy>Zrak Andrej</cp:lastModifiedBy>
  <cp:revision>2</cp:revision>
  <dcterms:created xsi:type="dcterms:W3CDTF">2023-08-02T12:24:00Z</dcterms:created>
  <dcterms:modified xsi:type="dcterms:W3CDTF">2023-08-02T12:24:00Z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