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E0AB9" w14:textId="77777777"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  <w:bookmarkStart w:id="0" w:name="_Toc440876075"/>
      <w:bookmarkStart w:id="1" w:name="_GoBack"/>
      <w:bookmarkEnd w:id="1"/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>Z</w:t>
      </w:r>
      <w:r w:rsidR="00715BDE" w:rsidRPr="00E2302A">
        <w:rPr>
          <w:rFonts w:ascii="Century Gothic" w:eastAsiaTheme="minorHAnsi" w:hAnsi="Century Gothic" w:cs="Arial"/>
          <w:b/>
          <w:bCs/>
          <w:i/>
          <w:lang w:eastAsia="en-US"/>
        </w:rPr>
        <w:t>OZNAM OPRÁVNENÝCH A NEOPRÁVNENÝCH VÝDAVKOV</w:t>
      </w:r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 xml:space="preserve"> PRE PROJEKTY TP</w:t>
      </w:r>
    </w:p>
    <w:p w14:paraId="70EE13DA" w14:textId="77777777"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</w:p>
    <w:p w14:paraId="787C7852" w14:textId="77777777"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Zoznam oprávnených a neoprávnených výdavkov je určený pre prioritnú os 7 Operačného programu Ľudské zdroje a to pre projekty technickej pomoci sprostredkovateľského orgánu Ministerstvo školstva, vedy výskumu a športu SR. Zoznam oprávnených výdavkov bol spracovaný v súlade s pravidlami oprávnenosti výdavkov definované Centrálnym koordinačným orgánom na národnej úrovni v Systéme riadenia EŠIF na programové obdobie 2014 - 2020, v Metodickom pokyne č. 4 k číselníku oprávnených výdavkov, Metodickom pokyne č. 6 k pravidlám oprávnenosti pre najčastejšie sa vyskytujúce skupiny výdavkov a Metodickom pokyne č. 18 k overovaniu hospodárnosti výdavkov.</w:t>
      </w:r>
    </w:p>
    <w:p w14:paraId="5A20D1CE" w14:textId="77777777"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81DBAF5" w14:textId="77777777"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Za interpretáciu oprávnenosti výdavkov zodpovedá sprostredkovateľský orgán.</w:t>
      </w:r>
    </w:p>
    <w:p w14:paraId="679A0ACA" w14:textId="77777777"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B9CD3A8" w14:textId="77777777"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6A709990" w14:textId="77777777"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Všeobecné podmienky oprávnenosti výdavkov</w:t>
      </w:r>
    </w:p>
    <w:p w14:paraId="7CC018BA" w14:textId="77777777"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70819B97" w14:textId="77777777"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Na oprávnenosť výdavkov projektov TP sa vzťahujú ustanoven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ia kapitol 3.5.1, 3.5.2, 3.5.3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, 3.5.7, 3.5.8 a 3.5.9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ystému riadenia EŠIF,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6 k pravidlám oprávnenosti pre najčastejšie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 vyskytujúce skupiny výdavkov a následne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24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 technickej pomoci</w:t>
      </w:r>
      <w:r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Prijímateľ je povinný dodržiavať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stanovené podmienky oprávnenosti výdavkov na vnútroštátnej úrovni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7951AED0" w14:textId="4BB05DBC" w:rsidR="00853459" w:rsidRDefault="00853459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je povinný primerane pre projekty TP dodržiavať ustanovenia Príručky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prijímateľa, prioritná os 1 Vzdelávanie OP ĽZ, programové obdobie 2014-2020</w:t>
      </w:r>
    </w:p>
    <w:p w14:paraId="373AF228" w14:textId="1E2E8E2B" w:rsidR="009E69A1" w:rsidRDefault="009E69A1" w:rsidP="003255F5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procesoch verejného obstarávania je prijímateľ povinný postupovať podľa platného Rozhodnutia o schválení </w:t>
      </w:r>
      <w:proofErr w:type="spellStart"/>
      <w:r>
        <w:rPr>
          <w:rFonts w:ascii="Century Gothic" w:eastAsiaTheme="minorHAnsi" w:hAnsi="Century Gothic" w:cs="Arial"/>
          <w:sz w:val="20"/>
          <w:szCs w:val="20"/>
          <w:lang w:eastAsia="en-US"/>
        </w:rPr>
        <w:t>ŽoNFP</w:t>
      </w:r>
      <w:proofErr w:type="spellEnd"/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 platnou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Príručk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ou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obdobie2014-2020</w:t>
      </w:r>
      <w:r w:rsidRPr="009E69A1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6B68BD93" w14:textId="77777777" w:rsidR="009E69A1" w:rsidRPr="000B38E3" w:rsidRDefault="009E69A1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2C3D9076" w14:textId="77777777" w:rsidR="008E4422" w:rsidRDefault="00B80AD8" w:rsidP="005B4FE2">
      <w:pPr>
        <w:pStyle w:val="Nadpis3"/>
        <w:keepLines/>
        <w:widowControl w:val="0"/>
        <w:numPr>
          <w:ilvl w:val="0"/>
          <w:numId w:val="3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Definovanie oprávnených</w:t>
      </w:r>
      <w:r w:rsidR="008E4422">
        <w:rPr>
          <w:rFonts w:eastAsiaTheme="majorEastAsia" w:cstheme="majorBidi"/>
          <w:szCs w:val="24"/>
          <w:lang w:eastAsia="cs-CZ"/>
        </w:rPr>
        <w:t xml:space="preserve"> výdavk</w:t>
      </w:r>
      <w:bookmarkEnd w:id="0"/>
      <w:r>
        <w:rPr>
          <w:rFonts w:eastAsiaTheme="majorEastAsia" w:cstheme="majorBidi"/>
          <w:szCs w:val="24"/>
          <w:lang w:eastAsia="cs-CZ"/>
        </w:rPr>
        <w:t xml:space="preserve">ov a ich </w:t>
      </w:r>
      <w:r w:rsidR="00805EB1">
        <w:rPr>
          <w:rFonts w:eastAsiaTheme="majorEastAsia" w:cstheme="majorBidi"/>
          <w:szCs w:val="24"/>
          <w:lang w:eastAsia="cs-CZ"/>
        </w:rPr>
        <w:t>špecifické pravidlá</w:t>
      </w:r>
      <w:r w:rsidR="004E18AB">
        <w:rPr>
          <w:rFonts w:eastAsiaTheme="majorEastAsia" w:cstheme="majorBidi"/>
          <w:szCs w:val="24"/>
          <w:lang w:eastAsia="cs-CZ"/>
        </w:rPr>
        <w:t xml:space="preserve"> pre projekty TP</w:t>
      </w:r>
    </w:p>
    <w:p w14:paraId="50DBD39C" w14:textId="77777777"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C51F239" w14:textId="463997BA" w:rsidR="00D03E89" w:rsidRDefault="007767C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767CD">
        <w:rPr>
          <w:rFonts w:ascii="Century Gothic" w:eastAsiaTheme="minorHAnsi" w:hAnsi="Century Gothic" w:cs="Arial"/>
          <w:sz w:val="20"/>
          <w:szCs w:val="20"/>
          <w:lang w:eastAsia="en-US"/>
        </w:rPr>
        <w:t>Medzi oprávnené výdavky projektov TP OPĽZ sa zaraďujú výdavky, ktoré skutočne vznikli počas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realizácie príslušnej hlavnej aktivity Projektu, ku ktorej sa tieto výdavky vzťahujú (od Začatia realizácie hlavnej aktivity Projektu do Ukončenia realizácie hlavnej aktivity Projektu) a na realizáciu Projektu (nutná existencia priameho spojenia s Projektom). Úhrada výdavkov zo strany žiadateľa musí byť vykonaná v období od začatia realizácie hlavnej aktivity projektu, ku ktorej sa tieto výdavky vzťahujú (najskôr od 1.1.201</w:t>
      </w:r>
      <w:r w:rsidR="008E438F">
        <w:rPr>
          <w:rFonts w:ascii="Century Gothic" w:eastAsiaTheme="minorHAnsi" w:hAnsi="Century Gothic" w:cs="Arial"/>
          <w:sz w:val="20"/>
          <w:szCs w:val="20"/>
          <w:lang w:eastAsia="en-US"/>
        </w:rPr>
        <w:t>7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>) do 30 kalendárnych dní odo dňa ukončenia realizácie poslednej hlavnej aktivity projektu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súlade s podmienkami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tohto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písomného vyzvania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zároveň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boli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uskutočnené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činností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súvisiace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 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implementáciou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prioritnej osi 1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>OP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 oprávnenými aktivitami definovanými v OP 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14:paraId="0EC6336D" w14:textId="77777777"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4AF9158" w14:textId="5A46E9FD"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 hľadiska oblasti intervencie sa oprávnené výdavky členia </w:t>
      </w:r>
      <w:r w:rsidR="00805EB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rámci projektov TP OPĽZ 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do </w:t>
      </w:r>
      <w:r w:rsidR="00E90061">
        <w:rPr>
          <w:rFonts w:ascii="Century Gothic" w:eastAsiaTheme="minorHAnsi" w:hAnsi="Century Gothic" w:cs="Arial"/>
          <w:sz w:val="20"/>
          <w:szCs w:val="20"/>
          <w:lang w:eastAsia="en-US"/>
        </w:rPr>
        <w:t>2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kategórií: </w:t>
      </w:r>
    </w:p>
    <w:p w14:paraId="3E67D860" w14:textId="77777777"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121 – Príprava, vykonávanie, monitorovanie a inšpekcia </w:t>
      </w:r>
    </w:p>
    <w:p w14:paraId="30E4BAEF" w14:textId="77777777"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122 – Hodnotenie a štúdie </w:t>
      </w:r>
    </w:p>
    <w:p w14:paraId="3B2EE07C" w14:textId="77777777" w:rsidR="009735F7" w:rsidRDefault="009735F7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14:paraId="1066BC02" w14:textId="77777777" w:rsidR="009735F7" w:rsidRPr="00191EB1" w:rsidRDefault="009735F7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Osobné výdavky</w:t>
      </w:r>
    </w:p>
    <w:p w14:paraId="50474CBA" w14:textId="77777777" w:rsidR="009735F7" w:rsidRPr="009735F7" w:rsidRDefault="009735F7" w:rsidP="009735F7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A5757A8" w14:textId="77777777" w:rsidR="009735F7" w:rsidRPr="004E18AB" w:rsidRDefault="009735F7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9735F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mzdové zabezpečenie zamestnancov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administratívnych kapacít </w:t>
      </w:r>
      <w:r w:rsidRPr="009735F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hrubá mzda vrátane </w:t>
      </w:r>
      <w:r w:rsidR="007F4B44" w:rsidRPr="009735F7">
        <w:rPr>
          <w:rFonts w:ascii="Century Gothic" w:eastAsiaTheme="minorHAnsi" w:hAnsi="Century Gothic" w:cs="Arial"/>
          <w:sz w:val="20"/>
          <w:szCs w:val="20"/>
          <w:lang w:eastAsia="en-US"/>
        </w:rPr>
        <w:t>odmien</w:t>
      </w:r>
      <w:r w:rsid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zákonných odvodov</w:t>
      </w:r>
      <w:r w:rsidR="007F4B44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zamestnávateľa</w:t>
      </w:r>
      <w:r w:rsidR="007F4B44">
        <w:rPr>
          <w:rFonts w:ascii="Century Gothic" w:eastAsiaTheme="minorHAnsi" w:hAnsi="Century Gothic" w:cs="Arial"/>
          <w:sz w:val="20"/>
          <w:szCs w:val="20"/>
          <w:lang w:eastAsia="en-US"/>
        </w:rPr>
        <w:t>. (O</w:t>
      </w:r>
      <w:r w:rsidR="007F4B44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právnené výdavky </w:t>
      </w:r>
      <w:r w:rsidR="007F4B44">
        <w:rPr>
          <w:rFonts w:ascii="Century Gothic" w:eastAsiaTheme="minorHAnsi" w:hAnsi="Century Gothic" w:cs="Arial"/>
          <w:sz w:val="20"/>
          <w:szCs w:val="20"/>
          <w:lang w:eastAsia="en-US"/>
        </w:rPr>
        <w:t>sú</w:t>
      </w:r>
      <w:r w:rsidR="007F4B44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7F4B44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 xml:space="preserve">všetky </w:t>
      </w:r>
      <w:r w:rsid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zložky mzdy vrátane príplatkov </w:t>
      </w:r>
      <w:r w:rsidR="007F4B44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a náhrady mz</w:t>
      </w:r>
      <w:r w:rsidR="007F4B44">
        <w:rPr>
          <w:rFonts w:ascii="Century Gothic" w:eastAsiaTheme="minorHAnsi" w:hAnsi="Century Gothic" w:cs="Arial"/>
          <w:sz w:val="20"/>
          <w:szCs w:val="20"/>
          <w:lang w:eastAsia="en-US"/>
        </w:rPr>
        <w:t>dy v zmysle platnej legislatívy</w:t>
      </w:r>
      <w:r w:rsidR="007F4B44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ako aj povinné odvody za zamestnávateľa</w:t>
      </w:r>
      <w:r w:rsidR="00602EE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preukázateľne súvisiace s realizáciou projektu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4E18AB" w:rsidRPr="004E18AB">
        <w:rPr>
          <w:sz w:val="23"/>
          <w:szCs w:val="23"/>
        </w:rPr>
        <w:t xml:space="preserve"> 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mierou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zapojenia zamestnanca do realizácie daného projektu</w:t>
      </w:r>
      <w:r w:rsidR="007F4B44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7F4B44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63CAAAEF" w14:textId="77777777" w:rsidR="009735F7" w:rsidRDefault="009735F7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9735F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mzdové zabezpečenie administratívno-obslužného personálu – </w:t>
      </w:r>
      <w:r w:rsidR="004E18AB" w:rsidRPr="009735F7">
        <w:rPr>
          <w:rFonts w:ascii="Century Gothic" w:eastAsiaTheme="minorHAnsi" w:hAnsi="Century Gothic" w:cs="Arial"/>
          <w:sz w:val="20"/>
          <w:szCs w:val="20"/>
          <w:lang w:eastAsia="en-US"/>
        </w:rPr>
        <w:t>hrubá mzda vrátane odmien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zákonných odvodov</w:t>
      </w:r>
      <w:r w:rsidR="004E18AB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zamestnávateľa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. (O</w:t>
      </w:r>
      <w:r w:rsidR="004E18AB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právnené výdavky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sú</w:t>
      </w:r>
      <w:r w:rsidR="004E18AB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všetky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zložky mzdy vrátane príplatkov </w:t>
      </w:r>
      <w:r w:rsidR="004E18AB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a náhrady mz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dy v zmysle platnej legislatívy</w:t>
      </w:r>
      <w:r w:rsidR="004E18AB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ako aj povinné odvody za zamestnávateľa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preukázateľne súvisiace s realizáciou aktivít projektu/</w:t>
      </w:r>
      <w:r w:rsidR="004E18AB" w:rsidRPr="004E18AB">
        <w:rPr>
          <w:sz w:val="23"/>
          <w:szCs w:val="23"/>
        </w:rPr>
        <w:t xml:space="preserve"> 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mierou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zapojenia zamestnanca do realizácie daného projektu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4E18AB"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710C8A08" w14:textId="51493FA2" w:rsidR="007F4B44" w:rsidRDefault="007F4B44" w:rsidP="0088071D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odmeny zamestnancom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pracujúcich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základe dohôd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 prácach vykonávaných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mimo pracovného pomeru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vrátane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povinných odvodov za zamestnávateľa preukázateľne súvisiace s realizáciou projektu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edná o výdavky v rámci oblasti „Príprava, implementácia, monitorovanie, hodnoteni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e, kontrola a audit“,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(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napr. na odborné hodnotenie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Nejedná sa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výdavky v personálnej oblasti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, ktoré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sú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taktiež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kde sa uvádzajú len výdavky na mzdové zabezpečenie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</w:t>
      </w:r>
    </w:p>
    <w:p w14:paraId="091854BD" w14:textId="77777777" w:rsidR="00AB4DBA" w:rsidRDefault="00AB4DBA" w:rsidP="00AB4DBA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57785A5" w14:textId="77777777" w:rsidR="009735F7" w:rsidRPr="009735F7" w:rsidRDefault="007F4B44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Oprávnení z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amestnanci preukazujú svoje zapojenie do projektu 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prostredníctvom 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spracovania svojho 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pracovn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ého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výkaz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u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pričom potvrdzujú, že uvedené informácie v pracovnom výkaze sú založené na skutočne vykonanej práci v rámci vykázaného obdobia. </w:t>
      </w:r>
    </w:p>
    <w:p w14:paraId="554EBA25" w14:textId="77777777"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84807EA" w14:textId="259E358E"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týkajúce sa výkonu práce sú limitované rozsahom práce maximálne 12 hodín/deň za všetky pracovné úväzky osoby kumulatívne, t.j. za všetky pracovné pomery, dohody mimo pracovného pomeru a štátnozamestnanecký pomer</w:t>
      </w:r>
      <w:r w:rsidRPr="004E18AB">
        <w:rPr>
          <w:rStyle w:val="Odkaznapoznmkupodiarou"/>
          <w:lang w:eastAsia="en-US"/>
        </w:rPr>
        <w:footnoteReference w:id="2"/>
      </w:r>
      <w:r w:rsidRPr="004E18AB">
        <w:rPr>
          <w:rStyle w:val="Odkaznapoznmkupodiarou"/>
          <w:lang w:eastAsia="en-US"/>
        </w:rPr>
        <w:t>.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  </w:t>
      </w:r>
    </w:p>
    <w:p w14:paraId="0E647A1F" w14:textId="77777777"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FADB022" w14:textId="77777777" w:rsidR="00C225EA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 neoprávnené výdavky sa v prípade osobných výdavkov považujú: </w:t>
      </w:r>
    </w:p>
    <w:p w14:paraId="054ADD06" w14:textId="77777777"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pri obchádzaní zákona č. 311/2001 Z. z. Zákonník práce v platnom znení (ďalej len ,,zákonník práce“); </w:t>
      </w:r>
    </w:p>
    <w:p w14:paraId="240DEC66" w14:textId="77777777"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nemocenské dávky hradené zo strany Sociálnej poisťovne (keďže nie sú výdavkom prijímateľa); </w:t>
      </w:r>
    </w:p>
    <w:p w14:paraId="4532C7E4" w14:textId="77777777"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týkajúce sa činností na projekte vykonávaných počas práceneschopnosti, ošetrovania člena rodiny a návštevy lekára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482B5091" w14:textId="77777777"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ostatné výdavky na zamestnanca, ktoré nie sú pre zamestnávateľov povinné podľa osobitných právnych predpisov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14:paraId="40BEA33E" w14:textId="77777777"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na odstupné a odchodné (keďže medzi nimi a realizáciou projektu neexistuje príčinný vzťah)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14:paraId="6C894FD2" w14:textId="77777777" w:rsidR="00C119DC" w:rsidRP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tvorba sociálneho fondu (aj napriek tomu, že je pre zamestnávateľa povinnosťou, jeho čerpanie n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esúvisí s realizáciu projektu);</w:t>
      </w:r>
    </w:p>
    <w:p w14:paraId="6AC8245F" w14:textId="77777777" w:rsidR="004E18AB" w:rsidRPr="004E18AB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pomerná časť osobných výdavkov, ktorá nezodpovedá pracovnému vyťaženiu zamestnanca na danom projekte.</w:t>
      </w:r>
    </w:p>
    <w:p w14:paraId="1B283EBC" w14:textId="77777777"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1FB6D43" w14:textId="77777777" w:rsidR="00AB4DBA" w:rsidRPr="003D3D71" w:rsidRDefault="00AB4DBA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Cestovné náhrady</w:t>
      </w:r>
    </w:p>
    <w:p w14:paraId="559BA1AB" w14:textId="77777777"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E96008D" w14:textId="77777777" w:rsidR="00AB4DBA" w:rsidRDefault="00AB4DBA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cestovné náhrady (cestovné, ubytovanie, stravné...) vrátane potrebných vedľajších výdavkov (napr. parkovné, konferenčné poplatky, atď.) v rámci tuzemských a zahraničných pracovných ciest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preukázateľne súvisiace s realizáciou projektu/mierou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zapojenia zamestnanca</w:t>
      </w:r>
      <w:r w:rsidR="0058241F">
        <w:rPr>
          <w:rFonts w:ascii="Century Gothic" w:eastAsiaTheme="minorHAnsi" w:hAnsi="Century Gothic" w:cs="Arial"/>
          <w:sz w:val="20"/>
          <w:szCs w:val="20"/>
          <w:lang w:eastAsia="en-US"/>
        </w:rPr>
        <w:t>/pracovníka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do realizácie daného projektu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6B9FFC7C" w14:textId="77777777"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3A60406" w14:textId="77777777" w:rsidR="00AB4DBA" w:rsidRP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cestovné náhrady musia byť vynaložené v súlade so zákonom č. 283/2002 Z. z. o cestovných náhradách ako aj v súlade s platnými internými predpismi </w:t>
      </w:r>
      <w:r w:rsid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upravujúcimi vynakladania týchto typov výdavkov v organizácii 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Prijímateľa platnými v čase vynaloženia výdavku.</w:t>
      </w:r>
    </w:p>
    <w:p w14:paraId="42F5586F" w14:textId="77777777" w:rsidR="000E0FDC" w:rsidRDefault="000E0FDC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94E76B6" w14:textId="4202D52B" w:rsidR="00D75B7D" w:rsidRPr="00D75B7D" w:rsidRDefault="00D75B7D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Neoprávnenými výdavkami sú spravidla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neprispievajú k dosahovaniu cieľov projektu/nie sú pre jeho realizáciu nevyhnutné, resp. ktoré nesúvisia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 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</w:p>
    <w:p w14:paraId="322CFC89" w14:textId="77777777" w:rsidR="00D75B7D" w:rsidRDefault="00D75B7D" w:rsidP="009735F7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2E0D423" w14:textId="2C14CB1D" w:rsidR="00D75B7D" w:rsidRPr="003D3D71" w:rsidRDefault="00D75B7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Externé služby</w:t>
      </w:r>
      <w:r w:rsidR="000E0FDC"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FD4985">
        <w:rPr>
          <w:rFonts w:ascii="Century Gothic" w:eastAsiaTheme="minorHAnsi" w:hAnsi="Century Gothic" w:cs="Arial"/>
          <w:b/>
          <w:sz w:val="20"/>
          <w:szCs w:val="20"/>
          <w:lang w:eastAsia="en-US"/>
        </w:rPr>
        <w:t>a dodanie tovarov a prác</w:t>
      </w:r>
    </w:p>
    <w:p w14:paraId="0636F752" w14:textId="74105443" w:rsidR="000E0FDC" w:rsidRDefault="000E0FDC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oprávnené výdavky v tejto oblasti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akékoľvek výdavky 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>vynaložené zo strany Prijímateľa na zabezpečenie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služieb</w:t>
      </w:r>
      <w:r w:rsidR="0056503A">
        <w:rPr>
          <w:rFonts w:ascii="Century Gothic" w:eastAsiaTheme="minorHAnsi" w:hAnsi="Century Gothic" w:cs="Arial"/>
          <w:sz w:val="20"/>
          <w:szCs w:val="20"/>
          <w:lang w:eastAsia="en-US"/>
        </w:rPr>
        <w:t>, 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tovarov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prác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dodávateľským</w:t>
      </w: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spôsobom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pričom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tieto výdavky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musia súvisieť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 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o stanovenými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cieľ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mi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projektu.</w:t>
      </w:r>
    </w:p>
    <w:p w14:paraId="05BAA58A" w14:textId="77777777" w:rsidR="007D38CF" w:rsidRDefault="007D38CF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môže využívať služby dodávateľov v tých prípadoch a pre tie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aktivity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, kedy nie je možné, alebo efektí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vne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tieto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dod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ania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zabezpečiť vlastnými kapacitami. </w:t>
      </w:r>
    </w:p>
    <w:p w14:paraId="646D51B3" w14:textId="01B8A678" w:rsidR="007D38CF" w:rsidRDefault="003D3D71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obstaraní týchto výdavkov musia byť dodržané ustanovenia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zákon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FC10E0" w:rsidRPr="00FC10E0">
        <w:rPr>
          <w:rFonts w:ascii="Century Gothic" w:eastAsiaTheme="minorHAnsi" w:hAnsi="Century Gothic" w:cs="Arial"/>
          <w:sz w:val="20"/>
          <w:szCs w:val="20"/>
          <w:lang w:eastAsia="en-US"/>
        </w:rPr>
        <w:t>o verejnom obstarávaní č. 343/2015 Z. z.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ako aj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podmienk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y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špecifikovan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é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P</w:t>
      </w:r>
      <w:r w:rsidR="003255F5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obdobie2014-2020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prijímateľa, prioritná os 1 Vzdelávanie OP ĽZ, programové obdobie 2014-2020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 </w:t>
      </w:r>
    </w:p>
    <w:p w14:paraId="50E421E9" w14:textId="77777777" w:rsidR="00D75B7D" w:rsidRPr="00D75B7D" w:rsidRDefault="00D75B7D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 w:rsid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radiť pod oprávnené výdavky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14:paraId="5AF5D171" w14:textId="3925C925" w:rsidR="0058241F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odborné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služby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- zahŕňajú napr. výdavky na spracovanie štúdie,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expertízy, posudky,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analýzy, zberu dát, zabezpečenie prekladov a tlmočenia a ďalších čiastkových odborných činností potrebných pre realizáciu projektu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6503A" w:rsidRPr="00B95530">
        <w:rPr>
          <w:rFonts w:ascii="Arial Narrow" w:hAnsi="Arial Narrow" w:cs="Arial"/>
          <w:sz w:val="20"/>
          <w:szCs w:val="20"/>
        </w:rPr>
        <w:t xml:space="preserve"> </w:t>
      </w:r>
    </w:p>
    <w:p w14:paraId="2370C82D" w14:textId="77777777" w:rsidR="00D13A04" w:rsidRPr="00B95530" w:rsidRDefault="0058241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poradenské a konzultačné služby (napr. právne poradenstvo);</w:t>
      </w:r>
    </w:p>
    <w:p w14:paraId="38BC1DF2" w14:textId="7E5D7382" w:rsidR="00D75B7D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služby súvisiace s externým hodnotením/monitorovaním realizácie prioritnej osi 1 OPĽZ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8241F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14:paraId="23D59E37" w14:textId="79A27032"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 publikácií/materiálov/manuálov, ich 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vý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oj,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vytv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o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r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enie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dodanie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55235A87" w14:textId="1C7A0CDA"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konferencie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podujatia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semináre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zahŕňajú výdavky </w:t>
      </w:r>
      <w:r w:rsidR="003D3D7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vynaložené pre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účely projektu, do ktorých budú zapojení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oprávnení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zamestnanci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účastníci alebo širšia verejnosť.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ýdavky najčastejšie pokrývajú organizačné zabezpečenie, vrátane občerstvenia, prenájmu priestorov, prenájmu techn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iky, ubytovania, dopravy a pod.);</w:t>
      </w:r>
    </w:p>
    <w:p w14:paraId="4854CFE0" w14:textId="114BBD26" w:rsidR="00A20DF7" w:rsidRPr="00B95530" w:rsidRDefault="00EE2B46" w:rsidP="005B4FE2">
      <w:pPr>
        <w:pStyle w:val="Odsekzoznamu"/>
        <w:numPr>
          <w:ilvl w:val="0"/>
          <w:numId w:val="2"/>
        </w:numPr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zabezpečenie seminárov/školení, kurzov, odborných stáži 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pracovných</w:t>
      </w:r>
      <w:r w:rsidR="0056503A"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ciest - zahŕňajú výdavky vynaložené pre účely projektu, do ktorých budú zapojení oprávnení zamestnanci za účelom zabezpečenia ich kontinuálneho vzdelávania.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ýdavky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najčastejšie pokrývajú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účastnícke poplatky, organizačné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občerstvenia, prenájmu priestorov, prenájmu techniky, ubytovania, dopravy a pod.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).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Vzdelávanie týkajúce sa kontroly a auditu EŠIF je riešené cez OP TP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78B78E40" w14:textId="6459106E" w:rsidR="00D75B7D" w:rsidRPr="00B95530" w:rsidRDefault="0056503A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34D93133" w14:textId="77777777" w:rsidR="00AE59AD" w:rsidRPr="00B95530" w:rsidRDefault="00D35959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zabezpečenie, inštaláciu a prevádzku IKT zariadení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zabezpečenie kvalitného výkonu implementácie prioritnej osi 1 OP ĽZ vrátane softvérových riešení zefektívnenia/prepojenia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IKT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systémov v súvislosti s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implementáciou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prioritnej osi 1 OP ĽZ; </w:t>
      </w:r>
    </w:p>
    <w:p w14:paraId="0B41466D" w14:textId="2C82C050" w:rsidR="00D35959" w:rsidRPr="00B95530" w:rsidRDefault="006F1AF4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D35959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materiálno-technické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jednotlivých procesov implementácie prioritnej osi 1 OP ĽZ – zabezpečenie, inštalácia a konfigurácia zariadení, techniky, prístrojov, interiérového vybavenia vrátane zabezpečenia dopravných prostriedkov 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62376F5B" w14:textId="77777777" w:rsidR="00D75B7D" w:rsidRPr="00D75B7D" w:rsidRDefault="00B10E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iné výdavky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 ďalšie vyššie nešpecifikované služby ktoré</w:t>
      </w:r>
      <w:r w:rsidR="00D75B7D"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priamo súvisia s realizáciou proje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ktu a sú pre projekt nevyhnutné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03B7D2E6" w14:textId="77777777" w:rsid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E22770E" w14:textId="47D84964" w:rsidR="000E0FDC" w:rsidRP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Neoprávnenými výdavkami sú spravidla výdavky, ktoré neprispievajú k dosahovaniu cieľov projektu/nie sú pre jeho realizáciu nevyhnutné, resp. ktoré nesúvisia s 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</w:p>
    <w:p w14:paraId="4B3E2216" w14:textId="77777777" w:rsidR="000E0FDC" w:rsidRDefault="000E0FDC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14:paraId="29AE8334" w14:textId="77777777" w:rsidR="00AE59AD" w:rsidRDefault="00AE59A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b/>
          <w:sz w:val="20"/>
          <w:szCs w:val="20"/>
          <w:lang w:eastAsia="en-US"/>
        </w:rPr>
        <w:lastRenderedPageBreak/>
        <w:t>Výdavky súvisiace s prevád</w:t>
      </w:r>
      <w:r w:rsidR="00D13A04">
        <w:rPr>
          <w:rFonts w:ascii="Century Gothic" w:eastAsiaTheme="minorHAnsi" w:hAnsi="Century Gothic" w:cs="Arial"/>
          <w:b/>
          <w:sz w:val="20"/>
          <w:szCs w:val="20"/>
          <w:lang w:eastAsia="en-US"/>
        </w:rPr>
        <w:t>zkovou podporou implementácie prioritnej osi 1 OP ĽZ</w:t>
      </w:r>
    </w:p>
    <w:p w14:paraId="26EC3A3C" w14:textId="77777777" w:rsidR="00191EB1" w:rsidRDefault="00191EB1" w:rsidP="00191EB1">
      <w:pPr>
        <w:pStyle w:val="Odsekzoznamu"/>
        <w:widowControl w:val="0"/>
        <w:overflowPunct w:val="0"/>
        <w:autoSpaceDE w:val="0"/>
        <w:autoSpaceDN w:val="0"/>
        <w:adjustRightInd w:val="0"/>
        <w:ind w:left="426"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4F82C931" w14:textId="603C3A39" w:rsidR="00D13A04" w:rsidRDefault="00D13A04" w:rsidP="00B10E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ako priame výdavky súvisiace s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realizáciou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 sú oprávnené, ak sú nevyhnuté pre splnenie cieľov projektu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zabezpečujú podporu </w:t>
      </w:r>
      <w:r w:rsidR="00B10E3F"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implementáci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e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. Vzhľadom k tomu, že tieto výdavky sa väčšinou dotýkajú činností súvisiacich s realizáciou projektu/implementáciou prioritnej osi 1 OPĽZ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m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usia byť preukázateľne doložené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výpočtom oprávnenej časti výlučne pre projekt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 metodika výpočtu pomernej časti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týchto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výdavkov musí byť dodržiavaná počas celej doby realizácie projektu.</w:t>
      </w:r>
    </w:p>
    <w:p w14:paraId="676D3BE2" w14:textId="77777777" w:rsidR="00B10E3F" w:rsidRPr="00B10E3F" w:rsidRDefault="00B10E3F" w:rsidP="00B10E3F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radiť pod oprávnené výdavky 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14:paraId="649F3A32" w14:textId="77777777" w:rsidR="00AE59AD" w:rsidRDefault="00AE59AD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nájom priestorov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služby s ním spojené preukázateľne súvisiace s realizáciou projektu; </w:t>
      </w:r>
    </w:p>
    <w:p w14:paraId="4B887BFC" w14:textId="77777777" w:rsidR="00D13A04" w:rsidRPr="00B10E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výdavky ako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energie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vodné, stočné, pohonné hmoty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, parkovné a poplatky spojené s prevádzkou vozidiel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náklady na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telekomunikačné poplatky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, údržbu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upratovanie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a pod.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ak sú pre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jektu opodstatnené a nevyhnutné;</w:t>
      </w:r>
      <w:r w:rsidR="006F1AF4" w:rsidRPr="006F1AF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14:paraId="4E095AFF" w14:textId="77777777" w:rsid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ďalšie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v rozsahu na uskutočnenie realizácie projektu (spotrebný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prevádzkový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materiál,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poštovné,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tlač,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publikácie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 pod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.);</w:t>
      </w:r>
    </w:p>
    <w:p w14:paraId="57F4CA6B" w14:textId="77777777"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správne poplatky s priamou väzbou na projekt</w:t>
      </w:r>
    </w:p>
    <w:p w14:paraId="65064648" w14:textId="77777777"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na poistenie majetku spolufinancovaného z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NFP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3CC32913" w14:textId="77777777" w:rsidR="00B10E3F" w:rsidRDefault="00B10E3F" w:rsidP="000B6616">
      <w:pPr>
        <w:spacing w:before="120" w:after="120"/>
        <w:jc w:val="both"/>
        <w:rPr>
          <w:sz w:val="23"/>
          <w:szCs w:val="23"/>
        </w:rPr>
      </w:pPr>
    </w:p>
    <w:p w14:paraId="260B8D7A" w14:textId="77777777" w:rsidR="002B21CE" w:rsidRDefault="00D13A04" w:rsidP="002B21CE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Neoprávnenými výdavkami sú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14:paraId="243F576A" w14:textId="77777777"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finančné výdavky a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poplatky, ktoré nie sú pre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realizáciu nevyhnutné 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nemajú priamu väzbu na projekt;</w:t>
      </w:r>
    </w:p>
    <w:p w14:paraId="58B6B688" w14:textId="77777777" w:rsidR="00674A78" w:rsidRPr="00674A78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sankčné poplatky, pokuty a penále, prípadne ďalšie sankčné výdavky, či už dohodnuté v zmluvách alebo vzniknuté z iných príčin; </w:t>
      </w:r>
    </w:p>
    <w:p w14:paraId="74856142" w14:textId="77777777" w:rsidR="002B21CE" w:rsidRPr="00674A78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ktoré nemajú priamu väzbu na projekt;</w:t>
      </w:r>
    </w:p>
    <w:p w14:paraId="3BF129B9" w14:textId="77777777"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manká a škody, úroky z úverov a pôžičiek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2DDA64B7" w14:textId="77777777"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za zriadenie a vedenie účtu alebo účtov a za finančné transakcie na tomto účte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ostatné bankové poplatky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; </w:t>
      </w:r>
    </w:p>
    <w:p w14:paraId="2E569766" w14:textId="77777777" w:rsidR="00D66D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dary, poplatky, resp. iné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P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rijímateľa (vrátane prípadných kurzových strát), ktoré vznikajú z dôvodu vedenia</w:t>
      </w:r>
      <w:r w:rsid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účtu na príjem NFP v zahraničí;</w:t>
      </w:r>
    </w:p>
    <w:p w14:paraId="4AFAF281" w14:textId="77777777" w:rsidR="00D13A04" w:rsidRDefault="00D66D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priame dane (daň z nehnuteľnosti, daň z motorových vozidiel a pod.)</w:t>
      </w:r>
      <w:r w:rsidRPr="00674A78">
        <w:rPr>
          <w:rStyle w:val="Odkaznapoznmkupodiarou"/>
          <w:lang w:eastAsia="en-US"/>
        </w:rPr>
        <w:footnoteReference w:id="3"/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18361F86" w14:textId="77777777" w:rsid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F64174B" w14:textId="77777777" w:rsidR="00160DE6" w:rsidRP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DDE7A40" w14:textId="77777777" w:rsidR="00D13A04" w:rsidRDefault="00D13A04" w:rsidP="009124C8">
      <w:pPr>
        <w:jc w:val="both"/>
        <w:rPr>
          <w:sz w:val="23"/>
          <w:szCs w:val="23"/>
        </w:rPr>
      </w:pPr>
    </w:p>
    <w:p w14:paraId="0B04D992" w14:textId="77777777" w:rsidR="00191EB1" w:rsidRPr="00160DE6" w:rsidRDefault="00191EB1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Okrem</w:t>
      </w:r>
      <w:r w:rsidRPr="00191EB1">
        <w:rPr>
          <w:sz w:val="23"/>
          <w:szCs w:val="23"/>
        </w:rPr>
        <w:t xml:space="preserve">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neoprávnených výda</w:t>
      </w:r>
      <w:r w:rsidR="00160DE6"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vkov, ktoré sú uvedené vyššie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jednotlivých oblastiach výdavkov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sú neoprávnené výdavky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rámci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TP OP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:</w:t>
      </w:r>
    </w:p>
    <w:p w14:paraId="541B744E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bez priameho vzťahu k projektu;</w:t>
      </w:r>
    </w:p>
    <w:p w14:paraId="3C49AC01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nevyhnutn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é k dosiahnutiu cieľov projektu;</w:t>
      </w:r>
    </w:p>
    <w:p w14:paraId="715869C4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sú zo strany prijímateľa nedos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tatočne odôvodnené a preukázané;</w:t>
      </w:r>
    </w:p>
    <w:p w14:paraId="67DE8860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v súlade 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o schváleným rozpočtom projektu;</w:t>
      </w:r>
    </w:p>
    <w:p w14:paraId="5F22B499" w14:textId="2017EB7F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vznikli pr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ed 1. 1. 201</w:t>
      </w:r>
      <w:r w:rsidR="00C168C5">
        <w:rPr>
          <w:rFonts w:ascii="Century Gothic" w:eastAsiaTheme="minorHAnsi" w:hAnsi="Century Gothic" w:cs="Arial"/>
          <w:sz w:val="20"/>
          <w:szCs w:val="20"/>
          <w:lang w:eastAsia="en-US"/>
        </w:rPr>
        <w:t>7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po 31. 12. 2023;</w:t>
      </w:r>
    </w:p>
    <w:p w14:paraId="517736BC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projekty s celkovým či prevažujúcim dopadom mimo cieľový región,</w:t>
      </w:r>
    </w:p>
    <w:p w14:paraId="657BAC60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v účtovníctve jednoznačne označené ako výdavky súvisiace s realizovaným projektom v súlade s vnútorným predpisom účtovnej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jednotky k vedeniu účtovníctva;</w:t>
      </w:r>
    </w:p>
    <w:p w14:paraId="5490D629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odpisy dlhodobého majetku;</w:t>
      </w:r>
    </w:p>
    <w:p w14:paraId="5374C354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správne poplatky ktoré nie sú pre realizáciu projektu nevyhnutné a nemajú priamu väzbu na projekt;</w:t>
      </w:r>
    </w:p>
    <w:p w14:paraId="41763E97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daňové poplatky a dovozné prirážky;</w:t>
      </w:r>
    </w:p>
    <w:p w14:paraId="704BEEDC" w14:textId="77777777" w:rsid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nákup použitého zariadenia/majetku/tovaru;</w:t>
      </w:r>
    </w:p>
    <w:p w14:paraId="2C175D1E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iné výdavky priamo nesúvisiace s projektom.</w:t>
      </w:r>
    </w:p>
    <w:p w14:paraId="175C10A8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akákoľvek časť výdavkov, ktorou by sa prekročila maximálna intenzita pomoci, alebo stanovené finančné limity;</w:t>
      </w:r>
    </w:p>
    <w:p w14:paraId="41F7BED2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územné vplyvy;</w:t>
      </w:r>
    </w:p>
    <w:p w14:paraId="58604432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nákup stavieb;</w:t>
      </w:r>
    </w:p>
    <w:p w14:paraId="00251E11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vecné príspevky;</w:t>
      </w:r>
    </w:p>
    <w:p w14:paraId="2AFF14DF" w14:textId="77777777" w:rsidR="00160DE6" w:rsidRDefault="00160DE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nákup pozemkov;</w:t>
      </w:r>
    </w:p>
    <w:p w14:paraId="16D06650" w14:textId="77777777" w:rsidR="00674A78" w:rsidRPr="00160DE6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DPH 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v prípade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, že prijímateľ má nárok na jej odpočet na vstupe. Nárok na odpočet je vymedzený zákonom o</w:t>
      </w:r>
      <w:r w:rsidR="00D66D3F"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 DPH.</w:t>
      </w:r>
    </w:p>
    <w:p w14:paraId="53F1CEDF" w14:textId="77777777" w:rsidR="00674A78" w:rsidRPr="00674A78" w:rsidRDefault="00674A78" w:rsidP="00674A78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E9A299C" w14:textId="77777777"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14:paraId="7B3B3563" w14:textId="77777777" w:rsidR="00D66D3F" w:rsidRDefault="00D66D3F">
      <w:pPr>
        <w:spacing w:after="200" w:line="276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br w:type="page"/>
      </w:r>
    </w:p>
    <w:p w14:paraId="297C1093" w14:textId="77777777"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  <w:r w:rsidRPr="00331E4A">
        <w:rPr>
          <w:rFonts w:ascii="Century Gothic" w:hAnsi="Century Gothic" w:cs="Arial"/>
          <w:b/>
          <w:bCs/>
        </w:rPr>
        <w:lastRenderedPageBreak/>
        <w:t xml:space="preserve">Limity na </w:t>
      </w:r>
      <w:r>
        <w:rPr>
          <w:rFonts w:ascii="Century Gothic" w:hAnsi="Century Gothic" w:cs="Arial"/>
          <w:b/>
          <w:bCs/>
        </w:rPr>
        <w:t>vybrané typy výdavkov</w:t>
      </w:r>
    </w:p>
    <w:p w14:paraId="1794A9C0" w14:textId="77777777" w:rsidR="00D66D3F" w:rsidRPr="00D66D3F" w:rsidRDefault="00D66D3F" w:rsidP="00D66D3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D40F621" w14:textId="77777777" w:rsidR="00D66D3F" w:rsidRPr="00D66D3F" w:rsidRDefault="00D66D3F" w:rsidP="00D66D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 rámci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písomného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vyzvania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stanovuje Poskytovateľ nasledovné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finanč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né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limity pre nasledovné typy výdavkov:</w:t>
      </w:r>
    </w:p>
    <w:p w14:paraId="002F1F7E" w14:textId="77777777" w:rsidR="00D66D3F" w:rsidRPr="00331E4A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14:paraId="1D82AF8F" w14:textId="77777777" w:rsidR="007546E2" w:rsidRDefault="007546E2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2410"/>
        <w:gridCol w:w="2128"/>
        <w:gridCol w:w="2052"/>
      </w:tblGrid>
      <w:tr w:rsidR="005202C7" w14:paraId="1AD92825" w14:textId="77777777" w:rsidTr="00B84688">
        <w:trPr>
          <w:trHeight w:val="315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EB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95831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eastAsia="en-US"/>
              </w:rPr>
              <w:t>Vybrané typy výdavkov a ich limity</w:t>
            </w:r>
          </w:p>
        </w:tc>
      </w:tr>
      <w:tr w:rsidR="005202C7" w14:paraId="4D4F7635" w14:textId="77777777" w:rsidTr="00B84688">
        <w:trPr>
          <w:trHeight w:val="707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5CCD7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Výdavok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00CD3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Finančný limit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8E7BF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Uplatnenie výnimky</w:t>
            </w:r>
          </w:p>
        </w:tc>
      </w:tr>
      <w:tr w:rsidR="005202C7" w14:paraId="650A5A01" w14:textId="77777777" w:rsidTr="00B84688">
        <w:trPr>
          <w:trHeight w:val="300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76B7B3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tuzemské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72562B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80 EUR osoba/noc</w:t>
            </w:r>
          </w:p>
        </w:tc>
        <w:tc>
          <w:tcPr>
            <w:tcW w:w="111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0B179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Prijímateľ je povinný pri implementácii zároveň dodržiavať vnútorné predpisy organizácie (ak relevantné), ktoré môžu stanovovať podrobnejšie pravidlá vynakladania týchto výdavkov v organizácii Prijímateľa.</w:t>
            </w:r>
          </w:p>
          <w:p w14:paraId="7A85408D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6D0E5EAD" w14:textId="77777777" w:rsidTr="00B84688">
        <w:trPr>
          <w:trHeight w:val="182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BD112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zahraničné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009149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Členské štáty EÚ a OECD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246A9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155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D6A28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3676762A" w14:textId="77777777" w:rsidTr="00B84688">
        <w:trPr>
          <w:trHeight w:val="181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308C9" w14:textId="77777777"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4DD44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Ostatné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292FCD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110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BAADB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75F38C44" w14:textId="77777777" w:rsidTr="00B84688">
        <w:trPr>
          <w:trHeight w:val="1005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A00498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Dohody o prácach vykonávaných mimo pracovného pomeru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DD252C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Brigádnici (zabezpečovanie administratívnych a podporných činností)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7B677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5,0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FD6E3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7C35033C" w14:textId="77777777" w:rsidTr="00B84688">
        <w:trPr>
          <w:trHeight w:val="1275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909B0" w14:textId="77777777"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D55784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Odborné činnosti (napr. oblasť VO, publicita, a pod.)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8B2DBC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40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64369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499C59B8" w14:textId="77777777" w:rsidTr="00B84688">
        <w:trPr>
          <w:trHeight w:val="683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A0AD0" w14:textId="77777777"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0D8456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Odborní hodnotitelia - externí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AA89E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240 EUR/projekt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4372EA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3995B553" w14:textId="77777777" w:rsidR="007546E2" w:rsidRDefault="007546E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/>
          <w:b/>
          <w:bCs/>
          <w:sz w:val="20"/>
          <w:szCs w:val="20"/>
          <w:lang w:eastAsia="en-US"/>
        </w:rPr>
        <w:br w:type="page"/>
      </w:r>
    </w:p>
    <w:p w14:paraId="3F5A09B8" w14:textId="77777777" w:rsidR="00BB3198" w:rsidRDefault="00BB3198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p w14:paraId="7C33A624" w14:textId="77777777" w:rsidR="007546E2" w:rsidRDefault="00D66D3F" w:rsidP="007546E2">
      <w:pPr>
        <w:keepNext/>
        <w:jc w:val="center"/>
        <w:rPr>
          <w:rFonts w:ascii="Century Gothic" w:hAnsi="Century Gothic" w:cs="Arial"/>
          <w:b/>
          <w:bCs/>
        </w:rPr>
      </w:pPr>
      <w:r w:rsidRPr="007546E2">
        <w:rPr>
          <w:rFonts w:ascii="Century Gothic" w:hAnsi="Century Gothic" w:cs="Arial"/>
          <w:b/>
          <w:bCs/>
        </w:rPr>
        <w:t xml:space="preserve">Číselník oprávnených výdavkov pre projekty TP </w:t>
      </w:r>
      <w:r w:rsidR="007546E2">
        <w:rPr>
          <w:rFonts w:ascii="Century Gothic" w:hAnsi="Century Gothic" w:cs="Arial"/>
          <w:b/>
          <w:bCs/>
        </w:rPr>
        <w:t xml:space="preserve">prioritnej osi 1 </w:t>
      </w:r>
      <w:r w:rsidRPr="007546E2">
        <w:rPr>
          <w:rFonts w:ascii="Century Gothic" w:hAnsi="Century Gothic" w:cs="Arial"/>
          <w:b/>
          <w:bCs/>
        </w:rPr>
        <w:t xml:space="preserve">OP </w:t>
      </w:r>
      <w:r w:rsidR="007546E2">
        <w:rPr>
          <w:rFonts w:ascii="Century Gothic" w:hAnsi="Century Gothic" w:cs="Arial"/>
          <w:b/>
          <w:bCs/>
        </w:rPr>
        <w:t>ĽZ</w:t>
      </w:r>
      <w:r w:rsidRPr="007546E2">
        <w:rPr>
          <w:rFonts w:ascii="Century Gothic" w:hAnsi="Century Gothic" w:cs="Arial"/>
          <w:b/>
          <w:bCs/>
        </w:rPr>
        <w:t xml:space="preserve"> </w:t>
      </w:r>
    </w:p>
    <w:p w14:paraId="6479AC29" w14:textId="77777777"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14:paraId="2ACE8F1E" w14:textId="77777777"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14:paraId="51552CCB" w14:textId="77777777" w:rsidR="00D66D3F" w:rsidRDefault="007546E2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Skupiny oprávnených výdavkov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>uvedené v číselníku oprávnených výdavkov</w:t>
      </w:r>
      <w:r w:rsidR="00A015E3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4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slúžia na základné rozdelenie výdavkov projektu podľa ich charakteru a vzniku             v rámci realizácie aktivít projektu.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Oprávnené výdavky 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sú kategorizované do príslušných tried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skupín oprávnených výdavkov a nadväzujú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na ekonomickú klasifikáciu rozpočtovej klasifikácie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vydanú zo strany MF SR</w:t>
      </w:r>
      <w:r w:rsidR="003743AE" w:rsidRPr="003743AE">
        <w:t xml:space="preserve"> </w:t>
      </w:r>
      <w:r w:rsidR="003743AE">
        <w:t>(</w:t>
      </w:r>
      <w:r w:rsidR="003743AE" w:rsidRPr="003743AE">
        <w:rPr>
          <w:rFonts w:ascii="Century Gothic" w:eastAsiaTheme="minorHAnsi" w:hAnsi="Century Gothic" w:cs="Arial"/>
          <w:sz w:val="20"/>
          <w:szCs w:val="20"/>
          <w:lang w:eastAsia="en-US"/>
        </w:rPr>
        <w:t>MF/010175/2004-42</w:t>
      </w:r>
      <w:r w:rsidR="003743AE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4BA438BE" w14:textId="77777777" w:rsidR="00A015E3" w:rsidRPr="00D66D3F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621B86C" w14:textId="77777777"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Výstupy z účtovníctva jednotlivých účtovných jednotiek - prijímateľov nemusia byť totožné so zaradením nákladov/výdavkov do tried a skupín tak, ako to určuje tento číselník. </w:t>
      </w:r>
    </w:p>
    <w:p w14:paraId="06ACFA8E" w14:textId="77777777"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514BBAE" w14:textId="7923E63D"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Zoznam oprávnených výdavkov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obsahuje uzavretý zoznam tried a skupín oprávnených výdavkov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7770CE7C" w14:textId="77777777"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DAE67CE" w14:textId="7389CACF" w:rsid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Špecifikácia </w:t>
      </w:r>
      <w:r w:rsidR="0009728F">
        <w:rPr>
          <w:rFonts w:ascii="Century Gothic" w:eastAsiaTheme="minorHAnsi" w:hAnsi="Century Gothic" w:cs="Arial"/>
          <w:b/>
          <w:sz w:val="20"/>
          <w:szCs w:val="20"/>
          <w:lang w:eastAsia="en-US"/>
        </w:rPr>
        <w:t>tried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oprávnených výdavkov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v rámci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TP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1:</w:t>
      </w:r>
    </w:p>
    <w:p w14:paraId="66D10DF2" w14:textId="77777777" w:rsidR="00A015E3" w:rsidRP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7D10DB05" w14:textId="77777777"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01 – Dlhodobý nehmotný majetok </w:t>
      </w:r>
    </w:p>
    <w:p w14:paraId="0AAF546B" w14:textId="77777777"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03463B41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Dlhodobým nehmotným majetkom</w:t>
      </w:r>
      <w:r w:rsidRPr="000628A5">
        <w:rPr>
          <w:rStyle w:val="Odkaznapoznmkupodiarou"/>
          <w:rFonts w:eastAsiaTheme="minorHAnsi"/>
          <w:lang w:eastAsia="en-US"/>
        </w:rPr>
        <w:footnoteReference w:id="5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sú zložky majetku, ktorých ocenenie je vyššie ako suma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6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Nehmotný majetok, ktorého ocenenie sa rovná tejto sume alebo je nižšie, možno zaradiť (podľa rozhodnutia účtovnej jednotky - prijímateľa) do dlhodobého nehmotného majetku, ak doba použiteľnosti tohto majetku je dlhšia ako jeden rok. </w:t>
      </w:r>
    </w:p>
    <w:p w14:paraId="385BF0CC" w14:textId="77777777"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A31A731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Nehmotný majetok, ktorého ocenenie sa rovná sume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7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nehmotného majetku, sa vykazuje v triede oprávnených výdavkov 51 - Služby. </w:t>
      </w:r>
    </w:p>
    <w:p w14:paraId="1DE7CE8E" w14:textId="77777777"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0EBE990" w14:textId="77777777" w:rsidR="000628A5" w:rsidRPr="000628A5" w:rsidRDefault="00A015E3" w:rsidP="000628A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Do tejto triedy oprávnených výdavkov sa zaraďujú najmä nehmotné výsledky z vývojovej a obdobnej činnosti, softvér, oceniteľné práva</w:t>
      </w:r>
      <w:r w:rsidR="000628A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0628A5" w:rsidRPr="000628A5">
        <w:rPr>
          <w:rFonts w:ascii="Century Gothic" w:eastAsiaTheme="minorHAnsi" w:hAnsi="Century Gothic" w:cs="Arial"/>
          <w:sz w:val="20"/>
          <w:szCs w:val="20"/>
          <w:lang w:eastAsia="en-US"/>
        </w:rPr>
        <w:t>(napr. licencie, know-how, autorské práva, obchodné značky, ochranné známky, predmety priemyselných práv), územné plány.</w:t>
      </w:r>
    </w:p>
    <w:p w14:paraId="556C1A32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2F35C4AF" w14:textId="77777777" w:rsidR="00A015E3" w:rsidRPr="00A015E3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14:paraId="3CC74338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013 - Softvér </w:t>
      </w:r>
    </w:p>
    <w:p w14:paraId="436A866C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014 - Oceniteľné práva </w:t>
      </w:r>
    </w:p>
    <w:p w14:paraId="68B3B739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019 - Ostatný dlhodobý nehmotný majetok </w:t>
      </w:r>
    </w:p>
    <w:p w14:paraId="5188E551" w14:textId="77777777" w:rsid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BD22594" w14:textId="77777777" w:rsidR="003743AE" w:rsidRDefault="003743AE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7F84761" w14:textId="77777777"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02 – Dlhodobý hmotný majetok </w:t>
      </w:r>
    </w:p>
    <w:p w14:paraId="2AD718F3" w14:textId="77777777"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2127D96A" w14:textId="49F70EA6" w:rsidR="00A015E3" w:rsidRDefault="006F5E5B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>Dlhodobým hmotným majetkom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8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sú zložky majetku, ktorých ocenenie je vyššie ako suma 1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9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Hmotný majetok, ktorého ocenenie sa </w:t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rovná alebo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 nižšie ako suma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0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>, možno zaradiť (podľa rozhodnutia účtovnej jednotky - prijímateľa) do dlhodobého hmotného majetku, ak prevádzkovo-technické funkcie (doba použiteľnosti) sú dlhšie ako jeden rok.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>Hmotný majetok, ktorého oce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nenie sa rovná sume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1"/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hmotného majetku, sa vykazuje v triede oprávnených výdavkov 11 - Zásoby. </w:t>
      </w:r>
    </w:p>
    <w:p w14:paraId="10CC68D0" w14:textId="77777777" w:rsidR="009A1576" w:rsidRPr="00A015E3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CDDBAF9" w14:textId="77777777" w:rsidR="009A1576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kupiny oprávnených výdavkov:</w:t>
      </w:r>
    </w:p>
    <w:p w14:paraId="7BCF1CA3" w14:textId="7EBAD63A" w:rsidR="00A015E3" w:rsidRP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022 - Samostatné hnuteľné veci a súbory hnuteľných vecí </w:t>
      </w:r>
    </w:p>
    <w:p w14:paraId="538AA4BB" w14:textId="77777777" w:rsid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023 - Dopravné prostriedky</w:t>
      </w:r>
    </w:p>
    <w:p w14:paraId="08DE7C2B" w14:textId="77777777" w:rsidR="00B03238" w:rsidRDefault="00B03238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A4E361E" w14:textId="77777777"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11 – Zásoby </w:t>
      </w:r>
    </w:p>
    <w:p w14:paraId="057EF518" w14:textId="77777777"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728D452D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rámci triedy sa zaraďujú hnuteľné veci s dobou použiteľnosti najviac jeden rok bez ohľadu na obstarávaciu cenu. V danej triede sa vykazuje aj hmotný majetok</w:t>
      </w:r>
      <w:r w:rsidRPr="00B03238">
        <w:rPr>
          <w:rStyle w:val="Odkaznapoznmkupodiarou"/>
          <w:rFonts w:eastAsiaTheme="minorHAnsi"/>
          <w:lang w:eastAsia="en-US"/>
        </w:rPr>
        <w:footnoteReference w:id="12"/>
      </w:r>
      <w:r w:rsidRPr="00B03238">
        <w:rPr>
          <w:rStyle w:val="Odkaznapoznmkupodiarou"/>
          <w:lang w:eastAsia="en-US"/>
        </w:rPr>
        <w:t>,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ktorý nie je definovaný ako dlhodobý hmotný majetok. </w:t>
      </w:r>
    </w:p>
    <w:p w14:paraId="30A3B6AD" w14:textId="77777777" w:rsid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3A3D0E9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kupina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0E9227C1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112 - Zásoby </w:t>
      </w:r>
    </w:p>
    <w:p w14:paraId="180BD7EE" w14:textId="77777777" w:rsidR="00B03238" w:rsidRPr="00B03238" w:rsidRDefault="00B03238" w:rsidP="00B03238">
      <w:pPr>
        <w:jc w:val="both"/>
        <w:rPr>
          <w:rFonts w:eastAsiaTheme="minorHAnsi"/>
          <w:sz w:val="23"/>
          <w:szCs w:val="23"/>
          <w:lang w:eastAsia="en-US"/>
        </w:rPr>
      </w:pPr>
    </w:p>
    <w:p w14:paraId="19677D83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3246B8F9" w14:textId="77777777" w:rsidR="00A015E3" w:rsidRPr="00A015E3" w:rsidRDefault="00A015E3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50 – Spotreba </w:t>
      </w:r>
    </w:p>
    <w:p w14:paraId="5E32ECA4" w14:textId="77777777" w:rsidR="002416C5" w:rsidRPr="00B03238" w:rsidRDefault="002416C5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62AD34A8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triede sa vykazuje spotreba energie (napr. voda, para, plyn, elektrická energia)</w:t>
      </w:r>
      <w:r w:rsidR="002416C5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29C9EC25" w14:textId="77777777" w:rsidR="002416C5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2751C7C" w14:textId="77777777" w:rsidR="00A015E3" w:rsidRPr="00A015E3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14:paraId="21D2A11B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502 – Spotreba energie </w:t>
      </w:r>
    </w:p>
    <w:p w14:paraId="287B5D68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503 – Spotreba ostatných neskladovateľných dodávok </w:t>
      </w:r>
    </w:p>
    <w:p w14:paraId="1FBB1508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67229ADC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359BEAA6" w14:textId="77777777" w:rsidR="00A015E3" w:rsidRPr="00A015E3" w:rsidRDefault="00A015E3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51 – Služby </w:t>
      </w:r>
    </w:p>
    <w:p w14:paraId="3985BE64" w14:textId="77777777" w:rsidR="00A015E3" w:rsidRPr="00A015E3" w:rsidRDefault="002416C5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416C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14:paraId="5AE5E53B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511 – Opravy a udržiavanie </w:t>
      </w:r>
    </w:p>
    <w:p w14:paraId="4097FFA5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512 - Cestovné náhrady </w:t>
      </w:r>
    </w:p>
    <w:p w14:paraId="22373668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518 - Ostatné služby </w:t>
      </w:r>
    </w:p>
    <w:p w14:paraId="3B2F08FA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6782674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A67FC7F" w14:textId="77777777" w:rsidR="00A015E3" w:rsidRDefault="00CA79E5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52 – Osobné výdavky</w:t>
      </w:r>
    </w:p>
    <w:p w14:paraId="224E4B23" w14:textId="77777777" w:rsidR="00D54222" w:rsidRPr="00B03238" w:rsidRDefault="00D54222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30A53DA1" w14:textId="77777777" w:rsidR="00D54222" w:rsidRPr="00D54222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sem 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najmä 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mzdy, platy, povinné odvody za zamestnávateľa ako aj povinné sociálne náklady - ošetrovné, PN, </w:t>
      </w:r>
      <w:r w:rsidR="00C4435D"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príspevok do dobrovoľného dôchodkového poistenia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. Ďalej do triedy sú zahrnuté aj dohody o výkone prác mimo pracovného pomeru vrátane povinných odvodov za zamestnávateľa.</w:t>
      </w:r>
    </w:p>
    <w:p w14:paraId="4E3A2101" w14:textId="77777777" w:rsidR="00D54222" w:rsidRDefault="00D54222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27110333" w14:textId="77777777" w:rsidR="00A015E3" w:rsidRPr="00A015E3" w:rsidRDefault="00CA79E5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A79E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52B47B37" w14:textId="77777777" w:rsidR="00A015E3" w:rsidRPr="00A015E3" w:rsidRDefault="00A015E3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521 - Mzdové výdavky</w:t>
      </w:r>
      <w:r w:rsidR="00D54222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3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54222"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(vrátane odmien za prácu vykonávanú mimo pracovného pomeru, platov, povinných odvodov za zamestnávateľa a iných zákonných náhrad)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70E7D5F4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0907DDD7" w14:textId="77777777" w:rsidR="00A015E3" w:rsidRDefault="00C4435D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54 – Ostatné výdavky</w:t>
      </w:r>
    </w:p>
    <w:p w14:paraId="0DD63FAD" w14:textId="77777777" w:rsidR="00C4435D" w:rsidRPr="00B03238" w:rsidRDefault="00C4435D" w:rsidP="00C4435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lastRenderedPageBreak/>
        <w:t xml:space="preserve">Vecné vymedzenie </w:t>
      </w:r>
    </w:p>
    <w:p w14:paraId="6F5576A8" w14:textId="77777777" w:rsidR="00C4435D" w:rsidRPr="00A015E3" w:rsidRDefault="00C4435D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Vykazujú sa tu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ostatné položky, ktoré neboli uvedené v predchádzajúcich skupinách, ktoré sa týkajú hospodárskej činnosti, napríklad poistenie majetku určeného na prevádzkovú činnosť a iné poistné súvi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siace s prevádzkovou činnosťou.</w:t>
      </w:r>
    </w:p>
    <w:p w14:paraId="3CB60EAE" w14:textId="77777777" w:rsidR="00C4435D" w:rsidRDefault="00C4435D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2F5E0899" w14:textId="77777777"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457C91D3" w14:textId="77777777" w:rsidR="00A015E3" w:rsidRPr="00A015E3" w:rsidRDefault="00A015E3" w:rsidP="00D54222">
      <w:pPr>
        <w:jc w:val="both"/>
        <w:rPr>
          <w:rFonts w:eastAsiaTheme="minorHAnsi"/>
          <w:sz w:val="23"/>
          <w:szCs w:val="23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548 – Výdavky na prevádzkovú činnosť</w:t>
      </w:r>
      <w:r w:rsidRPr="00A015E3">
        <w:rPr>
          <w:rFonts w:eastAsiaTheme="minorHAnsi"/>
          <w:sz w:val="23"/>
          <w:szCs w:val="23"/>
          <w:lang w:eastAsia="en-US"/>
        </w:rPr>
        <w:t xml:space="preserve"> </w:t>
      </w:r>
    </w:p>
    <w:p w14:paraId="56F326FD" w14:textId="77777777" w:rsidR="00D54222" w:rsidRDefault="00D54222" w:rsidP="00A015E3">
      <w:pPr>
        <w:autoSpaceDE w:val="0"/>
        <w:autoSpaceDN w:val="0"/>
        <w:adjustRightInd w:val="0"/>
        <w:rPr>
          <w:rFonts w:eastAsiaTheme="minorHAnsi"/>
          <w:b/>
          <w:bCs/>
          <w:sz w:val="23"/>
          <w:szCs w:val="23"/>
          <w:lang w:eastAsia="en-US"/>
        </w:rPr>
      </w:pPr>
    </w:p>
    <w:p w14:paraId="492BA1DC" w14:textId="77777777" w:rsidR="00A015E3" w:rsidRDefault="00A015E3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>5</w:t>
      </w:r>
      <w:r w:rsidR="00D54222">
        <w:rPr>
          <w:rFonts w:ascii="Century Gothic" w:eastAsiaTheme="minorHAnsi" w:hAnsi="Century Gothic" w:cs="Arial"/>
          <w:b/>
          <w:sz w:val="20"/>
          <w:szCs w:val="20"/>
          <w:lang w:eastAsia="en-US"/>
        </w:rPr>
        <w:t>6 – Finančné výdavky a poplatky</w:t>
      </w:r>
    </w:p>
    <w:p w14:paraId="29ED489E" w14:textId="77777777" w:rsidR="00D54222" w:rsidRPr="00C4435D" w:rsidRDefault="00D54222" w:rsidP="00D54222">
      <w:pPr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>Vecné vymedzenie</w:t>
      </w:r>
    </w:p>
    <w:p w14:paraId="0F07AB1F" w14:textId="77777777" w:rsidR="00D54222" w:rsidRPr="00C4435D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správ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ne poplatky, notárske poplatky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, poplatky za používanie  ciest a diaľnic formou diaľničných známok ale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bo mýta v tuzemsku.</w:t>
      </w:r>
    </w:p>
    <w:p w14:paraId="343C6FF2" w14:textId="77777777" w:rsidR="00D54222" w:rsidRPr="00A015E3" w:rsidRDefault="00D54222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D9F6CC9" w14:textId="77777777"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381D14A4" w14:textId="77777777" w:rsidR="00A015E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568 - Ostatné finančné výdavky</w:t>
      </w:r>
    </w:p>
    <w:p w14:paraId="4EADA534" w14:textId="77777777"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6A79C9F" w14:textId="77777777" w:rsidR="00182F72" w:rsidRDefault="00182F7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  <w:sectPr w:rsidR="00182F72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306CB6" w14:textId="77777777"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Číselník</w:t>
      </w:r>
      <w:r w:rsidRPr="002B4EF1">
        <w:t xml:space="preserve"> </w:t>
      </w: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oprávnených výdavkov pre projekty TP OP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ĽZ pre prioritnú os 1</w:t>
      </w:r>
    </w:p>
    <w:p w14:paraId="7B92B302" w14:textId="77777777" w:rsidR="00422530" w:rsidRDefault="00422530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7C739CA" w14:textId="77777777" w:rsidR="00182F72" w:rsidRDefault="00182F7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tbl>
      <w:tblPr>
        <w:tblW w:w="14601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1701"/>
        <w:gridCol w:w="1560"/>
        <w:gridCol w:w="1842"/>
        <w:gridCol w:w="3544"/>
      </w:tblGrid>
      <w:tr w:rsidR="00182F72" w:rsidRPr="00AF3C83" w14:paraId="13E99300" w14:textId="77777777" w:rsidTr="00182F72">
        <w:trPr>
          <w:trHeight w:val="50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14:paraId="7100D2A5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Číselník oprávnených výdavkov pre projekty TP OP ĽZ prioritná os 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479E0318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Nadväznosť na ekonomickú klasifikáciu rozpočtovej klasifikácie (MF/0101475/2014-42)</w:t>
            </w:r>
          </w:p>
        </w:tc>
      </w:tr>
      <w:tr w:rsidR="00182F72" w:rsidRPr="00AF3C83" w14:paraId="2249C192" w14:textId="77777777" w:rsidTr="00182F7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14:paraId="02B93454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 oprávnených výdavkov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14:paraId="16193F61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oprávnených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61A11CF1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7CE03CF0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Podtrieda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418EB8E6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Položka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1B58372F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výdavkov *</w:t>
            </w:r>
          </w:p>
        </w:tc>
      </w:tr>
      <w:tr w:rsidR="00182F72" w:rsidRPr="00AF3C83" w14:paraId="19D05E12" w14:textId="77777777" w:rsidTr="00182F72">
        <w:trPr>
          <w:trHeight w:val="42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BA10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01 Dlhodobý nehmotný majetok 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2 400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97E1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013 Softvér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890E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A14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B7D3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03F9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711003 Nákup softvéru</w:t>
            </w:r>
          </w:p>
        </w:tc>
      </w:tr>
      <w:tr w:rsidR="00182F72" w:rsidRPr="00AF3C83" w14:paraId="25AF5F30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A09E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C38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2FF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3F7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946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63F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718006 Softvéru</w:t>
            </w:r>
          </w:p>
        </w:tc>
      </w:tr>
      <w:tr w:rsidR="00182F72" w:rsidRPr="00AF3C83" w14:paraId="51CD6B45" w14:textId="77777777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8776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8E3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014 Oceniteľné práva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81D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F4F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A75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4E9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711004 Nákup licencií</w:t>
            </w:r>
          </w:p>
        </w:tc>
      </w:tr>
      <w:tr w:rsidR="00182F72" w:rsidRPr="00AF3C83" w14:paraId="0276BE60" w14:textId="77777777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2389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271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B16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E04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0DC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884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182F72" w:rsidRPr="00AF3C83" w14:paraId="505A5445" w14:textId="77777777" w:rsidTr="00182F72">
        <w:trPr>
          <w:trHeight w:val="75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0D4B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B45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019 Ostatný dlhodobý nehmotný majetok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348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98E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8D7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F26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711005 Nákup ostatných nehmotných aktív</w:t>
            </w:r>
          </w:p>
        </w:tc>
      </w:tr>
      <w:tr w:rsidR="00182F72" w:rsidRPr="00AF3C83" w14:paraId="2E1744D2" w14:textId="77777777" w:rsidTr="00422530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BD99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6AF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DA5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5BA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EEE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20E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422530" w:rsidRPr="00AF3C83" w14:paraId="70637D3D" w14:textId="77777777" w:rsidTr="00422530">
        <w:trPr>
          <w:trHeight w:val="37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7F784" w14:textId="77777777" w:rsidR="00422530" w:rsidRPr="00B84688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02 Dlhodobý hmotný majetok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1 700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9F6AE1" w14:textId="7013E121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022 Samostatné hnuteľné veci a súbory hnuteľných vecí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D4111A" w14:textId="3AA25EAC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A10AB5" w14:textId="2A2FD1CD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2489C2" w14:textId="3A07A9A2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 Nákup strojov, prístrojov, zariadení, techniky a náradia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C6AB" w14:textId="55DD1A30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713001 Interiérového vybavenia</w:t>
            </w:r>
          </w:p>
        </w:tc>
      </w:tr>
      <w:tr w:rsidR="00422530" w:rsidRPr="00AF3C83" w14:paraId="3DCD46CA" w14:textId="77777777" w:rsidTr="00422530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2506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6A58BC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AD9F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E7F4D9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A9242B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388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713002 Výpočtovej techniky</w:t>
            </w:r>
          </w:p>
        </w:tc>
      </w:tr>
      <w:tr w:rsidR="00422530" w:rsidRPr="00AF3C83" w14:paraId="6B2296C3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8762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535F7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24029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E415E6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28EA7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2C1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713003 Telekomunikačnej techniky</w:t>
            </w:r>
          </w:p>
        </w:tc>
      </w:tr>
      <w:tr w:rsidR="00422530" w:rsidRPr="00AF3C83" w14:paraId="6C2B3C99" w14:textId="77777777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AA15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CFC01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0A2C9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D9A0F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EC1F4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652D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713004 Prevádzkových strojov, prístrojov, zariadení, techniky a náradia</w:t>
            </w:r>
          </w:p>
        </w:tc>
      </w:tr>
      <w:tr w:rsidR="00422530" w:rsidRPr="00AF3C83" w14:paraId="2B960914" w14:textId="77777777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9DD6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3F61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B44737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1CDCA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AAE91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C2B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713005 Špeciálnych strojov, prístrojov, zariadení, techniky, náradia a materiálu</w:t>
            </w:r>
          </w:p>
        </w:tc>
      </w:tr>
      <w:tr w:rsidR="00422530" w:rsidRPr="00AF3C83" w14:paraId="1C7CF6FB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FE09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AC7AD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115D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0D36C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8DA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35F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713006 Komunikačnej infraštruktúry</w:t>
            </w:r>
          </w:p>
        </w:tc>
      </w:tr>
      <w:tr w:rsidR="00422530" w:rsidRPr="00AF3C83" w14:paraId="4C6B7ECD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B6E8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48CD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DBF48B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12EB5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AC6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016D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718002 Výpočtovej techniky</w:t>
            </w:r>
          </w:p>
        </w:tc>
      </w:tr>
      <w:tr w:rsidR="00422530" w:rsidRPr="00AF3C83" w14:paraId="1D66CAE3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4DE5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538B6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0D74E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9E8F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A7B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3A1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718003 Telekomunikačnej techniky</w:t>
            </w:r>
          </w:p>
        </w:tc>
      </w:tr>
      <w:tr w:rsidR="00422530" w:rsidRPr="00AF3C83" w14:paraId="521A56AF" w14:textId="77777777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3418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153717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F33F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85C12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0F3B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2B7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718004 Prevádzkových strojov, prístrojov, zariadení, techniky a náradia</w:t>
            </w:r>
          </w:p>
        </w:tc>
      </w:tr>
      <w:tr w:rsidR="00422530" w:rsidRPr="00AF3C83" w14:paraId="573AD10A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6B56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2EB46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CCD946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B808D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81E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99C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718005 Špeciálnych strojov, prístrojov, zariadení, techniky a náradia</w:t>
            </w:r>
          </w:p>
        </w:tc>
      </w:tr>
      <w:tr w:rsidR="00422530" w:rsidRPr="00AF3C83" w14:paraId="2A4B7E4F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4880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FE2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61ED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997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3D71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1D81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718007 Komunikačnej infraštruktúry</w:t>
            </w:r>
          </w:p>
        </w:tc>
      </w:tr>
      <w:tr w:rsidR="00182F72" w:rsidRPr="00AF3C83" w14:paraId="17919C5B" w14:textId="77777777" w:rsidTr="00182F72">
        <w:trPr>
          <w:trHeight w:val="126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6921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EBF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023 Dopravné prostriedky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EF1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446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329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 Nákup dopravných prostriedkov všetkých druhov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88C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714001 Nákup Osobných automobilov</w:t>
            </w:r>
          </w:p>
        </w:tc>
      </w:tr>
      <w:tr w:rsidR="00182F72" w:rsidRPr="00AF3C83" w14:paraId="3841C7D1" w14:textId="77777777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19E9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EB1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BD5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0F8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FAA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74A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182F72" w:rsidRPr="00AF3C83" w14:paraId="6A25866E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69A7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11 Zásoby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(doba použiteľnosti najviac 1 rok; bez ohľadu na obstarávaciu cenu)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0582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112 Zásoby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1DE6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D9F2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E723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BD5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633001 Interiérové vybavenie</w:t>
            </w:r>
          </w:p>
        </w:tc>
      </w:tr>
      <w:tr w:rsidR="00182F72" w:rsidRPr="00AF3C83" w14:paraId="487E5426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11D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28F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3B6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0C8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361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E54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633002 Výpočtová technika</w:t>
            </w:r>
          </w:p>
        </w:tc>
      </w:tr>
      <w:tr w:rsidR="00182F72" w:rsidRPr="00AF3C83" w14:paraId="0A66A1D5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10D8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FC8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44A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751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ED4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CB4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633003 Telekomunikačná technika</w:t>
            </w:r>
          </w:p>
        </w:tc>
      </w:tr>
      <w:tr w:rsidR="00182F72" w:rsidRPr="00AF3C83" w14:paraId="0E9C999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2FB7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2FF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B7D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E49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1A4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D4F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633004 Prevádzkové stroje, prístroje, zariadenie, technika a náradie</w:t>
            </w:r>
          </w:p>
        </w:tc>
      </w:tr>
      <w:tr w:rsidR="00182F72" w:rsidRPr="00AF3C83" w14:paraId="5B957926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0BFF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F19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A09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BB4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D81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B2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633005 Špeciálne stroje, prístroje, zariadenie, technika a náradie</w:t>
            </w:r>
          </w:p>
        </w:tc>
      </w:tr>
      <w:tr w:rsidR="00182F72" w:rsidRPr="00AF3C83" w14:paraId="370FD75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76D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E44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1E2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E47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789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AD5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633006 Všeobecný materiál</w:t>
            </w:r>
          </w:p>
        </w:tc>
      </w:tr>
      <w:tr w:rsidR="00182F72" w:rsidRPr="00AF3C83" w14:paraId="6C24597A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FE9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C6B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EDD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63F5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346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12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633009 Knihy, časopisy, noviny , učebnice, učebné pomôcky a kompenzačné pomôcky </w:t>
            </w:r>
          </w:p>
        </w:tc>
      </w:tr>
      <w:tr w:rsidR="00182F72" w:rsidRPr="00AF3C83" w14:paraId="5F5372A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90A2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5A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E3C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863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6FD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158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633010 Materiál Pracovné odevy, obuv a pracovné pomôcky</w:t>
            </w:r>
          </w:p>
        </w:tc>
      </w:tr>
      <w:tr w:rsidR="00182F72" w:rsidRPr="00AF3C83" w14:paraId="182B6F62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304EE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ED2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26E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B89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8EE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A69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633019 Komunikačná infraštruktúra</w:t>
            </w:r>
          </w:p>
        </w:tc>
      </w:tr>
      <w:tr w:rsidR="00182F72" w:rsidRPr="00AF3C83" w14:paraId="20BFCF90" w14:textId="77777777" w:rsidTr="00182F72">
        <w:trPr>
          <w:trHeight w:val="58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C07E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50 Spotreba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7CF6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502 Spotreba energie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C560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F62D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F164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6963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632001 Energie</w:t>
            </w:r>
          </w:p>
        </w:tc>
      </w:tr>
      <w:tr w:rsidR="00182F72" w:rsidRPr="00AF3C83" w14:paraId="7E3C96D5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7D8F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C44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658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E8E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5E4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B57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632002 Vodné, stočné</w:t>
            </w:r>
          </w:p>
        </w:tc>
      </w:tr>
      <w:tr w:rsidR="00182F72" w:rsidRPr="00AF3C83" w14:paraId="78EA1BBD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7771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12E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503 Spotreba ostatných neskladovateľných dodávok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F9B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88E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818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C9D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634001 Palivo, mazivá, oleje, špeciálne kvapaliny</w:t>
            </w:r>
          </w:p>
        </w:tc>
      </w:tr>
      <w:tr w:rsidR="00182F72" w:rsidRPr="00AF3C83" w14:paraId="50617A95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0B4F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51 Služby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B40A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511 Opravy a udržiavanie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8B0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13A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5C76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16C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634002 Servis, údržba, opravy a výdavky s tým spojené</w:t>
            </w:r>
          </w:p>
        </w:tc>
      </w:tr>
      <w:tr w:rsidR="00182F72" w:rsidRPr="00AF3C83" w14:paraId="7DB7D044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843D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F76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B25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570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843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 Rutinná a štandardná údržba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34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635001 Interiérového vybavenia</w:t>
            </w:r>
          </w:p>
        </w:tc>
      </w:tr>
      <w:tr w:rsidR="00182F72" w:rsidRPr="00AF3C83" w14:paraId="388A0A06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B55F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A9F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77B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6AC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E57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839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635002 Výpočtovej techniky</w:t>
            </w:r>
          </w:p>
        </w:tc>
      </w:tr>
      <w:tr w:rsidR="00182F72" w:rsidRPr="00AF3C83" w14:paraId="76548A9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527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466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2A8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E38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45B0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031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635003 Telekomunikačnej techniky</w:t>
            </w:r>
          </w:p>
        </w:tc>
      </w:tr>
      <w:tr w:rsidR="00182F72" w:rsidRPr="00AF3C83" w14:paraId="5CF755D2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42D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EB9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063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EC9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FB2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095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635004 Prevádzkových strojov, prístrojov, zariadení, techniky a náradia</w:t>
            </w:r>
          </w:p>
        </w:tc>
      </w:tr>
      <w:tr w:rsidR="00182F72" w:rsidRPr="00AF3C83" w14:paraId="54A6E5EA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3AA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BDB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6BD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578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748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A93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635005 Špeciálnych strojov, prístrojov, zariadení, techniky a náradia</w:t>
            </w:r>
          </w:p>
        </w:tc>
      </w:tr>
      <w:tr w:rsidR="00182F72" w:rsidRPr="00AF3C83" w14:paraId="00DFCD82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1A6D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87F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C35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5AF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E5DD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21A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635006 Budov, objektov alebo ich častí </w:t>
            </w:r>
          </w:p>
        </w:tc>
      </w:tr>
      <w:tr w:rsidR="00182F72" w:rsidRPr="00AF3C83" w14:paraId="2D01F5F8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97AB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51BE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A41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652E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19D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1FD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635009 Softvéru</w:t>
            </w:r>
          </w:p>
        </w:tc>
      </w:tr>
      <w:tr w:rsidR="00182F72" w:rsidRPr="00AF3C83" w14:paraId="4D25BF49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E3AA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FE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512 Cestovné náhrady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381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F25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D6D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 Cestovné náhrady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9B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631001 Tuzemské</w:t>
            </w:r>
          </w:p>
        </w:tc>
      </w:tr>
      <w:tr w:rsidR="00182F72" w:rsidRPr="00AF3C83" w14:paraId="1F9E61C4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2365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A54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12A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536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76B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C09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631002 Zahraničné</w:t>
            </w:r>
          </w:p>
        </w:tc>
      </w:tr>
      <w:tr w:rsidR="00182F72" w:rsidRPr="00AF3C83" w14:paraId="7914F72F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530E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F21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2F9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D32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395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43E2" w14:textId="77777777" w:rsidR="00182F72" w:rsidRPr="00873249" w:rsidRDefault="00182F72" w:rsidP="00182F72">
            <w:pPr>
              <w:jc w:val="both"/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637007 Cestovné náhrady (Cestovné náhrady a cestovné výdavky iným než vlastným zamestnancom)</w:t>
            </w:r>
          </w:p>
        </w:tc>
      </w:tr>
      <w:tr w:rsidR="00182F72" w:rsidRPr="00AF3C83" w14:paraId="2FC3E876" w14:textId="77777777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CE38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15D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518 Ostatné služby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DE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326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3CF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431" w14:textId="50B2318A" w:rsidR="00182F72" w:rsidRPr="00873249" w:rsidRDefault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632003 Poštové služby </w:t>
            </w:r>
          </w:p>
        </w:tc>
      </w:tr>
      <w:tr w:rsidR="00C86FA6" w:rsidRPr="00AF3C83" w14:paraId="195FBC04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0AB2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2C1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A854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71E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D7D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A8BA" w14:textId="06344B42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632004 Komunikačná infraštruktúra</w:t>
            </w:r>
          </w:p>
        </w:tc>
      </w:tr>
      <w:tr w:rsidR="00C86FA6" w:rsidRPr="00AF3C83" w14:paraId="0FC73F3B" w14:textId="77777777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B43D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329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DD8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AA1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D53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C820" w14:textId="5F236322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632005 Telekomunikačné služby</w:t>
            </w:r>
          </w:p>
        </w:tc>
      </w:tr>
      <w:tr w:rsidR="00C86FA6" w:rsidRPr="00AF3C83" w14:paraId="3B0EE9DA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7879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A31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306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95B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67F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AB8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633016 Reprezentačné</w:t>
            </w:r>
          </w:p>
        </w:tc>
      </w:tr>
      <w:tr w:rsidR="00C86FA6" w:rsidRPr="00AF3C83" w14:paraId="43FC16C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368C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775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46A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67A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BDB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00A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633013 Softvér</w:t>
            </w:r>
          </w:p>
        </w:tc>
      </w:tr>
      <w:tr w:rsidR="00C86FA6" w:rsidRPr="00AF3C83" w14:paraId="0336C267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F44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45C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00F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FDF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7D9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04C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633018 Licencie</w:t>
            </w:r>
          </w:p>
        </w:tc>
      </w:tr>
      <w:tr w:rsidR="00C86FA6" w:rsidRPr="00AF3C83" w14:paraId="36EEF79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8BCF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6C5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959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3E2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B50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D87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634004 Prepravné a nájom dopravných prostriedkov</w:t>
            </w:r>
          </w:p>
        </w:tc>
      </w:tr>
      <w:tr w:rsidR="00C86FA6" w:rsidRPr="00AF3C83" w14:paraId="35634F0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4135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455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6E6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129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65B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 Nájomné za nájom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6AD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636001 Budov, objektov alebo ich častí</w:t>
            </w:r>
          </w:p>
        </w:tc>
      </w:tr>
      <w:tr w:rsidR="00C86FA6" w:rsidRPr="00AF3C83" w14:paraId="0593AB40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19A9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38D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79A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25A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3D6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5C8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636002 Prevádzkových strojov, prístrojov, zariadení, techniky a náradia</w:t>
            </w:r>
          </w:p>
        </w:tc>
      </w:tr>
      <w:tr w:rsidR="00C86FA6" w:rsidRPr="00AF3C83" w14:paraId="358E41BE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6CCD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0F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D76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48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F3A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255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636003 Špeciálnych strojov, prístrojov, zariadení, techniky, náradia a materiálu</w:t>
            </w:r>
          </w:p>
        </w:tc>
      </w:tr>
      <w:tr w:rsidR="00C86FA6" w:rsidRPr="00AF3C83" w14:paraId="6D838839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F183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001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23F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776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8F3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108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636006 Výpočtovej techniky</w:t>
            </w:r>
          </w:p>
        </w:tc>
      </w:tr>
      <w:tr w:rsidR="00C86FA6" w:rsidRPr="00AF3C83" w14:paraId="1F97C420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E9D7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D61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FDC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ED6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32A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01C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636007 Softvéru</w:t>
            </w:r>
          </w:p>
        </w:tc>
      </w:tr>
      <w:tr w:rsidR="00C86FA6" w:rsidRPr="00AF3C83" w14:paraId="306220CD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C623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DD4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6E8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9E9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ACC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FE0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636008 Komunikačnej infraštruktúry</w:t>
            </w:r>
          </w:p>
        </w:tc>
      </w:tr>
      <w:tr w:rsidR="00C86FA6" w:rsidRPr="00AF3C83" w14:paraId="23587A9C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176A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072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9EF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3E5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8C8B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75A7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637001 Školenia, kurzy, semináre, porady, konferencie, sympóziá</w:t>
            </w:r>
          </w:p>
        </w:tc>
      </w:tr>
      <w:tr w:rsidR="00C86FA6" w:rsidRPr="00AF3C83" w14:paraId="5616E483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7E94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A75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A71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0C8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1FE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0B9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637003 Propagácia, reklama a inzercia </w:t>
            </w:r>
          </w:p>
        </w:tc>
      </w:tr>
      <w:tr w:rsidR="00C86FA6" w:rsidRPr="00AF3C83" w14:paraId="3C81351C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954D3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F75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E85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475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FC1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171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637004 Všeobecné služby</w:t>
            </w:r>
          </w:p>
        </w:tc>
      </w:tr>
      <w:tr w:rsidR="00C86FA6" w:rsidRPr="00AF3C83" w14:paraId="73968B4D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45F8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09E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598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A19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4E7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FA9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637005 Špeciálne služby</w:t>
            </w:r>
          </w:p>
        </w:tc>
      </w:tr>
      <w:tr w:rsidR="00FC6D3B" w:rsidRPr="00AF3C83" w14:paraId="6707EEFE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3D52" w14:textId="77777777" w:rsidR="00FC6D3B" w:rsidRPr="00873249" w:rsidRDefault="00FC6D3B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7696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45CF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1700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3E22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5DD0" w14:textId="5CB2D798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637011 Štúdie, expertízy, posudky</w:t>
            </w:r>
          </w:p>
        </w:tc>
      </w:tr>
      <w:tr w:rsidR="00C86FA6" w:rsidRPr="00AF3C83" w14:paraId="6B0115C0" w14:textId="77777777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0820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96E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0FA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786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DA5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FE8C" w14:textId="6B9EEDAF" w:rsidR="00C86FA6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637040 Služby v oblasti informačno-komunikačných technológií</w:t>
            </w:r>
          </w:p>
        </w:tc>
      </w:tr>
      <w:tr w:rsidR="00C86FA6" w:rsidRPr="00AF3C83" w14:paraId="22BA062B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5F3D" w14:textId="77777777"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52 Osobné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DA3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521 Mzdové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EBB6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997B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E0E5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8988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Okrem 613, 615, 628</w:t>
            </w:r>
          </w:p>
        </w:tc>
      </w:tr>
      <w:tr w:rsidR="00C86FA6" w:rsidRPr="00AF3C83" w14:paraId="7B598C73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5857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EEB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34D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514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8F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963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637027 Odmeny zamestnancov mimopracovného pomeru</w:t>
            </w:r>
          </w:p>
        </w:tc>
      </w:tr>
      <w:tr w:rsidR="00C86FA6" w:rsidRPr="00AF3C83" w14:paraId="053CB115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1B21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92E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D66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C8E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640 Bežné transfery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AC5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 Transfery jednotlivcom a neziskovým právnickým osobám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B48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642015 Na nemocenské dávky</w:t>
            </w:r>
          </w:p>
        </w:tc>
      </w:tr>
      <w:tr w:rsidR="00C86FA6" w:rsidRPr="00AF3C83" w14:paraId="7C207245" w14:textId="77777777" w:rsidTr="00182F72">
        <w:trPr>
          <w:trHeight w:val="416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26C8" w14:textId="77777777"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lastRenderedPageBreak/>
              <w:t>54 Ostatné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8A51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548 Výdavky na prevádzkovú činnosť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2018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E3F3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DA10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6A29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634003 Poistenie</w:t>
            </w:r>
          </w:p>
        </w:tc>
      </w:tr>
      <w:tr w:rsidR="00C86FA6" w:rsidRPr="00AF3C83" w14:paraId="3BE9A593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B6EF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97A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080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17D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125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542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637015 Poistné</w:t>
            </w:r>
          </w:p>
        </w:tc>
      </w:tr>
      <w:tr w:rsidR="00C86FA6" w:rsidRPr="00AF3C83" w14:paraId="24E90413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DBD6" w14:textId="77777777"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56 Finančné výdavky a poplatky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55A4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568 Ostatné finančné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578E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E0C4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948B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946E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634005 Karty, známky, poplatky</w:t>
            </w:r>
          </w:p>
        </w:tc>
      </w:tr>
      <w:tr w:rsidR="00C86FA6" w:rsidRPr="00AF3C83" w14:paraId="03C3AA87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04A7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338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09C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E10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98E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707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637012 Poplatky a odvody</w:t>
            </w:r>
          </w:p>
        </w:tc>
      </w:tr>
      <w:tr w:rsidR="00C86FA6" w:rsidRPr="00AF3C83" w14:paraId="1DF63C6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1A4FC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0F6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B14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6E94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DF9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48D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637023 Kolkové známky</w:t>
            </w:r>
          </w:p>
        </w:tc>
      </w:tr>
      <w:tr w:rsidR="00C86FA6" w:rsidRPr="00AF3C83" w14:paraId="3309E6B9" w14:textId="77777777" w:rsidTr="00182F72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A652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5C46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C404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BE71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F1F6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15F9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C86FA6" w:rsidRPr="00AF3C83" w14:paraId="79C907FE" w14:textId="77777777" w:rsidTr="00182F72">
        <w:trPr>
          <w:trHeight w:val="30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0506" w14:textId="1EFD2096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*kategorizuje oprávnenosť výdavku pre TP OPĽZ prioritná os 1 v súlade s ustanoveniami  uvedenými v prílohe č.3 písomného vyzvania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8B65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A830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1513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595C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</w:tbl>
    <w:p w14:paraId="304498DB" w14:textId="77777777" w:rsidR="00182F72" w:rsidRPr="00AF3C83" w:rsidRDefault="00182F7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2A8CD85" w14:textId="77777777" w:rsidR="002B4EF1" w:rsidRPr="00AF3C8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0E1377E" w14:textId="77777777" w:rsidR="00A015E3" w:rsidRPr="00AF3C83" w:rsidRDefault="00A015E3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B1A9DE3" w14:textId="77777777" w:rsidR="00A015E3" w:rsidRPr="00AF3C8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727E162" w14:textId="77777777" w:rsidR="00AE0ED1" w:rsidRPr="00AF3C83" w:rsidRDefault="00AE0ED1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sectPr w:rsidR="00AE0ED1" w:rsidRPr="00AF3C83" w:rsidSect="00182F72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1B6FDC" w15:done="0"/>
  <w15:commentEx w15:paraId="3E6A7772" w15:done="0"/>
  <w15:commentEx w15:paraId="47829A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6DD39" w14:textId="77777777" w:rsidR="00A44903" w:rsidRDefault="00A44903" w:rsidP="008E4422">
      <w:r>
        <w:separator/>
      </w:r>
    </w:p>
  </w:endnote>
  <w:endnote w:type="continuationSeparator" w:id="0">
    <w:p w14:paraId="02C8643E" w14:textId="77777777" w:rsidR="00A44903" w:rsidRDefault="00A44903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A7112" w14:textId="77777777" w:rsidR="00A44903" w:rsidRDefault="00A44903" w:rsidP="008E4422">
      <w:r>
        <w:separator/>
      </w:r>
    </w:p>
  </w:footnote>
  <w:footnote w:type="continuationSeparator" w:id="0">
    <w:p w14:paraId="206E3346" w14:textId="77777777" w:rsidR="00A44903" w:rsidRDefault="00A44903" w:rsidP="008E4422">
      <w:r>
        <w:continuationSeparator/>
      </w:r>
    </w:p>
  </w:footnote>
  <w:footnote w:id="1">
    <w:p w14:paraId="7C452215" w14:textId="77777777" w:rsidR="006F5E5B" w:rsidRPr="00674A78" w:rsidRDefault="006F5E5B">
      <w:pPr>
        <w:pStyle w:val="Textpoznmkypodiarou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 xml:space="preserve"> Zdroj: </w:t>
      </w:r>
      <w:hyperlink r:id="rId1" w:history="1">
        <w:r w:rsidRPr="00674A78">
          <w:rPr>
            <w:rStyle w:val="Hypertextovprepojenie"/>
            <w:rFonts w:ascii="Century Gothic" w:hAnsi="Century Gothic"/>
            <w:sz w:val="16"/>
            <w:szCs w:val="16"/>
          </w:rPr>
          <w:t>www.partnerskadohoda.sk</w:t>
        </w:r>
      </w:hyperlink>
      <w:r w:rsidRPr="00674A78">
        <w:rPr>
          <w:rFonts w:ascii="Century Gothic" w:hAnsi="Century Gothic"/>
          <w:sz w:val="16"/>
          <w:szCs w:val="16"/>
        </w:rPr>
        <w:t xml:space="preserve"> </w:t>
      </w:r>
    </w:p>
  </w:footnote>
  <w:footnote w:id="2">
    <w:p w14:paraId="03396995" w14:textId="77777777" w:rsidR="006F5E5B" w:rsidRPr="00674A78" w:rsidRDefault="006F5E5B" w:rsidP="004E18AB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3">
    <w:p w14:paraId="4C94269C" w14:textId="77777777" w:rsidR="006F5E5B" w:rsidRDefault="006F5E5B" w:rsidP="00D66D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4A78">
        <w:rPr>
          <w:rFonts w:ascii="Century Gothic" w:hAnsi="Century Gothic"/>
          <w:sz w:val="16"/>
          <w:szCs w:val="16"/>
        </w:rPr>
        <w:t>Výnimku tvoria daň z príjmu fyzických osôb, ktorá je súčasťou hrubej mzdy, resp. odmeny za vykonanú prácu a je oprávneným výdavkom v rámci osobných výdavkov a daň za ubytovanie, ktorá je oprávneným výdavkom v rámci cestovných náhrad.</w:t>
      </w:r>
    </w:p>
  </w:footnote>
  <w:footnote w:id="4">
    <w:p w14:paraId="6A9A1254" w14:textId="77777777" w:rsidR="006F5E5B" w:rsidRPr="000628A5" w:rsidRDefault="006F5E5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Číselník oprávnených výdavkov s uvedenými triedami a skupinami tvorí súčasť ITMS 2014+.</w:t>
      </w:r>
    </w:p>
  </w:footnote>
  <w:footnote w:id="5">
    <w:p w14:paraId="33BE0153" w14:textId="77777777" w:rsidR="006F5E5B" w:rsidRPr="000628A5" w:rsidRDefault="006F5E5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6">
    <w:p w14:paraId="1B459AB5" w14:textId="77777777" w:rsidR="006F5E5B" w:rsidRPr="000628A5" w:rsidRDefault="006F5E5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7">
    <w:p w14:paraId="584CC527" w14:textId="77777777" w:rsidR="006F5E5B" w:rsidRPr="009A1576" w:rsidRDefault="006F5E5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8">
    <w:p w14:paraId="213101EB" w14:textId="151173CD" w:rsidR="003A0FD6" w:rsidRDefault="003A0FD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0FD6">
        <w:rPr>
          <w:rFonts w:ascii="Century Gothic" w:hAnsi="Century Gothic"/>
          <w:sz w:val="16"/>
          <w:szCs w:val="16"/>
        </w:rPr>
        <w:t xml:space="preserve">Vrátane nákladov súvisiacich s obstaraním dlhodobého majetku do času uvedenia predmetného majetku do užívania.  </w:t>
      </w:r>
    </w:p>
  </w:footnote>
  <w:footnote w:id="9">
    <w:p w14:paraId="536B01D2" w14:textId="23E5FD70" w:rsidR="003A0FD6" w:rsidRDefault="003A0FD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0">
    <w:p w14:paraId="3D405DC5" w14:textId="46C0D1FA" w:rsidR="003A0FD6" w:rsidRDefault="003A0FD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1">
    <w:p w14:paraId="4A233E03" w14:textId="20E0CD11" w:rsidR="003A0FD6" w:rsidRDefault="003A0FD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2">
    <w:p w14:paraId="5A17DD8C" w14:textId="77777777" w:rsidR="006F5E5B" w:rsidRDefault="006F5E5B">
      <w:pPr>
        <w:pStyle w:val="Textpoznmkypodiarou"/>
      </w:pPr>
      <w:r w:rsidRPr="00B03238">
        <w:rPr>
          <w:rStyle w:val="Odkaznapoznmkupodiarou"/>
        </w:rPr>
        <w:footnoteRef/>
      </w:r>
      <w:r w:rsidRPr="00B03238">
        <w:rPr>
          <w:rFonts w:ascii="Century Gothic" w:hAnsi="Century Gothic"/>
          <w:sz w:val="16"/>
          <w:szCs w:val="16"/>
        </w:rPr>
        <w:t xml:space="preserve"> Vrátane nákladov súvisiacich s obstaraním uvedeného hmotného majetku do užívania.</w:t>
      </w:r>
    </w:p>
  </w:footnote>
  <w:footnote w:id="13">
    <w:p w14:paraId="609B397F" w14:textId="77777777" w:rsidR="006F5E5B" w:rsidRPr="00D54222" w:rsidRDefault="006F5E5B">
      <w:pPr>
        <w:pStyle w:val="Textpoznmkypodiarou"/>
        <w:rPr>
          <w:rFonts w:ascii="Century Gothic" w:hAnsi="Century Gothic"/>
          <w:sz w:val="16"/>
          <w:szCs w:val="16"/>
        </w:rPr>
      </w:pPr>
      <w:r w:rsidRPr="00D54222">
        <w:rPr>
          <w:rStyle w:val="Odkaznapoznmkupodiarou"/>
        </w:rPr>
        <w:footnoteRef/>
      </w:r>
      <w:r w:rsidRPr="00D54222">
        <w:rPr>
          <w:rStyle w:val="Odkaznapoznmkupodiarou"/>
        </w:rPr>
        <w:t xml:space="preserve">  </w:t>
      </w:r>
      <w:r w:rsidRPr="00D54222">
        <w:rPr>
          <w:rFonts w:ascii="Century Gothic" w:hAnsi="Century Gothic"/>
          <w:sz w:val="16"/>
          <w:szCs w:val="16"/>
        </w:rPr>
        <w:t xml:space="preserve"> Relevantné zložky mzdy vrátane pohyblivých zložiek (napr. osobné príplatky).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F8BB" w14:textId="6CA0589E" w:rsidR="006F5E5B" w:rsidRDefault="00AA2292" w:rsidP="00AA2292">
    <w:pPr>
      <w:pStyle w:val="Hlavika"/>
      <w:jc w:val="center"/>
    </w:pPr>
    <w:r>
      <w:rPr>
        <w:noProof/>
      </w:rPr>
      <w:drawing>
        <wp:inline distT="0" distB="0" distL="0" distR="0" wp14:anchorId="5E748621" wp14:editId="64F9557D">
          <wp:extent cx="4405746" cy="419283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9280" cy="426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CC8332" w14:textId="77777777" w:rsidR="00684922" w:rsidRDefault="00684922" w:rsidP="00684922">
    <w:pPr>
      <w:pStyle w:val="Hlavika"/>
      <w:jc w:val="right"/>
      <w:rPr>
        <w:rFonts w:ascii="Century Gothic" w:hAnsi="Century Gothic"/>
        <w:sz w:val="18"/>
        <w:szCs w:val="18"/>
      </w:rPr>
    </w:pPr>
  </w:p>
  <w:p w14:paraId="2C4EF370" w14:textId="799D1703" w:rsidR="006F5E5B" w:rsidRPr="00491BC6" w:rsidRDefault="00684922" w:rsidP="00684922">
    <w:pPr>
      <w:pStyle w:val="Hlavika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Príloha č. 3</w:t>
    </w:r>
    <w:r w:rsidR="00692A12">
      <w:rPr>
        <w:rFonts w:ascii="Century Gothic" w:hAnsi="Century Gothic"/>
        <w:sz w:val="18"/>
        <w:szCs w:val="18"/>
      </w:rPr>
      <w:t xml:space="preserve"> vyzvania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425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9A4F63"/>
    <w:multiLevelType w:val="hybridMultilevel"/>
    <w:tmpl w:val="AB1012A2"/>
    <w:lvl w:ilvl="0" w:tplc="3D22C782">
      <w:start w:val="1"/>
      <w:numFmt w:val="bullet"/>
      <w:lvlText w:val="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F3"/>
    <w:rsid w:val="0003178C"/>
    <w:rsid w:val="000321E4"/>
    <w:rsid w:val="000628A5"/>
    <w:rsid w:val="000877E2"/>
    <w:rsid w:val="0009728F"/>
    <w:rsid w:val="000A6C10"/>
    <w:rsid w:val="000B2A66"/>
    <w:rsid w:val="000B38E3"/>
    <w:rsid w:val="000B6616"/>
    <w:rsid w:val="000C3303"/>
    <w:rsid w:val="000E0FDC"/>
    <w:rsid w:val="00152EDD"/>
    <w:rsid w:val="00160DE6"/>
    <w:rsid w:val="0016143C"/>
    <w:rsid w:val="00182F72"/>
    <w:rsid w:val="001868D9"/>
    <w:rsid w:val="00191EB1"/>
    <w:rsid w:val="001D0D43"/>
    <w:rsid w:val="001E7D02"/>
    <w:rsid w:val="002324A4"/>
    <w:rsid w:val="00233C5F"/>
    <w:rsid w:val="002416C5"/>
    <w:rsid w:val="002557FE"/>
    <w:rsid w:val="00277B44"/>
    <w:rsid w:val="002B21CE"/>
    <w:rsid w:val="002B2BC8"/>
    <w:rsid w:val="002B4EF1"/>
    <w:rsid w:val="002D6495"/>
    <w:rsid w:val="003255F5"/>
    <w:rsid w:val="00364CF3"/>
    <w:rsid w:val="003743AE"/>
    <w:rsid w:val="00393449"/>
    <w:rsid w:val="003A0FD6"/>
    <w:rsid w:val="003D3D71"/>
    <w:rsid w:val="003E04FD"/>
    <w:rsid w:val="003E56F1"/>
    <w:rsid w:val="003F740B"/>
    <w:rsid w:val="00400099"/>
    <w:rsid w:val="004200E3"/>
    <w:rsid w:val="00422530"/>
    <w:rsid w:val="00455C9E"/>
    <w:rsid w:val="0046595F"/>
    <w:rsid w:val="00491BC6"/>
    <w:rsid w:val="004A73D9"/>
    <w:rsid w:val="004C3E45"/>
    <w:rsid w:val="004D183B"/>
    <w:rsid w:val="004E18AB"/>
    <w:rsid w:val="004E35CF"/>
    <w:rsid w:val="005202C7"/>
    <w:rsid w:val="0056503A"/>
    <w:rsid w:val="0058241F"/>
    <w:rsid w:val="00587C69"/>
    <w:rsid w:val="005B4FE2"/>
    <w:rsid w:val="005D1262"/>
    <w:rsid w:val="00602EE7"/>
    <w:rsid w:val="00610594"/>
    <w:rsid w:val="006125BA"/>
    <w:rsid w:val="00622618"/>
    <w:rsid w:val="006251E7"/>
    <w:rsid w:val="00666288"/>
    <w:rsid w:val="00674A78"/>
    <w:rsid w:val="00675AC3"/>
    <w:rsid w:val="00684922"/>
    <w:rsid w:val="00692A12"/>
    <w:rsid w:val="00696CD2"/>
    <w:rsid w:val="006E0DC5"/>
    <w:rsid w:val="006F1AF4"/>
    <w:rsid w:val="006F5E5B"/>
    <w:rsid w:val="00700DE6"/>
    <w:rsid w:val="00715BDE"/>
    <w:rsid w:val="007546E2"/>
    <w:rsid w:val="007767CD"/>
    <w:rsid w:val="007D38CF"/>
    <w:rsid w:val="007E159A"/>
    <w:rsid w:val="007F4B44"/>
    <w:rsid w:val="00805EB1"/>
    <w:rsid w:val="00821636"/>
    <w:rsid w:val="00853459"/>
    <w:rsid w:val="00873249"/>
    <w:rsid w:val="0088071D"/>
    <w:rsid w:val="00886BEC"/>
    <w:rsid w:val="008B6D37"/>
    <w:rsid w:val="008E438F"/>
    <w:rsid w:val="008E4422"/>
    <w:rsid w:val="008E6618"/>
    <w:rsid w:val="008E705A"/>
    <w:rsid w:val="00905B54"/>
    <w:rsid w:val="009124C8"/>
    <w:rsid w:val="00923F7E"/>
    <w:rsid w:val="00934854"/>
    <w:rsid w:val="00946189"/>
    <w:rsid w:val="0096457A"/>
    <w:rsid w:val="009735F7"/>
    <w:rsid w:val="009860DF"/>
    <w:rsid w:val="0098778C"/>
    <w:rsid w:val="00993978"/>
    <w:rsid w:val="00995820"/>
    <w:rsid w:val="009A1576"/>
    <w:rsid w:val="009B0455"/>
    <w:rsid w:val="009D330C"/>
    <w:rsid w:val="009D40EF"/>
    <w:rsid w:val="009D4DAF"/>
    <w:rsid w:val="009E69A1"/>
    <w:rsid w:val="00A015E3"/>
    <w:rsid w:val="00A144BA"/>
    <w:rsid w:val="00A20DF7"/>
    <w:rsid w:val="00A23E8B"/>
    <w:rsid w:val="00A434A3"/>
    <w:rsid w:val="00A44903"/>
    <w:rsid w:val="00A562B7"/>
    <w:rsid w:val="00A664FA"/>
    <w:rsid w:val="00AA2292"/>
    <w:rsid w:val="00AB393A"/>
    <w:rsid w:val="00AB46EF"/>
    <w:rsid w:val="00AB4DBA"/>
    <w:rsid w:val="00AB7E9C"/>
    <w:rsid w:val="00AE0ED1"/>
    <w:rsid w:val="00AE59AD"/>
    <w:rsid w:val="00AE72ED"/>
    <w:rsid w:val="00AF228B"/>
    <w:rsid w:val="00AF3C83"/>
    <w:rsid w:val="00B03238"/>
    <w:rsid w:val="00B10E3F"/>
    <w:rsid w:val="00B80AD8"/>
    <w:rsid w:val="00B84688"/>
    <w:rsid w:val="00B95530"/>
    <w:rsid w:val="00BA7C81"/>
    <w:rsid w:val="00BB3198"/>
    <w:rsid w:val="00C119DC"/>
    <w:rsid w:val="00C12B99"/>
    <w:rsid w:val="00C168C5"/>
    <w:rsid w:val="00C225EA"/>
    <w:rsid w:val="00C4435D"/>
    <w:rsid w:val="00C86FA6"/>
    <w:rsid w:val="00CA2EE3"/>
    <w:rsid w:val="00CA79E5"/>
    <w:rsid w:val="00CE664F"/>
    <w:rsid w:val="00D03E89"/>
    <w:rsid w:val="00D11104"/>
    <w:rsid w:val="00D13A04"/>
    <w:rsid w:val="00D20615"/>
    <w:rsid w:val="00D35959"/>
    <w:rsid w:val="00D54222"/>
    <w:rsid w:val="00D606AD"/>
    <w:rsid w:val="00D66D3F"/>
    <w:rsid w:val="00D67060"/>
    <w:rsid w:val="00D75B7D"/>
    <w:rsid w:val="00D833D7"/>
    <w:rsid w:val="00D85D9C"/>
    <w:rsid w:val="00DC6E3E"/>
    <w:rsid w:val="00DE75A3"/>
    <w:rsid w:val="00E2302A"/>
    <w:rsid w:val="00E251F7"/>
    <w:rsid w:val="00E26540"/>
    <w:rsid w:val="00E45F04"/>
    <w:rsid w:val="00E51245"/>
    <w:rsid w:val="00E54C71"/>
    <w:rsid w:val="00E82486"/>
    <w:rsid w:val="00E85665"/>
    <w:rsid w:val="00E90061"/>
    <w:rsid w:val="00EA0655"/>
    <w:rsid w:val="00EA2A51"/>
    <w:rsid w:val="00ED0897"/>
    <w:rsid w:val="00EE0C1E"/>
    <w:rsid w:val="00EE2B46"/>
    <w:rsid w:val="00EF7E38"/>
    <w:rsid w:val="00F11E8F"/>
    <w:rsid w:val="00F137F4"/>
    <w:rsid w:val="00F22F6A"/>
    <w:rsid w:val="00F371F1"/>
    <w:rsid w:val="00F61600"/>
    <w:rsid w:val="00FC10E0"/>
    <w:rsid w:val="00FC21AD"/>
    <w:rsid w:val="00FC6D3B"/>
    <w:rsid w:val="00FD4985"/>
    <w:rsid w:val="00FD62EB"/>
    <w:rsid w:val="00FD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9E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5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unhideWhenUsed/>
    <w:rsid w:val="00AE7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E72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E72E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72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72E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72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2ED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E18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E18A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40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25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5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unhideWhenUsed/>
    <w:rsid w:val="00AE7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E72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E72E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72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72E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72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2ED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E18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E18A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40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25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35DD-40BC-4DF8-901E-ABF60EE1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3532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2017-03-16T13:17:00Z</dcterms:created>
  <dcterms:modified xsi:type="dcterms:W3CDTF">2017-04-10T10:50:00Z</dcterms:modified>
</cp:coreProperties>
</file>