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71" w:rsidRPr="009455BD" w:rsidRDefault="009713E3" w:rsidP="00FA424B">
      <w:pPr>
        <w:pStyle w:val="Nadpis3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57"/>
        </w:tabs>
        <w:ind w:left="56"/>
        <w:rPr>
          <w:lang w:val="sk-SK"/>
        </w:rPr>
      </w:pPr>
      <w:bookmarkStart w:id="0" w:name="_Toc448901817"/>
      <w:bookmarkStart w:id="1" w:name="_Toc448905988"/>
      <w:bookmarkStart w:id="2" w:name="_GoBack"/>
      <w:bookmarkEnd w:id="2"/>
      <w:r>
        <w:rPr>
          <w:lang w:val="sk-SK"/>
        </w:rPr>
        <w:t>Š</w:t>
      </w:r>
      <w:r w:rsidR="009455BD" w:rsidRPr="009455BD">
        <w:rPr>
          <w:lang w:val="sk-SK"/>
        </w:rPr>
        <w:t>truktúr</w:t>
      </w:r>
      <w:r>
        <w:rPr>
          <w:lang w:val="sk-SK"/>
        </w:rPr>
        <w:t>a</w:t>
      </w:r>
      <w:r w:rsidR="009455BD" w:rsidRPr="009455BD">
        <w:rPr>
          <w:lang w:val="sk-SK"/>
        </w:rPr>
        <w:t xml:space="preserve"> </w:t>
      </w:r>
      <w:r w:rsidR="00DD5671" w:rsidRPr="009455BD">
        <w:rPr>
          <w:lang w:val="sk-SK"/>
        </w:rPr>
        <w:t>prioritnej osi 1 - Vzdelávanie</w:t>
      </w:r>
      <w:bookmarkEnd w:id="0"/>
      <w:bookmarkEnd w:id="1"/>
    </w:p>
    <w:p w:rsidR="00DD5671" w:rsidRPr="009455BD" w:rsidRDefault="00DD5671" w:rsidP="00DD5671">
      <w:pPr>
        <w:ind w:left="57" w:right="57"/>
      </w:pPr>
    </w:p>
    <w:p w:rsidR="00DD5671" w:rsidRPr="009455BD" w:rsidRDefault="00DD5671" w:rsidP="00DD5671">
      <w:pPr>
        <w:shd w:val="clear" w:color="auto" w:fill="FFFFFF"/>
        <w:ind w:left="57" w:right="57"/>
        <w:rPr>
          <w:b/>
        </w:rPr>
      </w:pPr>
      <w:r w:rsidRPr="009455BD">
        <w:rPr>
          <w:b/>
        </w:rPr>
        <w:t>Tematický cieľ (10-10)</w:t>
      </w:r>
    </w:p>
    <w:p w:rsidR="00DD5671" w:rsidRPr="009455BD" w:rsidRDefault="00DD5671" w:rsidP="00DD5671">
      <w:pPr>
        <w:ind w:left="57" w:right="57"/>
        <w:jc w:val="both"/>
        <w:rPr>
          <w:b/>
        </w:rPr>
      </w:pPr>
      <w:r w:rsidRPr="009455BD">
        <w:t>Investovanie do vzdelania, školení a odbornej prípravy, ako aj zručností a celoživotného vzdelávania</w:t>
      </w:r>
    </w:p>
    <w:p w:rsidR="00DD5671" w:rsidRPr="009455BD" w:rsidRDefault="00DD5671" w:rsidP="00DD5671">
      <w:pPr>
        <w:ind w:left="57" w:right="57"/>
        <w:rPr>
          <w:b/>
        </w:rPr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1.1 (10i) - pre MRR, VRR</w:t>
      </w:r>
    </w:p>
    <w:p w:rsidR="00DD5671" w:rsidRPr="009455BD" w:rsidRDefault="00DD5671" w:rsidP="00DD5671">
      <w:pPr>
        <w:ind w:left="57" w:right="57"/>
        <w:jc w:val="both"/>
        <w:rPr>
          <w:b/>
        </w:rPr>
      </w:pPr>
      <w:r w:rsidRPr="009455BD">
        <w:t>1.1 Zníženie a zabránenie predčasného skončenia školskej dochádzky a podpora prístupu ku kvalitnému predškolskému, základnému a stredoškolskému vzdelávaniu vrátane formálnych, neformálnych a bežných spôsobov vzdelávania za účelom opätovného začlenenia do vzdelávania a prípravy.</w:t>
      </w:r>
    </w:p>
    <w:p w:rsidR="00DD5671" w:rsidRPr="009455BD" w:rsidRDefault="00DD5671" w:rsidP="00DD5671">
      <w:pPr>
        <w:ind w:left="57" w:right="57"/>
        <w:rPr>
          <w:rFonts w:eastAsiaTheme="minorHAnsi"/>
        </w:rPr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</w:pPr>
      <w:r w:rsidRPr="009455BD">
        <w:t xml:space="preserve">1.1.1 Zvýšiť inkluzívnosť a rovnaký prístup ku kvalitnému vzdelávaniu a zlepšiť výsledky a kompetencie detí a žiakov </w:t>
      </w:r>
    </w:p>
    <w:p w:rsidR="00DD5671" w:rsidRPr="009455BD" w:rsidRDefault="00DD5671" w:rsidP="00DD5671">
      <w:pPr>
        <w:ind w:left="57" w:right="57"/>
        <w:jc w:val="both"/>
        <w:rPr>
          <w:rFonts w:eastAsiaTheme="minorHAnsi"/>
        </w:rPr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1.2 (10iv) - pre MRR, VRR</w:t>
      </w:r>
    </w:p>
    <w:p w:rsidR="00DD5671" w:rsidRPr="009455BD" w:rsidRDefault="00DD5671" w:rsidP="00DD5671">
      <w:pPr>
        <w:ind w:left="57" w:right="57"/>
        <w:jc w:val="both"/>
        <w:rPr>
          <w:b/>
        </w:rPr>
      </w:pPr>
      <w:r w:rsidRPr="009455BD">
        <w:t xml:space="preserve">1.2 </w:t>
      </w:r>
      <w:r w:rsidRPr="009455BD">
        <w:rPr>
          <w:rStyle w:val="FontStyle96"/>
          <w:i w:val="0"/>
          <w:lang w:eastAsia="en-US"/>
        </w:rPr>
        <w:t>Zvyšovanie významu trhu práce v oblasti systémov vzdelávania a odbornej prípravy, uľahčovanie prechodu od vzdelávania k zamestnanosti a zlepšovanie systémov odborného vzdelávania a prípravy a ich kvality, a to aj prostredníctvom mechanizmov na predvídania zručností, úpravy učebných plánov a vytvárania a rozvoja systémov vzdelávania na pracovisku vrátane systémov duálneho vzdelávania a učňovského vzdelávania</w:t>
      </w: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  <w:rPr>
          <w:rFonts w:eastAsiaTheme="minorHAnsi"/>
        </w:rPr>
      </w:pPr>
      <w:r w:rsidRPr="009455BD">
        <w:t xml:space="preserve">1.2.1 Zvýšiť kvalitu odborného vzdelávania a prípravy reflektujúc potreby trhu práce </w:t>
      </w:r>
    </w:p>
    <w:p w:rsidR="00DD5671" w:rsidRPr="009455BD" w:rsidRDefault="00DD5671" w:rsidP="00DD5671">
      <w:pPr>
        <w:ind w:left="57" w:right="57"/>
        <w:rPr>
          <w:rFonts w:eastAsiaTheme="minorHAnsi"/>
        </w:rPr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1.3 (10ii) - pre MRR, VRR</w:t>
      </w:r>
    </w:p>
    <w:p w:rsidR="00DD5671" w:rsidRPr="009455BD" w:rsidRDefault="00DD5671" w:rsidP="00DD5671">
      <w:pPr>
        <w:ind w:left="57" w:right="57"/>
        <w:jc w:val="both"/>
        <w:rPr>
          <w:b/>
        </w:rPr>
      </w:pPr>
      <w:r w:rsidRPr="009455BD">
        <w:t>1.3 Zlepšenie kvality, efektívnosti a prístupu k terciárnemu a ekvivalentnému vzdelávaniu s cieľom zvýšiť počet študujúcich a úroveň vzdelania, najmä v prípade znevýhodnených skupín</w:t>
      </w:r>
    </w:p>
    <w:p w:rsidR="00DD5671" w:rsidRPr="009455BD" w:rsidRDefault="00DD5671" w:rsidP="00DD5671">
      <w:pPr>
        <w:ind w:left="57" w:right="57"/>
        <w:rPr>
          <w:rFonts w:eastAsiaTheme="minorHAnsi"/>
        </w:rPr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</w:pPr>
      <w:r w:rsidRPr="009455BD">
        <w:t xml:space="preserve">1.3.1 Zvýšiť kvalitu VŠ vzdelávania a rozvoj ľudských zdrojov v oblasti výskumu a vývoja s cieľom dosiahnuť prepojenie VŠ vzdelávania s potrebami trhu práce </w:t>
      </w:r>
    </w:p>
    <w:p w:rsidR="00DD5671" w:rsidRPr="009455BD" w:rsidRDefault="00DD5671" w:rsidP="00DD5671">
      <w:pPr>
        <w:ind w:left="57" w:right="57"/>
        <w:rPr>
          <w:rFonts w:eastAsiaTheme="minorHAnsi"/>
        </w:rPr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1.4 (10iii) - pre MRR</w:t>
      </w:r>
    </w:p>
    <w:p w:rsidR="00DD5671" w:rsidRPr="009455BD" w:rsidRDefault="00DD5671" w:rsidP="00DD5671">
      <w:pPr>
        <w:ind w:left="57" w:right="57"/>
        <w:jc w:val="both"/>
        <w:rPr>
          <w:b/>
        </w:rPr>
      </w:pPr>
      <w:r w:rsidRPr="009455BD">
        <w:t>1.4 Zlepšenie rovnakého prístupu k celoživotnému vzdelávaniu pre všetky vekové skupiny v rámci formálneho, neformálneho a bežného vzdelávania, zvyšovania vedomostí, zručností a spôsobilostí pracovnej sily a podpory flexibilných spôsobov vzdelávania prostredníctvom usmerňovania pri výbere povolania a potvrdzovania nadobudnutých kompetencií</w:t>
      </w:r>
    </w:p>
    <w:p w:rsidR="00DD5671" w:rsidRPr="009455BD" w:rsidRDefault="00DD5671" w:rsidP="00DD5671">
      <w:pPr>
        <w:ind w:left="57" w:right="57"/>
        <w:rPr>
          <w:rFonts w:eastAsiaTheme="minorHAnsi"/>
        </w:rPr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</w:pPr>
      <w:r w:rsidRPr="009455BD">
        <w:t>1.4.1 Zvýšiť kvalitu a efektívnosť celoživotného vzdelávania s dôrazom na rozvoj kľúčových kompetencií, prehlbovanie a zvyšovanie kvalifikácie (MRR)</w:t>
      </w:r>
    </w:p>
    <w:p w:rsidR="00DD5671" w:rsidRPr="009455BD" w:rsidRDefault="00DD5671" w:rsidP="00DD5671">
      <w:pPr>
        <w:ind w:left="57" w:right="57"/>
        <w:jc w:val="both"/>
      </w:pPr>
    </w:p>
    <w:p w:rsidR="00760C99" w:rsidRPr="009455BD" w:rsidRDefault="00DD5671" w:rsidP="00DD5671">
      <w:pPr>
        <w:rPr>
          <w:rFonts w:eastAsia="Calibri"/>
        </w:rPr>
      </w:pPr>
      <w:r w:rsidRPr="009455BD">
        <w:rPr>
          <w:rFonts w:eastAsia="Calibri"/>
        </w:rPr>
        <w:t>Na PO1 bolo z ESF celkovo vyčlenených 549 085 418 €</w:t>
      </w:r>
      <w:r w:rsidR="00C035D9">
        <w:rPr>
          <w:rFonts w:eastAsia="Calibri"/>
        </w:rPr>
        <w:t xml:space="preserve"> </w:t>
      </w:r>
      <w:r w:rsidR="00EB504E">
        <w:rPr>
          <w:rFonts w:eastAsia="Calibri"/>
        </w:rPr>
        <w:t>z</w:t>
      </w:r>
      <w:r w:rsidR="00C035D9">
        <w:rPr>
          <w:rFonts w:eastAsia="Calibri"/>
        </w:rPr>
        <w:t>a</w:t>
      </w:r>
      <w:r w:rsidR="00EB504E">
        <w:rPr>
          <w:rFonts w:eastAsia="Calibri"/>
        </w:rPr>
        <w:t xml:space="preserve"> všetky zdroje </w:t>
      </w:r>
      <w:r w:rsidRPr="009455BD">
        <w:rPr>
          <w:rFonts w:eastAsia="Calibri"/>
        </w:rPr>
        <w:t xml:space="preserve">, z čoho pre viac rozvinutý </w:t>
      </w:r>
      <w:r w:rsidR="00EB504E">
        <w:rPr>
          <w:rFonts w:eastAsia="Calibri"/>
        </w:rPr>
        <w:t xml:space="preserve">región je určených 22 788 844 € a pre menej rozvinutý región 526 296 574 </w:t>
      </w:r>
      <w:r w:rsidR="00EB504E" w:rsidRPr="00EB504E">
        <w:rPr>
          <w:rFonts w:eastAsia="Calibri"/>
        </w:rPr>
        <w:t>€</w:t>
      </w:r>
      <w:r w:rsidR="00EB504E">
        <w:rPr>
          <w:rFonts w:eastAsia="Calibri"/>
        </w:rPr>
        <w:t>.</w:t>
      </w:r>
    </w:p>
    <w:p w:rsidR="00DD5671" w:rsidRPr="009455BD" w:rsidRDefault="00DD5671" w:rsidP="00DD5671">
      <w:pPr>
        <w:rPr>
          <w:rFonts w:eastAsia="Calibri"/>
        </w:rPr>
      </w:pPr>
    </w:p>
    <w:p w:rsidR="00DD5671" w:rsidRPr="009455BD" w:rsidRDefault="009713E3" w:rsidP="00DD5671">
      <w:pPr>
        <w:pStyle w:val="Nadpis3"/>
        <w:rPr>
          <w:lang w:val="sk-SK"/>
        </w:rPr>
      </w:pPr>
      <w:bookmarkStart w:id="3" w:name="_Toc441038581"/>
      <w:bookmarkStart w:id="4" w:name="_Toc448901818"/>
      <w:bookmarkStart w:id="5" w:name="_Toc448905989"/>
      <w:bookmarkStart w:id="6" w:name="_Toc442687215"/>
      <w:r>
        <w:rPr>
          <w:lang w:val="sk-SK"/>
        </w:rPr>
        <w:t>Š</w:t>
      </w:r>
      <w:r w:rsidR="009455BD" w:rsidRPr="009455BD">
        <w:rPr>
          <w:lang w:val="sk-SK"/>
        </w:rPr>
        <w:t>truktúr</w:t>
      </w:r>
      <w:r>
        <w:rPr>
          <w:lang w:val="sk-SK"/>
        </w:rPr>
        <w:t>a</w:t>
      </w:r>
      <w:r w:rsidR="009455BD" w:rsidRPr="009455BD">
        <w:rPr>
          <w:lang w:val="sk-SK"/>
        </w:rPr>
        <w:t xml:space="preserve"> </w:t>
      </w:r>
      <w:r w:rsidR="00DD5671" w:rsidRPr="009455BD">
        <w:rPr>
          <w:lang w:val="sk-SK"/>
        </w:rPr>
        <w:t>prioritnej osi 2</w:t>
      </w:r>
      <w:bookmarkEnd w:id="3"/>
      <w:r w:rsidR="00DD5671" w:rsidRPr="009455BD">
        <w:rPr>
          <w:lang w:val="sk-SK"/>
        </w:rPr>
        <w:t xml:space="preserve"> - Iniciatíva na podporu zamestnanosti mladých ľudí</w:t>
      </w:r>
      <w:bookmarkEnd w:id="4"/>
      <w:bookmarkEnd w:id="5"/>
    </w:p>
    <w:p w:rsidR="00DD5671" w:rsidRPr="009455BD" w:rsidRDefault="00DD5671" w:rsidP="00DD5671">
      <w:pPr>
        <w:ind w:left="57" w:right="57"/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Tematický cieľ (8-08)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 xml:space="preserve">Podpora udržateľnej a kvalitnej zamestnanosti a mobility pracovnej sily </w:t>
      </w:r>
    </w:p>
    <w:p w:rsidR="00DD5671" w:rsidRPr="009455BD" w:rsidRDefault="00DD5671" w:rsidP="00DD5671"/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2.1 (8ii) - pre MRR</w:t>
      </w:r>
      <w:bookmarkEnd w:id="6"/>
      <w:r w:rsidRPr="009455BD">
        <w:rPr>
          <w:b/>
        </w:rPr>
        <w:t xml:space="preserve"> </w:t>
      </w:r>
    </w:p>
    <w:p w:rsidR="00DD5671" w:rsidRPr="009455BD" w:rsidRDefault="00DD5671" w:rsidP="00DD5671">
      <w:pPr>
        <w:ind w:left="57" w:right="57"/>
        <w:jc w:val="both"/>
      </w:pPr>
      <w:r w:rsidRPr="009455BD">
        <w:t xml:space="preserve">2.1 (8ii) - Trvalo udržateľná integrácia mladých ľudí, najmä tých, ktorí nie sú zamestnaní, ani nie sú v procese vzdelávania alebo odbornej prípravy, na trh práce, vrátane mladých ľudí </w:t>
      </w:r>
      <w:r w:rsidRPr="009455BD">
        <w:lastRenderedPageBreak/>
        <w:t>ohrozených sociálnym vylúčením a mladých ľudí z marginalizovaných komunít, vrátane vykonávania systému záruk pre mladých ľudí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2.1.1 Zavedením záruky pre mladých nezamestnaných ľudí (UoZ), ktorí patria k NEET,</w:t>
      </w:r>
      <w:r w:rsidRPr="009455BD">
        <w:rPr>
          <w:rFonts w:eastAsia="EUAlbertina-Regular-Identity-H"/>
          <w:b/>
          <w:lang w:eastAsia="cs-CZ"/>
        </w:rPr>
        <w:t xml:space="preserve"> </w:t>
      </w:r>
      <w:r w:rsidRPr="009455BD">
        <w:rPr>
          <w:rFonts w:eastAsia="EUAlbertina-Regular-Identity-H"/>
          <w:lang w:eastAsia="cs-CZ"/>
        </w:rPr>
        <w:t>zvýšiť zamestnanosť, zamestnateľnosť a účasť mladých ľudí na trhu</w:t>
      </w:r>
    </w:p>
    <w:p w:rsidR="00DD5671" w:rsidRPr="009455BD" w:rsidRDefault="00DD5671" w:rsidP="00DD5671">
      <w:pPr>
        <w:pStyle w:val="Popis"/>
        <w:keepNext/>
        <w:spacing w:after="0"/>
        <w:ind w:left="57" w:right="57"/>
        <w:rPr>
          <w:color w:val="auto"/>
          <w:sz w:val="24"/>
          <w:szCs w:val="24"/>
        </w:rPr>
      </w:pPr>
    </w:p>
    <w:p w:rsidR="00DD5671" w:rsidRPr="009455BD" w:rsidRDefault="00DD5671" w:rsidP="00DD5671">
      <w:pPr>
        <w:ind w:left="57" w:right="57"/>
        <w:jc w:val="both"/>
        <w:rPr>
          <w:rFonts w:eastAsia="Calibri"/>
        </w:rPr>
      </w:pPr>
      <w:r w:rsidRPr="009455BD">
        <w:rPr>
          <w:rFonts w:eastAsia="Calibri"/>
        </w:rPr>
        <w:t xml:space="preserve">Na PO2 bolo celkovo vyčlenených 215 910 858 €, pričom </w:t>
      </w:r>
      <w:r w:rsidR="00EB504E">
        <w:rPr>
          <w:rFonts w:eastAsia="Calibri"/>
        </w:rPr>
        <w:t>osobitná alokácia za IZM je 72 175 259 €, alokácia  </w:t>
      </w:r>
      <w:r w:rsidRPr="009455BD">
        <w:rPr>
          <w:rFonts w:eastAsia="Calibri"/>
        </w:rPr>
        <w:t>ESF 1</w:t>
      </w:r>
      <w:r w:rsidR="00EB504E">
        <w:rPr>
          <w:rFonts w:eastAsia="Calibri"/>
        </w:rPr>
        <w:t>22 175 259</w:t>
      </w:r>
      <w:r w:rsidRPr="009455BD">
        <w:rPr>
          <w:rFonts w:eastAsia="Calibri"/>
        </w:rPr>
        <w:t xml:space="preserve"> €</w:t>
      </w:r>
      <w:r w:rsidR="00EB504E">
        <w:rPr>
          <w:rFonts w:eastAsia="Calibri"/>
        </w:rPr>
        <w:t xml:space="preserve"> a alokácia ŠR 21 560 340 </w:t>
      </w:r>
      <w:r w:rsidR="00EB504E" w:rsidRPr="00EB504E">
        <w:rPr>
          <w:rFonts w:eastAsia="Calibri"/>
        </w:rPr>
        <w:t>€</w:t>
      </w:r>
      <w:r w:rsidR="00EB504E">
        <w:rPr>
          <w:rFonts w:eastAsia="Calibri"/>
        </w:rPr>
        <w:t xml:space="preserve"> </w:t>
      </w:r>
      <w:r w:rsidRPr="009455BD">
        <w:rPr>
          <w:rFonts w:eastAsia="Calibri"/>
        </w:rPr>
        <w:t>.</w:t>
      </w:r>
    </w:p>
    <w:p w:rsidR="00DD5671" w:rsidRPr="009455BD" w:rsidRDefault="00DD5671" w:rsidP="00DD5671"/>
    <w:p w:rsidR="00DD5671" w:rsidRPr="009455BD" w:rsidRDefault="009713E3" w:rsidP="00DD5671">
      <w:pPr>
        <w:pStyle w:val="Nadpis3"/>
        <w:rPr>
          <w:lang w:val="sk-SK"/>
        </w:rPr>
      </w:pPr>
      <w:bookmarkStart w:id="7" w:name="_Toc441038586"/>
      <w:bookmarkStart w:id="8" w:name="_Toc448901819"/>
      <w:bookmarkStart w:id="9" w:name="_Toc448905990"/>
      <w:r>
        <w:rPr>
          <w:lang w:val="sk-SK"/>
        </w:rPr>
        <w:t>Š</w:t>
      </w:r>
      <w:r w:rsidR="009455BD">
        <w:rPr>
          <w:lang w:val="sk-SK"/>
        </w:rPr>
        <w:t>truktúr</w:t>
      </w:r>
      <w:r>
        <w:rPr>
          <w:lang w:val="sk-SK"/>
        </w:rPr>
        <w:t>a</w:t>
      </w:r>
      <w:r w:rsidR="009455BD">
        <w:t xml:space="preserve"> </w:t>
      </w:r>
      <w:r w:rsidR="00DD5671" w:rsidRPr="009455BD">
        <w:rPr>
          <w:lang w:val="sk-SK"/>
        </w:rPr>
        <w:t>prioritnej osi 3</w:t>
      </w:r>
      <w:bookmarkEnd w:id="7"/>
      <w:r w:rsidR="00DD5671" w:rsidRPr="009455BD">
        <w:rPr>
          <w:lang w:val="sk-SK"/>
        </w:rPr>
        <w:t xml:space="preserve"> – Zamestnanosť</w:t>
      </w:r>
      <w:bookmarkEnd w:id="8"/>
      <w:bookmarkEnd w:id="9"/>
    </w:p>
    <w:p w:rsidR="00DD5671" w:rsidRPr="009455BD" w:rsidRDefault="00DD5671" w:rsidP="00DD5671">
      <w:pPr>
        <w:ind w:left="57" w:right="57"/>
      </w:pPr>
    </w:p>
    <w:p w:rsidR="00DD5671" w:rsidRPr="009455BD" w:rsidRDefault="00DD5671" w:rsidP="00DD5671">
      <w:pPr>
        <w:shd w:val="clear" w:color="auto" w:fill="FFFFFF"/>
        <w:ind w:left="57" w:right="57"/>
        <w:rPr>
          <w:b/>
        </w:rPr>
      </w:pPr>
      <w:r w:rsidRPr="009455BD">
        <w:rPr>
          <w:b/>
        </w:rPr>
        <w:t>Tematický cieľ (8-08)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Podpora udržateľnej a kvalitnej zamestnanosti a mobility pracovnej sily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3.1 (8i) - pre MRR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 xml:space="preserve">3.1 Prístup uchádzačov o zamestnanie a neaktívnych osôb k zamestnaniu vrátane dlhodobo nezamestnaných a osôb, ktoré sú vzdialené od trhu práce, ako aj miestne iniciatívy v oblasti zamestnávania a podpora mobility pracovnej sily 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3.1.1 Zvýšiť zamestnanosť, zamestnateľnosť a znížiť nezamestnanosť s osobitným dôrazom na dlhodobo nezamestnaných, nízko kvalifikovaných, starších a zdravotne postihnuté osoby</w:t>
      </w:r>
    </w:p>
    <w:p w:rsidR="00DD5671" w:rsidRPr="009455BD" w:rsidRDefault="00DD5671" w:rsidP="00DD5671">
      <w:pPr>
        <w:ind w:left="57" w:right="57"/>
        <w:jc w:val="both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3.1.2 Zlepšiť prístup na trh práce uplatnením účinných nástrojov na podporu zamestnanosti, vrátane podpory mobility pre získanie zamestnania, samostatnej zárobkovej činnosti a aktivít vo vidieckych oblastiach.</w:t>
      </w:r>
    </w:p>
    <w:p w:rsidR="00DD5671" w:rsidRPr="009455BD" w:rsidRDefault="00DD5671" w:rsidP="00DD5671">
      <w:pPr>
        <w:ind w:left="57" w:right="57"/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3.2 (8iv) - pre MRR, VRR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3.2 Rovnosť medzi mužmi a ženami vo všetkých oblastiach vrátane v oblasti prístupu k zamestnaniu, kariérnemu postupu, v oblasti zosúladenia pracovného a súkromného života a presadzovania rovnakej odmeny za rovnakú prácu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3.2.1 Zlepšením podmienok pre zosúladenie pracovného a rodinného života zvýšiť zamestnanosť osôb s rodičovskými povinnosťami, najmä žien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ind w:left="57" w:right="57"/>
        <w:jc w:val="both"/>
      </w:pPr>
      <w:r w:rsidRPr="009455BD">
        <w:rPr>
          <w:bCs/>
        </w:rPr>
        <w:t xml:space="preserve">3.2.2 </w:t>
      </w:r>
      <w:r w:rsidRPr="009455BD">
        <w:t>Znížiť horizontálnu a vertikálnu rodovú segregáciu na pracovnom trhu a v príprave na povolanie</w:t>
      </w:r>
    </w:p>
    <w:p w:rsidR="00DD5671" w:rsidRPr="009455BD" w:rsidRDefault="00DD5671" w:rsidP="00DD5671">
      <w:pPr>
        <w:ind w:left="57" w:right="57"/>
        <w:rPr>
          <w:sz w:val="20"/>
          <w:szCs w:val="20"/>
        </w:rPr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 xml:space="preserve">Investičná priorita 3.3 (8vii) - pre MRR </w:t>
      </w:r>
    </w:p>
    <w:p w:rsidR="00DD5671" w:rsidRPr="009455BD" w:rsidRDefault="00DD5671" w:rsidP="00DD5671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3.3 Modernizácia inštitúcií trhu práce, ako sú verejné a súkromné služby zamestnanosti, zlepšovanie prispôsobenia sa potrebám trhu práce, vrátane opatrení zameraných na zlepšenie nadnárodnej pracovnej mobility, ako aj programov mobility a lepšej spolupráce medzi inštitúciami a príslušnými zainteresovanými stranami</w:t>
      </w: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Špecifický cieľ</w:t>
      </w:r>
    </w:p>
    <w:p w:rsidR="00DD5671" w:rsidRDefault="00DD5671" w:rsidP="00DD5671">
      <w:pPr>
        <w:ind w:left="57" w:right="57"/>
        <w:jc w:val="both"/>
      </w:pPr>
      <w:r w:rsidRPr="009455BD">
        <w:t>3.3.1 Zvýšiť kvalitu a kapacity verejných služieb zamestnanosti na zodpovedajúcu úroveň v nadväznosti na meniace sa potreby a požiadavky trhu práce, nadnárodnú pracovnú mobilitu, a zvýšiť účasť partnerov a súkromných služieb zamestnanosti na riešení problémov v oblasti zamestnanosti</w:t>
      </w:r>
    </w:p>
    <w:p w:rsidR="00EB504E" w:rsidRDefault="00EB504E" w:rsidP="00DD5671">
      <w:pPr>
        <w:ind w:left="57" w:right="57"/>
        <w:jc w:val="both"/>
      </w:pPr>
    </w:p>
    <w:p w:rsidR="00EB504E" w:rsidRPr="00EB504E" w:rsidRDefault="00EB504E" w:rsidP="00EB504E">
      <w:pPr>
        <w:ind w:left="57" w:right="57"/>
        <w:jc w:val="both"/>
      </w:pPr>
      <w:r w:rsidRPr="00EB504E">
        <w:t>Na PO</w:t>
      </w:r>
      <w:r>
        <w:t>3</w:t>
      </w:r>
      <w:r w:rsidRPr="00EB504E">
        <w:t xml:space="preserve"> bolo z ESF celkovo vyčlenených </w:t>
      </w:r>
      <w:r w:rsidR="00C035D9">
        <w:t>949 90 279</w:t>
      </w:r>
      <w:r w:rsidRPr="00EB504E">
        <w:t xml:space="preserve"> €</w:t>
      </w:r>
      <w:r w:rsidR="00C035D9">
        <w:t xml:space="preserve"> </w:t>
      </w:r>
      <w:r w:rsidRPr="00EB504E">
        <w:t>z</w:t>
      </w:r>
      <w:r w:rsidR="00C035D9">
        <w:t>a</w:t>
      </w:r>
      <w:r w:rsidRPr="00EB504E">
        <w:t xml:space="preserve"> všetky zdroje , z čoho pre viac rozvinutý región je určených </w:t>
      </w:r>
      <w:r w:rsidR="00C035D9">
        <w:t xml:space="preserve">33 000 </w:t>
      </w:r>
      <w:proofErr w:type="spellStart"/>
      <w:r w:rsidR="00C035D9">
        <w:t>000</w:t>
      </w:r>
      <w:proofErr w:type="spellEnd"/>
      <w:r w:rsidRPr="00EB504E">
        <w:t xml:space="preserve"> € a pre menej rozvinutý región </w:t>
      </w:r>
      <w:r w:rsidR="00C035D9">
        <w:t>916 970 279</w:t>
      </w:r>
      <w:r w:rsidRPr="00EB504E">
        <w:t xml:space="preserve"> €.</w:t>
      </w:r>
    </w:p>
    <w:p w:rsidR="00EB504E" w:rsidRPr="009455BD" w:rsidRDefault="00EB504E" w:rsidP="00DD5671">
      <w:pPr>
        <w:ind w:left="57" w:right="57"/>
        <w:jc w:val="both"/>
      </w:pPr>
    </w:p>
    <w:p w:rsidR="00DD5671" w:rsidRPr="009455BD" w:rsidRDefault="009713E3" w:rsidP="00DD5671">
      <w:pPr>
        <w:pStyle w:val="Nadpis3"/>
        <w:rPr>
          <w:lang w:val="sk-SK"/>
        </w:rPr>
      </w:pPr>
      <w:bookmarkStart w:id="10" w:name="_Toc448901820"/>
      <w:bookmarkStart w:id="11" w:name="_Toc448905991"/>
      <w:r>
        <w:rPr>
          <w:lang w:val="sk-SK"/>
        </w:rPr>
        <w:t>Š</w:t>
      </w:r>
      <w:r w:rsidR="009455BD">
        <w:rPr>
          <w:lang w:val="sk-SK"/>
        </w:rPr>
        <w:t>truktúr</w:t>
      </w:r>
      <w:r>
        <w:rPr>
          <w:lang w:val="sk-SK"/>
        </w:rPr>
        <w:t>a</w:t>
      </w:r>
      <w:r w:rsidR="009455BD">
        <w:t xml:space="preserve"> </w:t>
      </w:r>
      <w:r w:rsidR="00DD5671" w:rsidRPr="009455BD">
        <w:rPr>
          <w:lang w:val="sk-SK"/>
        </w:rPr>
        <w:t>prioritnej osi 4 – Sociálne začlenenie</w:t>
      </w:r>
      <w:bookmarkEnd w:id="10"/>
      <w:bookmarkEnd w:id="11"/>
    </w:p>
    <w:p w:rsidR="009713E3" w:rsidRDefault="009713E3" w:rsidP="00DD5671">
      <w:pPr>
        <w:shd w:val="clear" w:color="auto" w:fill="FFFFFF"/>
        <w:ind w:left="57" w:right="57"/>
        <w:rPr>
          <w:b/>
        </w:rPr>
      </w:pPr>
    </w:p>
    <w:p w:rsidR="00DD5671" w:rsidRPr="009455BD" w:rsidRDefault="00DD5671" w:rsidP="00DD5671">
      <w:pPr>
        <w:shd w:val="clear" w:color="auto" w:fill="FFFFFF"/>
        <w:ind w:left="57" w:right="57"/>
        <w:rPr>
          <w:b/>
        </w:rPr>
      </w:pPr>
      <w:r w:rsidRPr="009455BD">
        <w:rPr>
          <w:b/>
        </w:rPr>
        <w:lastRenderedPageBreak/>
        <w:t>Tematický cieľ (9-09)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Podpora sociálneho začlenenia, boj proti chudobe a akejkoľvek diskriminácii</w:t>
      </w:r>
    </w:p>
    <w:p w:rsidR="00DD5671" w:rsidRPr="009455BD" w:rsidRDefault="00DD5671" w:rsidP="00DD5671">
      <w:pPr>
        <w:ind w:left="57" w:right="57"/>
        <w:rPr>
          <w:b/>
        </w:rPr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4.1 (9i) - pre MRR, VRR</w:t>
      </w:r>
    </w:p>
    <w:p w:rsidR="00DD5671" w:rsidRPr="009455BD" w:rsidRDefault="00DD5671" w:rsidP="00DD5671">
      <w:pPr>
        <w:ind w:left="57" w:right="57"/>
      </w:pPr>
      <w:r w:rsidRPr="009455BD">
        <w:rPr>
          <w:rFonts w:eastAsia="EUAlbertina-Regular-Identity-H"/>
          <w:lang w:eastAsia="cs-CZ"/>
        </w:rPr>
        <w:t>4.1 Aktívne začlenenie, a to aj s cieľom podporovať rovnaké príležitosti a aktívnu účasť a zlepšenie zamestnateľnosti</w:t>
      </w:r>
      <w:r w:rsidRPr="009455BD">
        <w:t xml:space="preserve"> </w:t>
      </w: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4.1.1 Zvýšenie účasti najviac znevýhodnených a ohrozených osôb v spoločnosti, vrátane na trhu práce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4.1.2 Prevencia a eliminácia všetkých foriem diskriminácie</w:t>
      </w:r>
    </w:p>
    <w:p w:rsidR="00DD5671" w:rsidRPr="009455BD" w:rsidRDefault="00DD5671" w:rsidP="00DD5671">
      <w:pPr>
        <w:ind w:left="57" w:right="57"/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4.2 (9iv) - pre MRR, VRR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4.2</w:t>
      </w:r>
      <w:r w:rsidRPr="009455BD">
        <w:rPr>
          <w:rFonts w:eastAsia="EUAlbertina-Regular-Identity-H"/>
          <w:b/>
          <w:lang w:eastAsia="cs-CZ"/>
        </w:rPr>
        <w:t xml:space="preserve"> </w:t>
      </w:r>
      <w:r w:rsidRPr="009455BD">
        <w:rPr>
          <w:rFonts w:eastAsia="EUAlbertina-Regular-Identity-H"/>
          <w:lang w:eastAsia="cs-CZ"/>
        </w:rPr>
        <w:t xml:space="preserve">Zlepšenie prístupu k cenovo prístupným, trvalo udržateľným a kvalitným službám vrátane zdravotnej starostlivosti a sociálnych služieb všeobecného záujmu </w:t>
      </w: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4.2.1 Prechod z inštitucionálnej na komunitnú starostlivosť</w:t>
      </w:r>
      <w:r w:rsidRPr="009455BD" w:rsidDel="00C21E16">
        <w:rPr>
          <w:rFonts w:eastAsia="EUAlbertina-Regular-Identity-H"/>
          <w:lang w:eastAsia="cs-CZ"/>
        </w:rPr>
        <w:t xml:space="preserve"> 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4.2.2 Vytvoriť štandardné klinické postupy a štandardné postupy pre výkon prevencie a začleniť ich do celoštátneho systému zdravotnej starostlivosti</w:t>
      </w:r>
    </w:p>
    <w:p w:rsidR="00DD5671" w:rsidRPr="009455BD" w:rsidRDefault="00DD5671" w:rsidP="00DD5671">
      <w:pPr>
        <w:ind w:left="57" w:right="57"/>
      </w:pPr>
    </w:p>
    <w:p w:rsidR="00C035D9" w:rsidRPr="009455BD" w:rsidRDefault="00C035D9" w:rsidP="00DD5671">
      <w:pPr>
        <w:ind w:left="57" w:right="57"/>
        <w:jc w:val="both"/>
        <w:rPr>
          <w:rFonts w:eastAsia="Calibri"/>
        </w:rPr>
      </w:pPr>
      <w:r w:rsidRPr="00C035D9">
        <w:rPr>
          <w:rFonts w:eastAsia="Calibri"/>
        </w:rPr>
        <w:t>Na PO</w:t>
      </w:r>
      <w:r>
        <w:rPr>
          <w:rFonts w:eastAsia="Calibri"/>
        </w:rPr>
        <w:t>4</w:t>
      </w:r>
      <w:r w:rsidRPr="00C035D9">
        <w:rPr>
          <w:rFonts w:eastAsia="Calibri"/>
        </w:rPr>
        <w:t xml:space="preserve"> bolo z ESF celkovo vyčlenených </w:t>
      </w:r>
      <w:r>
        <w:rPr>
          <w:rFonts w:eastAsia="Calibri"/>
        </w:rPr>
        <w:t>368 971 978</w:t>
      </w:r>
      <w:r w:rsidRPr="00C035D9">
        <w:rPr>
          <w:rFonts w:eastAsia="Calibri"/>
        </w:rPr>
        <w:t xml:space="preserve"> € z</w:t>
      </w:r>
      <w:r>
        <w:rPr>
          <w:rFonts w:eastAsia="Calibri"/>
        </w:rPr>
        <w:t>a</w:t>
      </w:r>
      <w:r w:rsidRPr="00C035D9">
        <w:rPr>
          <w:rFonts w:eastAsia="Calibri"/>
        </w:rPr>
        <w:t xml:space="preserve"> všetky zdroje , z čoho pre viac rozvinutý región je určených </w:t>
      </w:r>
      <w:r>
        <w:rPr>
          <w:rFonts w:eastAsia="Calibri"/>
        </w:rPr>
        <w:t>53 348 256</w:t>
      </w:r>
      <w:r w:rsidRPr="00C035D9">
        <w:rPr>
          <w:rFonts w:eastAsia="Calibri"/>
        </w:rPr>
        <w:t xml:space="preserve"> € a pre menej rozvinutý región </w:t>
      </w:r>
      <w:r>
        <w:rPr>
          <w:rFonts w:eastAsia="Calibri"/>
        </w:rPr>
        <w:t>315 323 722</w:t>
      </w:r>
      <w:r w:rsidRPr="00C035D9">
        <w:rPr>
          <w:rFonts w:eastAsia="Calibri"/>
        </w:rPr>
        <w:t xml:space="preserve"> €.</w:t>
      </w:r>
    </w:p>
    <w:p w:rsidR="00DD5671" w:rsidRPr="009455BD" w:rsidRDefault="00DD5671" w:rsidP="00DD5671"/>
    <w:p w:rsidR="00DD5671" w:rsidRPr="009455BD" w:rsidRDefault="009713E3" w:rsidP="00DD5671">
      <w:pPr>
        <w:pStyle w:val="Nadpis3"/>
        <w:rPr>
          <w:lang w:val="sk-SK"/>
        </w:rPr>
      </w:pPr>
      <w:bookmarkStart w:id="12" w:name="_Toc448901821"/>
      <w:bookmarkStart w:id="13" w:name="_Toc448905992"/>
      <w:r>
        <w:rPr>
          <w:lang w:val="sk-SK"/>
        </w:rPr>
        <w:t>Š</w:t>
      </w:r>
      <w:r w:rsidR="009455BD">
        <w:rPr>
          <w:lang w:val="sk-SK"/>
        </w:rPr>
        <w:t>truktúr</w:t>
      </w:r>
      <w:r>
        <w:rPr>
          <w:lang w:val="sk-SK"/>
        </w:rPr>
        <w:t>a</w:t>
      </w:r>
      <w:r w:rsidR="009455BD" w:rsidRPr="00951D2C">
        <w:rPr>
          <w:lang w:val="sk-SK"/>
        </w:rPr>
        <w:t xml:space="preserve"> </w:t>
      </w:r>
      <w:r w:rsidR="00DD5671" w:rsidRPr="009455BD">
        <w:rPr>
          <w:lang w:val="sk-SK"/>
        </w:rPr>
        <w:t>prioritnej osi 5 – Integrácia marginalizovaných rómskych komunít</w:t>
      </w:r>
      <w:bookmarkEnd w:id="12"/>
      <w:bookmarkEnd w:id="13"/>
    </w:p>
    <w:p w:rsidR="00DD5671" w:rsidRPr="009455BD" w:rsidRDefault="00DD5671" w:rsidP="00DD5671">
      <w:pPr>
        <w:shd w:val="clear" w:color="auto" w:fill="FFFFFF"/>
        <w:ind w:left="57" w:right="57"/>
        <w:rPr>
          <w:b/>
        </w:rPr>
      </w:pPr>
      <w:r w:rsidRPr="009455BD">
        <w:rPr>
          <w:b/>
        </w:rPr>
        <w:t>Tematický cieľ (9-09)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Podpora sociálneho začlenenia, boj proti chudobe a akejkoľvek diskriminácii</w:t>
      </w:r>
    </w:p>
    <w:p w:rsidR="00DD5671" w:rsidRPr="009455BD" w:rsidRDefault="00DD5671" w:rsidP="00DD5671">
      <w:pPr>
        <w:ind w:left="57" w:right="57"/>
        <w:rPr>
          <w:b/>
        </w:rPr>
      </w:pPr>
    </w:p>
    <w:p w:rsidR="00DD5671" w:rsidRPr="009455BD" w:rsidRDefault="00DD5671" w:rsidP="00DD5671">
      <w:pPr>
        <w:ind w:left="57" w:right="57"/>
        <w:rPr>
          <w:b/>
        </w:rPr>
      </w:pPr>
      <w:r w:rsidRPr="009455BD">
        <w:rPr>
          <w:b/>
        </w:rPr>
        <w:t>Investičná priorita 5.1 (9ii) - pre MRR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5.1 Sociálno-ekonomická integrácia marginalizovaných komunít, ako sú Rómovia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5.1.1 Zvýšiť vzdelanostnú úroveň príslušníkov marginalizovaných komunít, predovšetkým Rómov, na všetkých stupňoch vzdelávania s dôrazom na predprimárne vzdelávanie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5.1.2 Zvýšiť finančnú gramotnosť, zamestnateľnosť a zamestnanosť marginalizovaných komunít, predovšetkým Rómov</w:t>
      </w:r>
    </w:p>
    <w:p w:rsidR="00DD5671" w:rsidRPr="009455BD" w:rsidRDefault="00DD5671" w:rsidP="00DD5671">
      <w:pPr>
        <w:ind w:left="57" w:right="57"/>
      </w:pPr>
      <w:r w:rsidRPr="009455BD">
        <w:rPr>
          <w:b/>
        </w:rPr>
        <w:t>Špecifický cieľ</w:t>
      </w:r>
    </w:p>
    <w:p w:rsidR="00DD5671" w:rsidRPr="009455BD" w:rsidRDefault="00DD5671" w:rsidP="00DD5671">
      <w:pPr>
        <w:autoSpaceDE w:val="0"/>
        <w:autoSpaceDN w:val="0"/>
        <w:adjustRightInd w:val="0"/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5.1.3 Podporiť prístup k zdravotnej starostlivosti a verejnému zdraviu vrátane preventívnej zdravotnej starostlivosti, zdravotníckej osvety a k zlepšeniu štandardov hygieny bývania</w:t>
      </w:r>
    </w:p>
    <w:p w:rsidR="00DD5671" w:rsidRPr="009455BD" w:rsidRDefault="00DD5671" w:rsidP="00DD5671">
      <w:pPr>
        <w:pStyle w:val="Zkladntext21"/>
        <w:spacing w:line="240" w:lineRule="auto"/>
        <w:ind w:left="57" w:right="57"/>
        <w:jc w:val="both"/>
        <w:rPr>
          <w:b/>
          <w:sz w:val="24"/>
          <w:szCs w:val="24"/>
          <w:highlight w:val="yellow"/>
        </w:rPr>
      </w:pPr>
    </w:p>
    <w:p w:rsidR="00DD5671" w:rsidRPr="009455BD" w:rsidRDefault="00DD5671" w:rsidP="00DD5671">
      <w:pPr>
        <w:pStyle w:val="Zkladntext21"/>
        <w:spacing w:line="240" w:lineRule="auto"/>
        <w:ind w:left="57" w:right="57"/>
        <w:rPr>
          <w:rFonts w:eastAsia="Calibri"/>
        </w:rPr>
      </w:pPr>
      <w:r w:rsidRPr="009455BD">
        <w:rPr>
          <w:rFonts w:eastAsia="Calibri"/>
        </w:rPr>
        <w:t>Na PO5 bolo z ESF celkovo vyčlenených 163 529 413 € pre menej rozvinutý región.</w:t>
      </w:r>
    </w:p>
    <w:p w:rsidR="00866AAB" w:rsidRPr="009455BD" w:rsidRDefault="00866AAB" w:rsidP="00DD5671"/>
    <w:p w:rsidR="00866AAB" w:rsidRPr="009455BD" w:rsidRDefault="009713E3" w:rsidP="00866AAB">
      <w:pPr>
        <w:pStyle w:val="Nadpis3"/>
        <w:rPr>
          <w:lang w:val="sk-SK"/>
        </w:rPr>
      </w:pPr>
      <w:bookmarkStart w:id="14" w:name="_Toc448901822"/>
      <w:bookmarkStart w:id="15" w:name="_Toc448905993"/>
      <w:r>
        <w:rPr>
          <w:lang w:val="sk-SK"/>
        </w:rPr>
        <w:t>Š</w:t>
      </w:r>
      <w:r w:rsidR="009455BD">
        <w:rPr>
          <w:lang w:val="sk-SK"/>
        </w:rPr>
        <w:t>truktúr</w:t>
      </w:r>
      <w:r>
        <w:rPr>
          <w:lang w:val="sk-SK"/>
        </w:rPr>
        <w:t>a</w:t>
      </w:r>
      <w:r w:rsidR="009455BD" w:rsidRPr="00951D2C">
        <w:rPr>
          <w:lang w:val="sk-SK"/>
        </w:rPr>
        <w:t xml:space="preserve"> </w:t>
      </w:r>
      <w:r w:rsidR="00866AAB" w:rsidRPr="009455BD">
        <w:rPr>
          <w:lang w:val="sk-SK"/>
        </w:rPr>
        <w:t>prioritnej osi 6 - Technická vybavenosť v obciach s prítomnosťou MRK</w:t>
      </w:r>
      <w:bookmarkEnd w:id="14"/>
      <w:bookmarkEnd w:id="15"/>
    </w:p>
    <w:p w:rsidR="009713E3" w:rsidRDefault="009713E3" w:rsidP="00866AAB">
      <w:pPr>
        <w:shd w:val="clear" w:color="auto" w:fill="FFFFFF"/>
        <w:ind w:left="57" w:right="57"/>
        <w:rPr>
          <w:b/>
        </w:rPr>
      </w:pPr>
    </w:p>
    <w:p w:rsidR="00866AAB" w:rsidRPr="009455BD" w:rsidRDefault="00866AAB" w:rsidP="00866AAB">
      <w:pPr>
        <w:shd w:val="clear" w:color="auto" w:fill="FFFFFF"/>
        <w:ind w:left="57" w:right="57"/>
        <w:rPr>
          <w:b/>
        </w:rPr>
      </w:pPr>
      <w:r w:rsidRPr="009455BD">
        <w:rPr>
          <w:b/>
        </w:rPr>
        <w:t>Tematický cieľ (9-09)</w:t>
      </w:r>
    </w:p>
    <w:p w:rsidR="00866AAB" w:rsidRPr="009455BD" w:rsidRDefault="00866AAB" w:rsidP="00866AAB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 xml:space="preserve">Podpora sociálneho začlenenia, boj proti chudobe a akejkoľvek diskriminácii </w:t>
      </w:r>
    </w:p>
    <w:p w:rsidR="00866AAB" w:rsidRPr="009455BD" w:rsidRDefault="00866AAB" w:rsidP="00866AAB">
      <w:pPr>
        <w:ind w:left="57" w:right="57"/>
        <w:rPr>
          <w:b/>
        </w:rPr>
      </w:pPr>
    </w:p>
    <w:p w:rsidR="00866AAB" w:rsidRPr="009455BD" w:rsidRDefault="00866AAB" w:rsidP="00866AAB">
      <w:pPr>
        <w:ind w:left="57" w:right="57"/>
        <w:rPr>
          <w:b/>
        </w:rPr>
      </w:pPr>
      <w:r w:rsidRPr="009455BD">
        <w:rPr>
          <w:b/>
        </w:rPr>
        <w:t>Investičná priorita 6.1 (9b) - pre MRR</w:t>
      </w:r>
    </w:p>
    <w:p w:rsidR="00866AAB" w:rsidRPr="009455BD" w:rsidRDefault="00866AAB" w:rsidP="00866AAB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 xml:space="preserve">6.1 Poskytovanie podpory fyzickej, ekonomickej a sociálnej regenerácie zanedbaných komunít v mestských a vidieckych oblastiach </w:t>
      </w:r>
    </w:p>
    <w:p w:rsidR="00866AAB" w:rsidRPr="009455BD" w:rsidRDefault="00866AAB" w:rsidP="00866AAB">
      <w:pPr>
        <w:ind w:left="57" w:right="57"/>
      </w:pPr>
      <w:r w:rsidRPr="009455BD">
        <w:rPr>
          <w:b/>
        </w:rPr>
        <w:t>Špecifický cieľ</w:t>
      </w:r>
    </w:p>
    <w:p w:rsidR="00866AAB" w:rsidRPr="009455BD" w:rsidRDefault="00866AAB" w:rsidP="00866AAB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6.1.1 Rast počtu rómskych domácností s prístupom k zlepšeným podmienkam bývania</w:t>
      </w:r>
    </w:p>
    <w:p w:rsidR="00866AAB" w:rsidRPr="009455BD" w:rsidRDefault="00866AAB" w:rsidP="00866AAB">
      <w:pPr>
        <w:ind w:left="57" w:right="57"/>
      </w:pPr>
      <w:r w:rsidRPr="009455BD">
        <w:rPr>
          <w:b/>
        </w:rPr>
        <w:lastRenderedPageBreak/>
        <w:t>Špecifický cieľ</w:t>
      </w:r>
    </w:p>
    <w:p w:rsidR="00866AAB" w:rsidRPr="009455BD" w:rsidRDefault="00866AAB" w:rsidP="00866AAB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 xml:space="preserve">6.1.2 Zlepšiť prístup ku kvalitnému vzdelávaniu vrátane vzdelávania a starostlivosti v ranom detstve </w:t>
      </w:r>
    </w:p>
    <w:p w:rsidR="00866AAB" w:rsidRPr="009455BD" w:rsidRDefault="00866AAB" w:rsidP="00866AAB">
      <w:pPr>
        <w:ind w:left="57" w:right="57"/>
      </w:pPr>
      <w:r w:rsidRPr="009455BD">
        <w:rPr>
          <w:b/>
        </w:rPr>
        <w:t>Špecifický cieľ</w:t>
      </w:r>
    </w:p>
    <w:p w:rsidR="00866AAB" w:rsidRPr="009455BD" w:rsidRDefault="00866AAB" w:rsidP="00866AAB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6.1.3 Zlepšiť prístup ľudí z MRK k sociálnej infraštruktúre</w:t>
      </w:r>
    </w:p>
    <w:p w:rsidR="00866AAB" w:rsidRPr="009455BD" w:rsidRDefault="00866AAB" w:rsidP="00866AAB">
      <w:pPr>
        <w:ind w:left="57" w:right="57"/>
        <w:rPr>
          <w:b/>
        </w:rPr>
      </w:pPr>
      <w:r w:rsidRPr="009455BD">
        <w:rPr>
          <w:b/>
        </w:rPr>
        <w:t>Investičná priorita 6.2 (9c) - pre MRR</w:t>
      </w:r>
    </w:p>
    <w:p w:rsidR="00866AAB" w:rsidRPr="009455BD" w:rsidRDefault="00866AAB" w:rsidP="00866AAB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6.2 Poskytovanie podpory sociálnych podnikov</w:t>
      </w:r>
    </w:p>
    <w:p w:rsidR="00866AAB" w:rsidRPr="009455BD" w:rsidRDefault="00866AAB" w:rsidP="00866AAB">
      <w:pPr>
        <w:ind w:left="57" w:right="57"/>
        <w:rPr>
          <w:b/>
        </w:rPr>
      </w:pPr>
      <w:r w:rsidRPr="009455BD">
        <w:rPr>
          <w:b/>
        </w:rPr>
        <w:t>Špecifický cieľ</w:t>
      </w:r>
    </w:p>
    <w:p w:rsidR="00866AAB" w:rsidRPr="009455BD" w:rsidRDefault="00866AAB" w:rsidP="00866AAB">
      <w:pPr>
        <w:ind w:left="57" w:right="57"/>
        <w:jc w:val="both"/>
        <w:rPr>
          <w:rFonts w:eastAsia="EUAlbertina-Regular-Identity-H"/>
          <w:lang w:eastAsia="cs-CZ"/>
        </w:rPr>
      </w:pPr>
      <w:r w:rsidRPr="009455BD">
        <w:rPr>
          <w:rFonts w:eastAsia="EUAlbertina-Regular-Identity-H"/>
          <w:lang w:eastAsia="cs-CZ"/>
        </w:rPr>
        <w:t>6.2.1 Zvýšiť mieru zamestnanosti MRK v subjektoch sociálnej ekonomiky v územiach s prítomnosťou MRK</w:t>
      </w:r>
    </w:p>
    <w:p w:rsidR="00866AAB" w:rsidRPr="009455BD" w:rsidRDefault="00866AAB" w:rsidP="00866AAB">
      <w:pPr>
        <w:pStyle w:val="Zkladntext21"/>
        <w:spacing w:line="240" w:lineRule="auto"/>
        <w:ind w:left="57" w:right="57"/>
        <w:rPr>
          <w:b/>
          <w:sz w:val="24"/>
          <w:szCs w:val="24"/>
          <w:highlight w:val="yellow"/>
        </w:rPr>
      </w:pPr>
    </w:p>
    <w:p w:rsidR="00866AAB" w:rsidRPr="009455BD" w:rsidRDefault="00866AAB" w:rsidP="00866AAB">
      <w:pPr>
        <w:ind w:left="57" w:right="57"/>
        <w:jc w:val="both"/>
        <w:rPr>
          <w:rFonts w:eastAsia="Calibri"/>
        </w:rPr>
      </w:pPr>
      <w:r w:rsidRPr="009455BD">
        <w:rPr>
          <w:rFonts w:eastAsia="Calibri"/>
        </w:rPr>
        <w:t>Na PO6 bolo z EFRR celkovo vyčlenených 286 661 721 € pre menej rozvinutý región.</w:t>
      </w:r>
    </w:p>
    <w:p w:rsidR="00866AAB" w:rsidRPr="009455BD" w:rsidRDefault="00866AAB" w:rsidP="00DD5671"/>
    <w:p w:rsidR="00866AAB" w:rsidRPr="009455BD" w:rsidRDefault="009713E3" w:rsidP="00866AAB">
      <w:pPr>
        <w:pStyle w:val="Nadpis3"/>
        <w:rPr>
          <w:lang w:val="sk-SK"/>
        </w:rPr>
      </w:pPr>
      <w:bookmarkStart w:id="16" w:name="_Toc448901823"/>
      <w:bookmarkStart w:id="17" w:name="_Toc448905994"/>
      <w:r>
        <w:rPr>
          <w:lang w:val="sk-SK"/>
        </w:rPr>
        <w:t>Š</w:t>
      </w:r>
      <w:r w:rsidR="009455BD">
        <w:rPr>
          <w:lang w:val="sk-SK"/>
        </w:rPr>
        <w:t>truktúr</w:t>
      </w:r>
      <w:r>
        <w:rPr>
          <w:lang w:val="sk-SK"/>
        </w:rPr>
        <w:t>a</w:t>
      </w:r>
      <w:r w:rsidR="009455BD">
        <w:t xml:space="preserve"> </w:t>
      </w:r>
      <w:r w:rsidR="00866AAB" w:rsidRPr="009455BD">
        <w:rPr>
          <w:lang w:val="sk-SK"/>
        </w:rPr>
        <w:t>prioritnej osi 7 – Technická pomoc</w:t>
      </w:r>
      <w:bookmarkEnd w:id="16"/>
      <w:bookmarkEnd w:id="17"/>
    </w:p>
    <w:p w:rsidR="00145AD4" w:rsidRDefault="00145AD4" w:rsidP="00866AAB">
      <w:pPr>
        <w:shd w:val="clear" w:color="auto" w:fill="FFFFFF"/>
        <w:ind w:left="57" w:right="57"/>
        <w:rPr>
          <w:b/>
        </w:rPr>
      </w:pPr>
    </w:p>
    <w:p w:rsidR="00866AAB" w:rsidRPr="009455BD" w:rsidRDefault="00866AAB" w:rsidP="00866AAB">
      <w:pPr>
        <w:shd w:val="clear" w:color="auto" w:fill="FFFFFF"/>
        <w:ind w:left="57" w:right="57"/>
      </w:pPr>
      <w:r w:rsidRPr="009455BD">
        <w:rPr>
          <w:b/>
        </w:rPr>
        <w:t>Špecifický cieľ</w:t>
      </w:r>
    </w:p>
    <w:p w:rsidR="00866AAB" w:rsidRPr="009455BD" w:rsidRDefault="00866AAB" w:rsidP="00866AAB">
      <w:pPr>
        <w:ind w:left="57" w:right="57"/>
      </w:pPr>
      <w:r w:rsidRPr="009455BD">
        <w:t>7.1 Podpora efektívnej implementácie operačného programu</w:t>
      </w:r>
    </w:p>
    <w:p w:rsidR="00866AAB" w:rsidRPr="009455BD" w:rsidRDefault="00866AAB" w:rsidP="00866AAB">
      <w:pPr>
        <w:ind w:left="57" w:right="57"/>
      </w:pPr>
      <w:r w:rsidRPr="009455BD">
        <w:rPr>
          <w:b/>
        </w:rPr>
        <w:t>Špecifický cieľ</w:t>
      </w:r>
    </w:p>
    <w:p w:rsidR="00866AAB" w:rsidRPr="009455BD" w:rsidRDefault="00866AAB" w:rsidP="00866AAB">
      <w:pPr>
        <w:ind w:left="57" w:right="57"/>
      </w:pPr>
      <w:r w:rsidRPr="009455BD">
        <w:t>7.2 Zabezpečenie publicity, informovania a podpory prijímateľov v procese implementácie</w:t>
      </w:r>
    </w:p>
    <w:p w:rsidR="00866AAB" w:rsidRPr="009455BD" w:rsidRDefault="00866AAB" w:rsidP="00DD5671"/>
    <w:p w:rsidR="00035699" w:rsidRPr="009455BD" w:rsidRDefault="00035699" w:rsidP="00035699">
      <w:pPr>
        <w:ind w:left="57" w:right="57"/>
        <w:jc w:val="both"/>
        <w:rPr>
          <w:rFonts w:eastAsia="Calibri"/>
        </w:rPr>
      </w:pPr>
      <w:r w:rsidRPr="009455BD">
        <w:rPr>
          <w:rFonts w:eastAsia="Calibri"/>
        </w:rPr>
        <w:t>Na PO7 bolo z ESF celkovo vyčlenených 94 703 753 €</w:t>
      </w:r>
      <w:r w:rsidR="00951D2C">
        <w:rPr>
          <w:rFonts w:eastAsia="Calibri"/>
        </w:rPr>
        <w:t>,</w:t>
      </w:r>
      <w:r w:rsidRPr="009455BD">
        <w:rPr>
          <w:rFonts w:eastAsia="Calibri"/>
        </w:rPr>
        <w:t xml:space="preserve"> pre menej rozvinutý región</w:t>
      </w:r>
      <w:r w:rsidR="00951D2C">
        <w:rPr>
          <w:rFonts w:eastAsia="Calibri"/>
        </w:rPr>
        <w:t xml:space="preserve"> 89 280 353 € a 5 423 400 € pre viac rozvinutý región</w:t>
      </w:r>
      <w:r w:rsidRPr="009455BD">
        <w:rPr>
          <w:rFonts w:eastAsia="Calibri"/>
        </w:rPr>
        <w:t>.</w:t>
      </w:r>
    </w:p>
    <w:p w:rsidR="00035699" w:rsidRPr="009455BD" w:rsidRDefault="00035699" w:rsidP="00035699"/>
    <w:p w:rsidR="00035699" w:rsidRPr="009455BD" w:rsidRDefault="00035699" w:rsidP="00035699"/>
    <w:p w:rsidR="00866AAB" w:rsidRPr="009455BD" w:rsidRDefault="00866AAB" w:rsidP="00DD5671"/>
    <w:sectPr w:rsidR="00866AAB" w:rsidRPr="009455BD" w:rsidSect="009713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993" w:left="1417" w:header="142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FFD" w:rsidRDefault="00736FFD" w:rsidP="00DD5671">
      <w:r>
        <w:separator/>
      </w:r>
    </w:p>
  </w:endnote>
  <w:endnote w:type="continuationSeparator" w:id="0">
    <w:p w:rsidR="00736FFD" w:rsidRDefault="00736FFD" w:rsidP="00DD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27" w:rsidRDefault="00552A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6592514"/>
      <w:docPartObj>
        <w:docPartGallery w:val="Page Numbers (Bottom of Page)"/>
        <w:docPartUnique/>
      </w:docPartObj>
    </w:sdtPr>
    <w:sdtEndPr/>
    <w:sdtContent>
      <w:p w:rsidR="009713E3" w:rsidRDefault="009713E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8B7">
          <w:rPr>
            <w:noProof/>
          </w:rPr>
          <w:t>1</w:t>
        </w:r>
        <w:r>
          <w:fldChar w:fldCharType="end"/>
        </w:r>
      </w:p>
    </w:sdtContent>
  </w:sdt>
  <w:p w:rsidR="009713E3" w:rsidRDefault="009713E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27" w:rsidRDefault="00552A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FFD" w:rsidRDefault="00736FFD" w:rsidP="00DD5671">
      <w:r>
        <w:separator/>
      </w:r>
    </w:p>
  </w:footnote>
  <w:footnote w:type="continuationSeparator" w:id="0">
    <w:p w:rsidR="00736FFD" w:rsidRDefault="00736FFD" w:rsidP="00DD5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27" w:rsidRDefault="00552A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27" w:rsidRDefault="00552A27" w:rsidP="00552A27">
    <w:pPr>
      <w:pStyle w:val="Hlavika"/>
      <w:ind w:left="70"/>
      <w:rPr>
        <w:sz w:val="20"/>
        <w:szCs w:val="20"/>
      </w:rPr>
    </w:pPr>
  </w:p>
  <w:p w:rsidR="00DD5671" w:rsidRPr="009713E3" w:rsidRDefault="00DD5671" w:rsidP="00552A27">
    <w:pPr>
      <w:pStyle w:val="Hlavika"/>
      <w:ind w:left="70"/>
      <w:rPr>
        <w:sz w:val="20"/>
        <w:szCs w:val="20"/>
      </w:rPr>
    </w:pPr>
    <w:r w:rsidRPr="009713E3">
      <w:rPr>
        <w:sz w:val="20"/>
        <w:szCs w:val="20"/>
      </w:rPr>
      <w:t xml:space="preserve">Príloha </w:t>
    </w:r>
    <w:r w:rsidR="00663299" w:rsidRPr="009713E3">
      <w:rPr>
        <w:sz w:val="20"/>
        <w:szCs w:val="20"/>
      </w:rPr>
      <w:t xml:space="preserve">1 </w:t>
    </w:r>
    <w:r w:rsidR="009455BD" w:rsidRPr="009713E3">
      <w:rPr>
        <w:sz w:val="20"/>
        <w:szCs w:val="20"/>
      </w:rPr>
      <w:t>Štruktúra OP ĽZ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27" w:rsidRDefault="00552A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925"/>
    <w:multiLevelType w:val="multilevel"/>
    <w:tmpl w:val="D68412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1"/>
      <w:lvlText w:val="%1.%2."/>
      <w:lvlJc w:val="left"/>
      <w:pPr>
        <w:ind w:left="792" w:hanging="432"/>
      </w:pPr>
    </w:lvl>
    <w:lvl w:ilvl="2">
      <w:start w:val="1"/>
      <w:numFmt w:val="decimal"/>
      <w:pStyle w:val="Nadpis2"/>
      <w:lvlText w:val="%1.%2.%3."/>
      <w:lvlJc w:val="left"/>
      <w:pPr>
        <w:ind w:left="1224" w:hanging="504"/>
      </w:pPr>
    </w:lvl>
    <w:lvl w:ilvl="3">
      <w:start w:val="1"/>
      <w:numFmt w:val="decimal"/>
      <w:pStyle w:val="Nadpis3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71"/>
    <w:rsid w:val="00024974"/>
    <w:rsid w:val="00035699"/>
    <w:rsid w:val="000361B3"/>
    <w:rsid w:val="00103DF2"/>
    <w:rsid w:val="00145AD4"/>
    <w:rsid w:val="00217AA3"/>
    <w:rsid w:val="004910FB"/>
    <w:rsid w:val="00552A27"/>
    <w:rsid w:val="005548D9"/>
    <w:rsid w:val="00616645"/>
    <w:rsid w:val="00663299"/>
    <w:rsid w:val="006A2303"/>
    <w:rsid w:val="00736FFD"/>
    <w:rsid w:val="00752664"/>
    <w:rsid w:val="00760C99"/>
    <w:rsid w:val="007817EF"/>
    <w:rsid w:val="007868B7"/>
    <w:rsid w:val="00855768"/>
    <w:rsid w:val="00866AAB"/>
    <w:rsid w:val="009022FF"/>
    <w:rsid w:val="009455BD"/>
    <w:rsid w:val="00951D2C"/>
    <w:rsid w:val="009713E3"/>
    <w:rsid w:val="009720B7"/>
    <w:rsid w:val="00C035D9"/>
    <w:rsid w:val="00DD5671"/>
    <w:rsid w:val="00EB31FA"/>
    <w:rsid w:val="00EB504E"/>
    <w:rsid w:val="00FA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5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D5671"/>
    <w:pPr>
      <w:numPr>
        <w:ilvl w:val="1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ind w:left="431" w:hanging="431"/>
      <w:jc w:val="both"/>
      <w:outlineLvl w:val="0"/>
    </w:pPr>
    <w:rPr>
      <w:b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DD5671"/>
    <w:pPr>
      <w:numPr>
        <w:ilvl w:val="2"/>
      </w:numPr>
      <w:tabs>
        <w:tab w:val="left" w:pos="57"/>
      </w:tabs>
      <w:ind w:left="0" w:firstLine="0"/>
      <w:jc w:val="left"/>
      <w:outlineLvl w:val="1"/>
    </w:pPr>
    <w:rPr>
      <w:lang w:val="en-US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DD5671"/>
    <w:pPr>
      <w:numPr>
        <w:ilvl w:val="3"/>
      </w:numPr>
      <w:ind w:left="851" w:hanging="851"/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D5671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DD5671"/>
    <w:rPr>
      <w:rFonts w:ascii="Times New Roman" w:eastAsia="Times New Roman" w:hAnsi="Times New Roman" w:cs="Times New Roman"/>
      <w:b/>
      <w:sz w:val="24"/>
      <w:szCs w:val="24"/>
      <w:lang w:val="en-US"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DD5671"/>
    <w:rPr>
      <w:rFonts w:ascii="Times New Roman" w:eastAsia="Times New Roman" w:hAnsi="Times New Roman" w:cs="Times New Roman"/>
      <w:b/>
      <w:sz w:val="24"/>
      <w:szCs w:val="24"/>
      <w:lang w:val="en-US" w:eastAsia="sk-SK"/>
    </w:rPr>
  </w:style>
  <w:style w:type="character" w:customStyle="1" w:styleId="FontStyle96">
    <w:name w:val="Font Style96"/>
    <w:uiPriority w:val="99"/>
    <w:rsid w:val="00DD5671"/>
    <w:rPr>
      <w:rFonts w:ascii="Times New Roman" w:hAnsi="Times New Roman"/>
      <w:i/>
      <w:sz w:val="22"/>
    </w:rPr>
  </w:style>
  <w:style w:type="paragraph" w:styleId="Odsekzoznamu">
    <w:name w:val="List Paragraph"/>
    <w:basedOn w:val="Normlny"/>
    <w:uiPriority w:val="34"/>
    <w:qFormat/>
    <w:rsid w:val="00DD567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D56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D567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D56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D567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DD5671"/>
    <w:pPr>
      <w:numPr>
        <w:numId w:val="2"/>
      </w:numPr>
      <w:spacing w:before="200" w:after="200"/>
      <w:ind w:left="714" w:hanging="357"/>
      <w:contextualSpacing/>
      <w:jc w:val="both"/>
    </w:pPr>
  </w:style>
  <w:style w:type="paragraph" w:styleId="Popis">
    <w:name w:val="caption"/>
    <w:basedOn w:val="Normlny"/>
    <w:next w:val="Normlny"/>
    <w:uiPriority w:val="35"/>
    <w:unhideWhenUsed/>
    <w:qFormat/>
    <w:rsid w:val="00DD567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Zkladntext2">
    <w:name w:val="Základný text (2)_"/>
    <w:basedOn w:val="Predvolenpsmoodseku"/>
    <w:link w:val="Zkladntext21"/>
    <w:uiPriority w:val="99"/>
    <w:locked/>
    <w:rsid w:val="00DD5671"/>
    <w:rPr>
      <w:rFonts w:ascii="Times New Roman" w:hAnsi="Times New Roman" w:cs="Times New Roman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uiPriority w:val="99"/>
    <w:rsid w:val="00DD5671"/>
    <w:pPr>
      <w:shd w:val="clear" w:color="auto" w:fill="FFFFFF"/>
      <w:spacing w:line="278" w:lineRule="exact"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5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D5671"/>
    <w:pPr>
      <w:numPr>
        <w:ilvl w:val="1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ind w:left="431" w:hanging="431"/>
      <w:jc w:val="both"/>
      <w:outlineLvl w:val="0"/>
    </w:pPr>
    <w:rPr>
      <w:b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DD5671"/>
    <w:pPr>
      <w:numPr>
        <w:ilvl w:val="2"/>
      </w:numPr>
      <w:tabs>
        <w:tab w:val="left" w:pos="57"/>
      </w:tabs>
      <w:ind w:left="0" w:firstLine="0"/>
      <w:jc w:val="left"/>
      <w:outlineLvl w:val="1"/>
    </w:pPr>
    <w:rPr>
      <w:lang w:val="en-US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DD5671"/>
    <w:pPr>
      <w:numPr>
        <w:ilvl w:val="3"/>
      </w:numPr>
      <w:ind w:left="851" w:hanging="851"/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D5671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DD5671"/>
    <w:rPr>
      <w:rFonts w:ascii="Times New Roman" w:eastAsia="Times New Roman" w:hAnsi="Times New Roman" w:cs="Times New Roman"/>
      <w:b/>
      <w:sz w:val="24"/>
      <w:szCs w:val="24"/>
      <w:lang w:val="en-US"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DD5671"/>
    <w:rPr>
      <w:rFonts w:ascii="Times New Roman" w:eastAsia="Times New Roman" w:hAnsi="Times New Roman" w:cs="Times New Roman"/>
      <w:b/>
      <w:sz w:val="24"/>
      <w:szCs w:val="24"/>
      <w:lang w:val="en-US" w:eastAsia="sk-SK"/>
    </w:rPr>
  </w:style>
  <w:style w:type="character" w:customStyle="1" w:styleId="FontStyle96">
    <w:name w:val="Font Style96"/>
    <w:uiPriority w:val="99"/>
    <w:rsid w:val="00DD5671"/>
    <w:rPr>
      <w:rFonts w:ascii="Times New Roman" w:hAnsi="Times New Roman"/>
      <w:i/>
      <w:sz w:val="22"/>
    </w:rPr>
  </w:style>
  <w:style w:type="paragraph" w:styleId="Odsekzoznamu">
    <w:name w:val="List Paragraph"/>
    <w:basedOn w:val="Normlny"/>
    <w:uiPriority w:val="34"/>
    <w:qFormat/>
    <w:rsid w:val="00DD567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D56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D567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D56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D567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DD5671"/>
    <w:pPr>
      <w:numPr>
        <w:numId w:val="2"/>
      </w:numPr>
      <w:spacing w:before="200" w:after="200"/>
      <w:ind w:left="714" w:hanging="357"/>
      <w:contextualSpacing/>
      <w:jc w:val="both"/>
    </w:pPr>
  </w:style>
  <w:style w:type="paragraph" w:styleId="Popis">
    <w:name w:val="caption"/>
    <w:basedOn w:val="Normlny"/>
    <w:next w:val="Normlny"/>
    <w:uiPriority w:val="35"/>
    <w:unhideWhenUsed/>
    <w:qFormat/>
    <w:rsid w:val="00DD5671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Zkladntext2">
    <w:name w:val="Základný text (2)_"/>
    <w:basedOn w:val="Predvolenpsmoodseku"/>
    <w:link w:val="Zkladntext21"/>
    <w:uiPriority w:val="99"/>
    <w:locked/>
    <w:rsid w:val="00DD5671"/>
    <w:rPr>
      <w:rFonts w:ascii="Times New Roman" w:hAnsi="Times New Roman" w:cs="Times New Roman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uiPriority w:val="99"/>
    <w:rsid w:val="00DD5671"/>
    <w:pPr>
      <w:shd w:val="clear" w:color="auto" w:fill="FFFFFF"/>
      <w:spacing w:line="278" w:lineRule="exact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Bezdickova Marcela</dc:creator>
  <cp:lastModifiedBy>MPSVR SR</cp:lastModifiedBy>
  <cp:revision>2</cp:revision>
  <dcterms:created xsi:type="dcterms:W3CDTF">2017-05-23T11:35:00Z</dcterms:created>
  <dcterms:modified xsi:type="dcterms:W3CDTF">2017-05-23T11:35:00Z</dcterms:modified>
</cp:coreProperties>
</file>