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B6E" w:rsidRPr="00B106D1" w:rsidRDefault="009C12DC" w:rsidP="00AB178D">
      <w:pPr>
        <w:pStyle w:val="Nadpis1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Theme="minorHAnsi"/>
        </w:rPr>
      </w:pPr>
      <w:bookmarkStart w:id="0" w:name="_Toc443560563"/>
      <w:r w:rsidRPr="00B106D1">
        <w:rPr>
          <w:rFonts w:eastAsiaTheme="minorHAnsi"/>
        </w:rPr>
        <w:t>Zhrnutie pre občanov</w:t>
      </w:r>
      <w:bookmarkEnd w:id="0"/>
      <w:r w:rsidRPr="00B106D1">
        <w:rPr>
          <w:rFonts w:eastAsiaTheme="minorHAnsi"/>
        </w:rPr>
        <w:t xml:space="preserve"> </w:t>
      </w:r>
    </w:p>
    <w:p w:rsidR="00B171AC" w:rsidRPr="00B106D1" w:rsidRDefault="00E2703B" w:rsidP="00AB178D">
      <w:pPr>
        <w:pStyle w:val="Nadpis1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Theme="minorHAnsi"/>
        </w:rPr>
      </w:pPr>
      <w:r w:rsidRPr="001E7D83">
        <w:rPr>
          <w:rFonts w:ascii="ITCBookmanEE-Bold" w:eastAsiaTheme="minorHAnsi" w:hAnsi="ITCBookmanEE-Bold" w:cs="ITCBookmanEE-Bold"/>
          <w:bCs/>
          <w:lang w:eastAsia="en-US"/>
        </w:rPr>
        <w:tab/>
      </w:r>
    </w:p>
    <w:p w:rsidR="001A0788" w:rsidRPr="001E7D83" w:rsidRDefault="008F7750" w:rsidP="00AB178D">
      <w:pPr>
        <w:jc w:val="both"/>
        <w:rPr>
          <w:rFonts w:eastAsiaTheme="minorHAnsi"/>
        </w:rPr>
      </w:pPr>
      <w:r w:rsidRPr="001E7D83">
        <w:t>V r</w:t>
      </w:r>
      <w:r w:rsidR="0039199C" w:rsidRPr="001E7D83">
        <w:t>ok</w:t>
      </w:r>
      <w:r w:rsidRPr="001E7D83">
        <w:t>u</w:t>
      </w:r>
      <w:r w:rsidR="0039199C" w:rsidRPr="001E7D83">
        <w:t xml:space="preserve"> 2016 </w:t>
      </w:r>
      <w:r w:rsidR="00432C07" w:rsidRPr="001E7D83">
        <w:t>zaznamenal</w:t>
      </w:r>
      <w:r w:rsidR="0039199C" w:rsidRPr="001E7D83">
        <w:t xml:space="preserve"> operačn</w:t>
      </w:r>
      <w:r w:rsidR="00432C07" w:rsidRPr="001E7D83">
        <w:t>ý</w:t>
      </w:r>
      <w:r w:rsidR="0039199C" w:rsidRPr="001E7D83">
        <w:t xml:space="preserve"> program Ľudské zdroje</w:t>
      </w:r>
      <w:r w:rsidR="00432C07" w:rsidRPr="001E7D83">
        <w:t xml:space="preserve"> (ďalej len „OP ĽZ“)</w:t>
      </w:r>
      <w:r w:rsidR="0039199C" w:rsidRPr="001E7D83">
        <w:t xml:space="preserve"> </w:t>
      </w:r>
      <w:r w:rsidRPr="001E7D83">
        <w:t>výrazne</w:t>
      </w:r>
      <w:r w:rsidR="00432C07" w:rsidRPr="001E7D83">
        <w:t xml:space="preserve">jší pokrok v porovnaní s predchádzajúcim monitorovacím obdobím. </w:t>
      </w:r>
      <w:r w:rsidR="00432C07" w:rsidRPr="00B106D1">
        <w:rPr>
          <w:rFonts w:eastAsiaTheme="minorHAnsi"/>
        </w:rPr>
        <w:t xml:space="preserve">Kontrahovanie OP ĽZ k 31.12.2016 bolo vo </w:t>
      </w:r>
      <w:r w:rsidR="00432C07" w:rsidRPr="001E7D83">
        <w:t>výške</w:t>
      </w:r>
      <w:r w:rsidR="00B106D1">
        <w:t xml:space="preserve"> NFP </w:t>
      </w:r>
      <w:r w:rsidR="001A0788" w:rsidRPr="001E7D83">
        <w:t>835 466 876</w:t>
      </w:r>
      <w:r w:rsidR="00432C07" w:rsidRPr="001E7D83">
        <w:t xml:space="preserve"> €, čo </w:t>
      </w:r>
      <w:r w:rsidR="00361FA5" w:rsidRPr="001E7D83">
        <w:t>predstavuje</w:t>
      </w:r>
      <w:r w:rsidR="00361FA5" w:rsidRPr="00B106D1">
        <w:rPr>
          <w:rFonts w:eastAsiaTheme="minorHAnsi"/>
        </w:rPr>
        <w:t xml:space="preserve"> </w:t>
      </w:r>
      <w:r w:rsidR="00432C07" w:rsidRPr="00B106D1">
        <w:rPr>
          <w:rFonts w:eastAsiaTheme="minorHAnsi"/>
        </w:rPr>
        <w:t>31,7</w:t>
      </w:r>
      <w:r w:rsidR="001A0788" w:rsidRPr="00B106D1">
        <w:rPr>
          <w:rFonts w:eastAsiaTheme="minorHAnsi"/>
        </w:rPr>
        <w:t>8</w:t>
      </w:r>
      <w:r w:rsidR="00432C07" w:rsidRPr="00B106D1">
        <w:rPr>
          <w:rFonts w:eastAsiaTheme="minorHAnsi"/>
        </w:rPr>
        <w:t xml:space="preserve"> % z celkovej alokácie</w:t>
      </w:r>
      <w:r w:rsidR="001A0788" w:rsidRPr="00B106D1">
        <w:rPr>
          <w:rFonts w:eastAsiaTheme="minorHAnsi"/>
        </w:rPr>
        <w:t xml:space="preserve"> (viď tab. č. 1)</w:t>
      </w:r>
      <w:r w:rsidR="00432C07" w:rsidRPr="00B106D1">
        <w:rPr>
          <w:rFonts w:eastAsiaTheme="minorHAnsi"/>
        </w:rPr>
        <w:t xml:space="preserve">. Oproti r. 2015 ide o nárast o takmer 17 %,  čo </w:t>
      </w:r>
      <w:r w:rsidR="00361FA5" w:rsidRPr="00B106D1">
        <w:rPr>
          <w:rFonts w:eastAsiaTheme="minorHAnsi"/>
        </w:rPr>
        <w:t xml:space="preserve">je </w:t>
      </w:r>
      <w:r w:rsidR="00432C07" w:rsidRPr="00B106D1">
        <w:rPr>
          <w:rFonts w:eastAsiaTheme="minorHAnsi"/>
        </w:rPr>
        <w:t xml:space="preserve">viac ako </w:t>
      </w:r>
      <w:r w:rsidR="001A0788" w:rsidRPr="00B106D1">
        <w:rPr>
          <w:rFonts w:eastAsiaTheme="minorHAnsi"/>
        </w:rPr>
        <w:t>437,5</w:t>
      </w:r>
      <w:r w:rsidR="00432C07" w:rsidRPr="00B106D1">
        <w:rPr>
          <w:rFonts w:eastAsiaTheme="minorHAnsi"/>
        </w:rPr>
        <w:t xml:space="preserve"> mil. €.</w:t>
      </w:r>
      <w:r w:rsidR="005C32B9" w:rsidRPr="001E7D83">
        <w:rPr>
          <w:rFonts w:eastAsiaTheme="minorHAnsi"/>
        </w:rPr>
        <w:t xml:space="preserve"> </w:t>
      </w:r>
    </w:p>
    <w:p w:rsidR="001A0788" w:rsidRPr="001E7D83" w:rsidRDefault="001A0788" w:rsidP="00AB178D">
      <w:pPr>
        <w:jc w:val="both"/>
        <w:rPr>
          <w:rFonts w:eastAsiaTheme="minorHAnsi"/>
        </w:rPr>
      </w:pPr>
    </w:p>
    <w:p w:rsidR="001A0788" w:rsidRPr="001E7D83" w:rsidRDefault="001A0788" w:rsidP="001E7D83">
      <w:pPr>
        <w:pStyle w:val="Popis"/>
        <w:keepNext/>
        <w:spacing w:after="0"/>
        <w:rPr>
          <w:b w:val="0"/>
          <w:bCs w:val="0"/>
          <w:color w:val="auto"/>
          <w:sz w:val="24"/>
          <w:szCs w:val="24"/>
        </w:rPr>
      </w:pPr>
      <w:r w:rsidRPr="001E7D83">
        <w:rPr>
          <w:color w:val="auto"/>
          <w:sz w:val="24"/>
          <w:szCs w:val="24"/>
        </w:rPr>
        <w:t xml:space="preserve">Tab. č. </w:t>
      </w:r>
      <w:r w:rsidRPr="001E7D83">
        <w:rPr>
          <w:color w:val="auto"/>
          <w:sz w:val="24"/>
          <w:szCs w:val="24"/>
        </w:rPr>
        <w:fldChar w:fldCharType="begin"/>
      </w:r>
      <w:r w:rsidRPr="001E7D83">
        <w:rPr>
          <w:color w:val="auto"/>
          <w:sz w:val="24"/>
          <w:szCs w:val="24"/>
        </w:rPr>
        <w:instrText xml:space="preserve"> SEQ Tabulka \* ARABIC </w:instrText>
      </w:r>
      <w:r w:rsidRPr="001E7D83">
        <w:rPr>
          <w:color w:val="auto"/>
          <w:sz w:val="24"/>
          <w:szCs w:val="24"/>
        </w:rPr>
        <w:fldChar w:fldCharType="separate"/>
      </w:r>
      <w:r w:rsidR="008B5D82">
        <w:rPr>
          <w:noProof/>
          <w:color w:val="auto"/>
          <w:sz w:val="24"/>
          <w:szCs w:val="24"/>
        </w:rPr>
        <w:t>1</w:t>
      </w:r>
      <w:r w:rsidRPr="001E7D83">
        <w:rPr>
          <w:color w:val="auto"/>
          <w:sz w:val="24"/>
          <w:szCs w:val="24"/>
        </w:rPr>
        <w:fldChar w:fldCharType="end"/>
      </w:r>
      <w:r w:rsidR="00361FA5" w:rsidRPr="001E7D83">
        <w:rPr>
          <w:color w:val="auto"/>
          <w:sz w:val="24"/>
          <w:szCs w:val="24"/>
        </w:rPr>
        <w:t>:</w:t>
      </w:r>
      <w:r w:rsidRPr="001E7D83">
        <w:rPr>
          <w:color w:val="auto"/>
          <w:sz w:val="24"/>
          <w:szCs w:val="24"/>
        </w:rPr>
        <w:t xml:space="preserve"> </w:t>
      </w:r>
      <w:r w:rsidRPr="001E7D83">
        <w:rPr>
          <w:b w:val="0"/>
          <w:bCs w:val="0"/>
          <w:color w:val="auto"/>
          <w:sz w:val="24"/>
          <w:szCs w:val="24"/>
        </w:rPr>
        <w:t xml:space="preserve">Pokrok v kontrahovaní finančných prostriedkov programu (podpora EÚ + </w:t>
      </w:r>
      <w:r w:rsidR="0085396C">
        <w:rPr>
          <w:b w:val="0"/>
          <w:bCs w:val="0"/>
          <w:color w:val="auto"/>
          <w:sz w:val="24"/>
          <w:szCs w:val="24"/>
        </w:rPr>
        <w:t>ŠR</w:t>
      </w:r>
      <w:r w:rsidRPr="001E7D83">
        <w:rPr>
          <w:b w:val="0"/>
          <w:bCs w:val="0"/>
          <w:color w:val="auto"/>
          <w:sz w:val="24"/>
          <w:szCs w:val="24"/>
        </w:rPr>
        <w:t xml:space="preserve">) </w:t>
      </w:r>
    </w:p>
    <w:tbl>
      <w:tblPr>
        <w:tblW w:w="90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258"/>
        <w:gridCol w:w="1394"/>
        <w:gridCol w:w="1308"/>
        <w:gridCol w:w="992"/>
        <w:gridCol w:w="1134"/>
        <w:gridCol w:w="1701"/>
      </w:tblGrid>
      <w:tr w:rsidR="001A0788" w:rsidRPr="001E7D83" w:rsidTr="00361FA5">
        <w:trPr>
          <w:trHeight w:val="1440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1E7D83">
            <w:pPr>
              <w:jc w:val="center"/>
              <w:rPr>
                <w:sz w:val="18"/>
                <w:szCs w:val="18"/>
              </w:rPr>
            </w:pPr>
            <w:r w:rsidRPr="00B106D1">
              <w:rPr>
                <w:sz w:val="18"/>
                <w:szCs w:val="18"/>
              </w:rPr>
              <w:t>Operačný program Ľudské zdroje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1E7D83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Celková alokácia 2014 - 2020 €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1E7D83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Kontrahovanie k 31.12. roku 2016 €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1E7D83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Podiel kontrahovania na záväzku 2014 - 2020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Ročný nárast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1E7D83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Nezakontrahovaný zostatok alokácie €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proofErr w:type="spellStart"/>
            <w:r w:rsidRPr="001E7D83">
              <w:rPr>
                <w:sz w:val="18"/>
                <w:szCs w:val="18"/>
              </w:rPr>
              <w:t>p.b</w:t>
            </w:r>
            <w:proofErr w:type="spellEnd"/>
            <w:r w:rsidRPr="001E7D83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3 = 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6 = 1-2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Prioritná os 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549 085 418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33 626 258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6,12%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33 626 258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6,12%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515 459 160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Prioritná os 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215 910 858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 xml:space="preserve">150 000 </w:t>
            </w:r>
            <w:proofErr w:type="spellStart"/>
            <w:r w:rsidRPr="001E7D83">
              <w:rPr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69,47%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 xml:space="preserve">50 000 </w:t>
            </w:r>
            <w:proofErr w:type="spellStart"/>
            <w:r w:rsidRPr="001E7D83">
              <w:rPr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23,16%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65 910 858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Prioritná os 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949 970 279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439 450 363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46,26%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259 450 363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27,31%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510 519 916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Prioritná os 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368 671 978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147 085 803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39,90%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29 155 045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7,91%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221 586 175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Prioritná os 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163 529 413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0,00%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163 529 413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Prioritná os 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286 661 721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13 571 195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4,73%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13 571 195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4,73%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273 090 526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Prioritná os 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94 703 753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51 733 257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54,63%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51 733 257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54,63%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42 970 496</w:t>
            </w:r>
          </w:p>
        </w:tc>
      </w:tr>
      <w:tr w:rsidR="001A0788" w:rsidRPr="001E7D83" w:rsidTr="00361FA5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 w:rsidP="00AB178D">
            <w:pPr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 xml:space="preserve">Spolu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2 628 533 420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835 466 876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31,78%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437 536 118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16,65%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0788" w:rsidRPr="001E7D83" w:rsidRDefault="001A0788">
            <w:pPr>
              <w:jc w:val="center"/>
              <w:rPr>
                <w:sz w:val="18"/>
                <w:szCs w:val="18"/>
              </w:rPr>
            </w:pPr>
            <w:r w:rsidRPr="001E7D83">
              <w:rPr>
                <w:sz w:val="18"/>
                <w:szCs w:val="18"/>
              </w:rPr>
              <w:t>1 793 066 544</w:t>
            </w:r>
          </w:p>
        </w:tc>
      </w:tr>
    </w:tbl>
    <w:p w:rsidR="001A0788" w:rsidRPr="001E7D83" w:rsidRDefault="001A0788" w:rsidP="00AB178D">
      <w:pPr>
        <w:jc w:val="both"/>
        <w:rPr>
          <w:rFonts w:eastAsiaTheme="minorHAnsi"/>
        </w:rPr>
      </w:pPr>
    </w:p>
    <w:p w:rsidR="00432C07" w:rsidRPr="001E7D83" w:rsidRDefault="008B5D82" w:rsidP="00AB178D">
      <w:pPr>
        <w:jc w:val="both"/>
        <w:rPr>
          <w:rFonts w:eastAsiaTheme="minorHAnsi"/>
        </w:rPr>
      </w:pPr>
      <w:r w:rsidRPr="00D2545A">
        <w:rPr>
          <w:rFonts w:eastAsiaTheme="minorHAnsi"/>
        </w:rPr>
        <w:t>Stav čerpania OP ĽZ k 31.12.2016 po zohľadnení nezrovnalostí a </w:t>
      </w:r>
      <w:proofErr w:type="spellStart"/>
      <w:r w:rsidRPr="00D2545A">
        <w:rPr>
          <w:rFonts w:eastAsiaTheme="minorHAnsi"/>
        </w:rPr>
        <w:t>vratiek</w:t>
      </w:r>
      <w:proofErr w:type="spellEnd"/>
      <w:r w:rsidRPr="00D2545A">
        <w:rPr>
          <w:rFonts w:eastAsiaTheme="minorHAnsi"/>
        </w:rPr>
        <w:t xml:space="preserve"> bol za zdroj EÚ 124 811 442,00  €, čo je 5,66 % z alokácie programu. Vzhľadom na to, že ku koncu roka 2015 bolo čerpanie programu nulové, išlo o nárast o 5,66 % (viď tab. č. 2).“</w:t>
      </w:r>
      <w:r w:rsidR="005C32B9" w:rsidRPr="00762CAE">
        <w:rPr>
          <w:rFonts w:eastAsiaTheme="minorHAnsi"/>
        </w:rPr>
        <w:t>. Berúc do úvahy pokročilý stav programového obdobia 2014-2020, čerpanie nie je veľmi optimistické, ale</w:t>
      </w:r>
      <w:r w:rsidR="005C32B9" w:rsidRPr="001E7D83">
        <w:rPr>
          <w:rFonts w:eastAsiaTheme="minorHAnsi"/>
        </w:rPr>
        <w:t xml:space="preserve"> kvôli neskoršiemu začiatku implementácie projektov sa počíta s nárastom a </w:t>
      </w:r>
      <w:r w:rsidR="00AB178D" w:rsidRPr="001E7D83">
        <w:rPr>
          <w:rFonts w:eastAsiaTheme="minorHAnsi"/>
        </w:rPr>
        <w:t>s</w:t>
      </w:r>
      <w:r w:rsidR="005C32B9" w:rsidRPr="001E7D83">
        <w:rPr>
          <w:rFonts w:eastAsiaTheme="minorHAnsi"/>
        </w:rPr>
        <w:t xml:space="preserve"> akceleráciou čerpania v roku 2017 vo všetkých prioritných osiach.</w:t>
      </w:r>
    </w:p>
    <w:p w:rsidR="00AB178D" w:rsidRPr="00B106D1" w:rsidRDefault="00AB178D" w:rsidP="001E7D83">
      <w:pPr>
        <w:pStyle w:val="Popis"/>
        <w:keepNext/>
        <w:spacing w:after="0"/>
        <w:rPr>
          <w:color w:val="auto"/>
          <w:sz w:val="24"/>
          <w:szCs w:val="24"/>
        </w:rPr>
      </w:pPr>
    </w:p>
    <w:p w:rsidR="0085396C" w:rsidRPr="001E7D83" w:rsidRDefault="0085396C" w:rsidP="0085396C">
      <w:pPr>
        <w:pStyle w:val="Popis"/>
        <w:keepNext/>
        <w:spacing w:after="0"/>
        <w:jc w:val="both"/>
        <w:rPr>
          <w:b w:val="0"/>
          <w:bCs w:val="0"/>
          <w:color w:val="auto"/>
          <w:sz w:val="24"/>
          <w:szCs w:val="24"/>
        </w:rPr>
      </w:pPr>
      <w:r w:rsidRPr="001E7D83">
        <w:rPr>
          <w:color w:val="auto"/>
          <w:sz w:val="24"/>
          <w:szCs w:val="24"/>
        </w:rPr>
        <w:t xml:space="preserve">Tab. č. 2: </w:t>
      </w:r>
      <w:r w:rsidRPr="001E7D83">
        <w:rPr>
          <w:b w:val="0"/>
          <w:bCs w:val="0"/>
          <w:color w:val="auto"/>
          <w:sz w:val="24"/>
          <w:szCs w:val="24"/>
        </w:rPr>
        <w:t xml:space="preserve">Pokrok v čerpaní finančných prostriedkov programu (podpora EÚ) </w:t>
      </w:r>
    </w:p>
    <w:tbl>
      <w:tblPr>
        <w:tblpPr w:leftFromText="141" w:rightFromText="141" w:vertAnchor="text" w:tblpY="1"/>
        <w:tblOverlap w:val="never"/>
        <w:tblW w:w="90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258"/>
        <w:gridCol w:w="1394"/>
        <w:gridCol w:w="1308"/>
        <w:gridCol w:w="992"/>
        <w:gridCol w:w="1134"/>
        <w:gridCol w:w="1701"/>
      </w:tblGrid>
      <w:tr w:rsidR="0085396C" w:rsidRPr="001E7D83" w:rsidTr="002E3D6D">
        <w:trPr>
          <w:trHeight w:val="14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Operačný program Ľudské zdroje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Celková alokácia 2014 - 2020 €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Čerpanie k 31.12. roku 2016 €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Podiel čerpania na záväzku 2014 - 2020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 xml:space="preserve">Ročný nárast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Nevyčerpaný zostatok alokácie €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E7D83">
              <w:rPr>
                <w:color w:val="000000"/>
                <w:sz w:val="18"/>
                <w:szCs w:val="18"/>
              </w:rPr>
              <w:t>p.b</w:t>
            </w:r>
            <w:proofErr w:type="spellEnd"/>
            <w:r w:rsidRPr="001E7D8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3 = 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jc w:val="center"/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6 = 1-2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Prioritná os 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458 746 509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0,00%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458 746 509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Prioritná os 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194 350 518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6 003 759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3,09%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6 003 759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3,09%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188 346 759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Prioritná os 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795 924 737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99 035 665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12,44%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99 035 665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12,44%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696 889 072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Prioritná os 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294 699 291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13 722 681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4,66%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13 722 681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4,66%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280 976 610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Prioritná os 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 xml:space="preserve">139 000 </w:t>
            </w:r>
            <w:proofErr w:type="spellStart"/>
            <w:r w:rsidRPr="00685885">
              <w:rPr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0,00%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 xml:space="preserve">139 000 </w:t>
            </w:r>
            <w:proofErr w:type="spellStart"/>
            <w:r w:rsidRPr="00685885">
              <w:rPr>
                <w:sz w:val="18"/>
                <w:szCs w:val="18"/>
              </w:rPr>
              <w:t>000</w:t>
            </w:r>
            <w:proofErr w:type="spellEnd"/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Prioritná os 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243 662 462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2 883 879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1,18%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2 883 879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1,18%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240 778 583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>Prioritná os 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78 600 000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3 165 457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4,03%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3 165 457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4,03%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75 434 543</w:t>
            </w:r>
          </w:p>
        </w:tc>
      </w:tr>
      <w:tr w:rsidR="0085396C" w:rsidRPr="001E7D83" w:rsidTr="002E3D6D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1E7D83" w:rsidRDefault="0085396C" w:rsidP="002E3D6D">
            <w:pPr>
              <w:rPr>
                <w:color w:val="000000"/>
                <w:sz w:val="18"/>
                <w:szCs w:val="18"/>
              </w:rPr>
            </w:pPr>
            <w:r w:rsidRPr="001E7D83">
              <w:rPr>
                <w:color w:val="000000"/>
                <w:sz w:val="18"/>
                <w:szCs w:val="18"/>
              </w:rPr>
              <w:t xml:space="preserve">Spolu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2 204 983 517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124 811 442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5,66%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124 811 442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5,66%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396C" w:rsidRPr="00685885" w:rsidRDefault="0085396C" w:rsidP="002E3D6D">
            <w:pPr>
              <w:jc w:val="center"/>
              <w:rPr>
                <w:sz w:val="18"/>
                <w:szCs w:val="18"/>
              </w:rPr>
            </w:pPr>
            <w:r w:rsidRPr="00685885">
              <w:rPr>
                <w:sz w:val="18"/>
                <w:szCs w:val="18"/>
              </w:rPr>
              <w:t>2 080 172 075</w:t>
            </w:r>
          </w:p>
        </w:tc>
      </w:tr>
    </w:tbl>
    <w:p w:rsidR="008B5D82" w:rsidRDefault="008B5D82" w:rsidP="00AB178D">
      <w:pPr>
        <w:pStyle w:val="Normlnywebov"/>
        <w:spacing w:before="0" w:beforeAutospacing="0" w:after="0" w:afterAutospacing="0"/>
        <w:jc w:val="both"/>
      </w:pPr>
    </w:p>
    <w:p w:rsidR="004E693A" w:rsidRPr="00DE2A0B" w:rsidRDefault="004E693A" w:rsidP="00AB178D">
      <w:pPr>
        <w:pStyle w:val="Normlnywebov"/>
        <w:spacing w:before="0" w:beforeAutospacing="0" w:after="0" w:afterAutospacing="0"/>
        <w:jc w:val="both"/>
        <w:rPr>
          <w:rFonts w:eastAsiaTheme="minorHAnsi"/>
          <w:iCs/>
        </w:rPr>
      </w:pPr>
      <w:r w:rsidRPr="001E7D83">
        <w:rPr>
          <w:rFonts w:eastAsiaTheme="minorHAnsi"/>
          <w:iCs/>
        </w:rPr>
        <w:t xml:space="preserve">Výrazným míľnikom v roku 2016 bol na riadiacom orgáne, sprostredkovateľských orgánoch a príslušných platobných jednotkách </w:t>
      </w:r>
      <w:r w:rsidR="005C34BF" w:rsidRPr="001E7D83">
        <w:rPr>
          <w:rFonts w:eastAsiaTheme="minorHAnsi"/>
          <w:iCs/>
        </w:rPr>
        <w:t xml:space="preserve">OP ĽZ </w:t>
      </w:r>
      <w:r w:rsidRPr="001E7D83">
        <w:rPr>
          <w:rFonts w:eastAsiaTheme="minorHAnsi"/>
          <w:iCs/>
        </w:rPr>
        <w:t>ukončený tzv. audit pripravenosti</w:t>
      </w:r>
      <w:r w:rsidR="00AB178D" w:rsidRPr="001E7D83">
        <w:rPr>
          <w:rFonts w:eastAsiaTheme="minorHAnsi"/>
          <w:iCs/>
        </w:rPr>
        <w:t>,</w:t>
      </w:r>
      <w:r w:rsidRPr="00DE2A0B">
        <w:rPr>
          <w:rFonts w:eastAsiaTheme="minorHAnsi"/>
          <w:iCs/>
        </w:rPr>
        <w:t xml:space="preserve"> vykonaný za účelom overenia kritérií určenia orgánov pre OP ĽZ. Na základe stanoviska bez výhrad bola dňa 14.06.2016 zo strany Úradu podpredsedu vlády SR pre investície a informatizáciu vykonaná dezignácia OP ĽZ.</w:t>
      </w:r>
    </w:p>
    <w:p w:rsidR="00DE2A0B" w:rsidRPr="00D25322" w:rsidRDefault="00DE2A0B" w:rsidP="00DE2A0B">
      <w:pPr>
        <w:pStyle w:val="Normlnywebov"/>
        <w:spacing w:before="0" w:beforeAutospacing="0" w:after="0" w:afterAutospacing="0"/>
        <w:jc w:val="both"/>
        <w:rPr>
          <w:rFonts w:eastAsia="Times New Roman"/>
        </w:rPr>
      </w:pPr>
      <w:r w:rsidRPr="00D25322">
        <w:rPr>
          <w:rFonts w:eastAsia="Times New Roman"/>
        </w:rPr>
        <w:t xml:space="preserve">Pre hladký priebeh implementácie je tiež nevyhnutná plná funkčnosť elektronického informačného systému ITMS2014+, za prípravu ktorého zodpovedá Centrálny koordinačný orgán. V roku 2016 boli postupne nasadzované nové funkcionality, no funkčnosť </w:t>
      </w:r>
      <w:r w:rsidR="00D25322" w:rsidRPr="00D25322">
        <w:rPr>
          <w:rFonts w:eastAsia="Times New Roman"/>
        </w:rPr>
        <w:lastRenderedPageBreak/>
        <w:t>k 31.12.2016 nebola</w:t>
      </w:r>
      <w:r w:rsidRPr="00D25322">
        <w:rPr>
          <w:rFonts w:eastAsia="Times New Roman"/>
        </w:rPr>
        <w:t xml:space="preserve"> postačujúca, čo je </w:t>
      </w:r>
      <w:r w:rsidR="00495016">
        <w:rPr>
          <w:rFonts w:eastAsia="Times New Roman"/>
        </w:rPr>
        <w:t xml:space="preserve">v správe </w:t>
      </w:r>
      <w:r w:rsidRPr="00D25322">
        <w:rPr>
          <w:rFonts w:eastAsia="Times New Roman"/>
        </w:rPr>
        <w:t xml:space="preserve">uvedené </w:t>
      </w:r>
      <w:bookmarkStart w:id="1" w:name="_Toc481472478"/>
      <w:r w:rsidRPr="00D25322">
        <w:rPr>
          <w:rFonts w:eastAsia="Times New Roman"/>
        </w:rPr>
        <w:t xml:space="preserve">ako jeden z problémov, ktoré ovplyvňujú výkonnosť programu. </w:t>
      </w:r>
      <w:bookmarkEnd w:id="1"/>
    </w:p>
    <w:p w:rsidR="005C32B9" w:rsidRPr="00D25322" w:rsidRDefault="005C32B9" w:rsidP="00AB178D">
      <w:pPr>
        <w:jc w:val="both"/>
      </w:pPr>
    </w:p>
    <w:p w:rsidR="00432C07" w:rsidRPr="00D25322" w:rsidRDefault="007A4C0F" w:rsidP="00AB178D">
      <w:pPr>
        <w:jc w:val="both"/>
        <w:rPr>
          <w:color w:val="FF0000"/>
        </w:rPr>
      </w:pPr>
      <w:r w:rsidRPr="00D25322">
        <w:rPr>
          <w:rFonts w:eastAsiaTheme="minorHAnsi"/>
        </w:rPr>
        <w:t>K 31.12.2016 bolo</w:t>
      </w:r>
      <w:r w:rsidR="00432C07" w:rsidRPr="00D25322">
        <w:t xml:space="preserve"> </w:t>
      </w:r>
      <w:r w:rsidR="004E693A" w:rsidRPr="00D25322">
        <w:t xml:space="preserve">od začiatku programového obdobia </w:t>
      </w:r>
      <w:r w:rsidRPr="00D25322">
        <w:t xml:space="preserve">spustených </w:t>
      </w:r>
      <w:r w:rsidR="00432C07" w:rsidRPr="00D25322">
        <w:rPr>
          <w:rFonts w:eastAsiaTheme="minorHAnsi"/>
        </w:rPr>
        <w:t>27 projektov (19 národných, 2 projekty finančných nástrojov a 6 projektov v rámci technickej pomoci). Taktiež boli vyhlásené výzvy/písomné vyzvania vo všetkých prioritných osiach</w:t>
      </w:r>
      <w:r w:rsidRPr="00D25322">
        <w:rPr>
          <w:rFonts w:eastAsiaTheme="minorHAnsi"/>
        </w:rPr>
        <w:t>,</w:t>
      </w:r>
      <w:r w:rsidR="00432C07" w:rsidRPr="00D25322">
        <w:rPr>
          <w:rFonts w:eastAsiaTheme="minorHAnsi"/>
        </w:rPr>
        <w:t xml:space="preserve"> </w:t>
      </w:r>
      <w:r w:rsidRPr="00D25322">
        <w:rPr>
          <w:rFonts w:eastAsiaTheme="minorHAnsi"/>
        </w:rPr>
        <w:t>ktoré pokryli</w:t>
      </w:r>
      <w:r w:rsidR="00432C07" w:rsidRPr="00D25322">
        <w:rPr>
          <w:rFonts w:eastAsiaTheme="minorHAnsi"/>
        </w:rPr>
        <w:t xml:space="preserve"> väčšinu špecifických cieľov OP ĽZ.</w:t>
      </w:r>
    </w:p>
    <w:p w:rsidR="0039199C" w:rsidRPr="00D25322" w:rsidRDefault="0039199C">
      <w:pPr>
        <w:jc w:val="both"/>
        <w:rPr>
          <w:color w:val="FF0000"/>
        </w:rPr>
      </w:pPr>
    </w:p>
    <w:p w:rsidR="00CD674A" w:rsidRPr="00D25322" w:rsidRDefault="006109B0">
      <w:pPr>
        <w:jc w:val="both"/>
      </w:pPr>
      <w:r w:rsidRPr="00D25322">
        <w:t>V</w:t>
      </w:r>
      <w:r w:rsidR="00DD4A11" w:rsidRPr="00D25322">
        <w:t xml:space="preserve"> roku 2016 v </w:t>
      </w:r>
      <w:r w:rsidR="00F31228" w:rsidRPr="00D25322">
        <w:t xml:space="preserve">rámci </w:t>
      </w:r>
      <w:r w:rsidR="00FB531E" w:rsidRPr="00D25322">
        <w:t>prioritnej osi</w:t>
      </w:r>
      <w:r w:rsidR="00F31228" w:rsidRPr="00D25322">
        <w:t xml:space="preserve"> 1</w:t>
      </w:r>
      <w:r w:rsidR="00031B6E" w:rsidRPr="00D25322">
        <w:t xml:space="preserve"> Vzdelávane </w:t>
      </w:r>
      <w:r w:rsidR="003D0D4C" w:rsidRPr="00D25322">
        <w:t>s</w:t>
      </w:r>
      <w:r w:rsidR="00A256FD" w:rsidRPr="00D25322">
        <w:t xml:space="preserve">prostredkovateľský orgán </w:t>
      </w:r>
      <w:r w:rsidR="00F31228" w:rsidRPr="00D25322">
        <w:t>M</w:t>
      </w:r>
      <w:r w:rsidR="00FB531E" w:rsidRPr="00D25322">
        <w:t xml:space="preserve">inisterstvo školstva, vedy, výskumu a športu </w:t>
      </w:r>
      <w:r w:rsidR="00F31228" w:rsidRPr="00D25322">
        <w:t xml:space="preserve">SR </w:t>
      </w:r>
      <w:r w:rsidR="007F028F" w:rsidRPr="00D25322">
        <w:t>vyhlásil</w:t>
      </w:r>
      <w:r w:rsidR="00031B6E" w:rsidRPr="00D25322">
        <w:t>o</w:t>
      </w:r>
      <w:r w:rsidR="00AF0276" w:rsidRPr="00D25322">
        <w:t xml:space="preserve"> 3 písomn</w:t>
      </w:r>
      <w:r w:rsidR="001F4E26" w:rsidRPr="00D25322">
        <w:t>é vyzvania pre národné projekty a</w:t>
      </w:r>
      <w:r w:rsidR="00AF0276" w:rsidRPr="00D25322">
        <w:t xml:space="preserve"> 2 výzvy na dopytovo – orientované projekty</w:t>
      </w:r>
      <w:r w:rsidR="00665F9B">
        <w:t xml:space="preserve"> (</w:t>
      </w:r>
      <w:r w:rsidR="00665F9B" w:rsidRPr="00711AAE">
        <w:t xml:space="preserve">zamerané na podporu celoživotného vzdelávania a na zvýšenie </w:t>
      </w:r>
      <w:proofErr w:type="spellStart"/>
      <w:r w:rsidR="00665F9B" w:rsidRPr="00711AAE">
        <w:t>inkluzívnosti</w:t>
      </w:r>
      <w:proofErr w:type="spellEnd"/>
      <w:r w:rsidR="00665F9B" w:rsidRPr="00711AAE">
        <w:t xml:space="preserve"> vzdelávania)</w:t>
      </w:r>
      <w:r w:rsidR="001F4E26" w:rsidRPr="00D25322">
        <w:t xml:space="preserve">. </w:t>
      </w:r>
      <w:r w:rsidR="00432C07" w:rsidRPr="00D25322">
        <w:t>Bol</w:t>
      </w:r>
      <w:r w:rsidR="00AF0276" w:rsidRPr="00D25322">
        <w:t xml:space="preserve"> zazmluvnený 1 národný projekt</w:t>
      </w:r>
      <w:r w:rsidR="008E485F" w:rsidRPr="00D25322">
        <w:t xml:space="preserve"> </w:t>
      </w:r>
      <w:r w:rsidR="001F4E26" w:rsidRPr="00D25322">
        <w:t>v hodnote 33 626 258 €</w:t>
      </w:r>
      <w:r w:rsidR="007A4C0F" w:rsidRPr="00D25322">
        <w:t>,</w:t>
      </w:r>
      <w:r w:rsidR="00AF0276" w:rsidRPr="00D25322">
        <w:t xml:space="preserve"> </w:t>
      </w:r>
      <w:r w:rsidR="008E485F" w:rsidRPr="00D25322">
        <w:t>zameraný na d</w:t>
      </w:r>
      <w:r w:rsidR="00AF0276" w:rsidRPr="00D25322">
        <w:t>uálne vzdelávanie a zvý</w:t>
      </w:r>
      <w:r w:rsidR="008E485F" w:rsidRPr="00D25322">
        <w:t xml:space="preserve">šenie atraktivity a kvality </w:t>
      </w:r>
      <w:r w:rsidR="00B106D1" w:rsidRPr="00D25322">
        <w:t>odborného vzdelávania a prípravy.</w:t>
      </w:r>
      <w:r w:rsidR="008E485F" w:rsidRPr="00D25322">
        <w:t xml:space="preserve"> </w:t>
      </w:r>
    </w:p>
    <w:p w:rsidR="00AF0276" w:rsidRPr="00D25322" w:rsidRDefault="00AF0276">
      <w:pPr>
        <w:jc w:val="both"/>
      </w:pPr>
    </w:p>
    <w:p w:rsidR="00AF0276" w:rsidRPr="00D25322" w:rsidRDefault="00AF0276">
      <w:pPr>
        <w:jc w:val="both"/>
      </w:pPr>
      <w:r w:rsidRPr="00D25322">
        <w:t xml:space="preserve">Ministerstvo práce, sociálnych vecí a rodiny SR ako riadiaci orgán pre OP ĽZ v rámci prioritnej osi 2 Iniciatíva pre podporu zamestnanosti mladých ľudí </w:t>
      </w:r>
      <w:r w:rsidR="007F028F" w:rsidRPr="00D25322">
        <w:t>zazmluvnil</w:t>
      </w:r>
      <w:r w:rsidRPr="00D25322">
        <w:t xml:space="preserve"> </w:t>
      </w:r>
      <w:r w:rsidR="00B106D1" w:rsidRPr="00D25322">
        <w:t xml:space="preserve">v roku 2016 </w:t>
      </w:r>
      <w:r w:rsidRPr="00D25322">
        <w:t>národný projekt</w:t>
      </w:r>
      <w:r w:rsidR="008E485F" w:rsidRPr="00D25322">
        <w:t xml:space="preserve"> v hodnote 50 000 000 €, v ktorom umožňuje mladým ľuďom získať prvé pravidelné platené zamestnanie alebo sa zamestnať prostredníctvom samozamestnania</w:t>
      </w:r>
      <w:r w:rsidR="00432C07" w:rsidRPr="00D25322">
        <w:t>.</w:t>
      </w:r>
      <w:r w:rsidR="007516E9" w:rsidRPr="00D25322">
        <w:t xml:space="preserve"> V sledovanom období boli prostredníctvom sprostredkovateľského orgánu </w:t>
      </w:r>
      <w:r w:rsidR="007615DD" w:rsidRPr="00D25322">
        <w:t>Implementačnej agentúry</w:t>
      </w:r>
      <w:r w:rsidR="007516E9" w:rsidRPr="00D25322">
        <w:t xml:space="preserve"> MPSVR SR</w:t>
      </w:r>
      <w:r w:rsidR="009E3F6F" w:rsidRPr="00D25322">
        <w:t xml:space="preserve"> v </w:t>
      </w:r>
      <w:r w:rsidR="00432C07" w:rsidRPr="00D25322">
        <w:t xml:space="preserve">prioritnej osi </w:t>
      </w:r>
      <w:r w:rsidR="009E3F6F" w:rsidRPr="00D25322">
        <w:t>2</w:t>
      </w:r>
      <w:r w:rsidR="007516E9" w:rsidRPr="00D25322">
        <w:t xml:space="preserve"> vyhlásené 2 výzvy na dopytovo–orientované projekty. V rámci prioritnej osi 3 Zamestnanosť bolo vyhlásený</w:t>
      </w:r>
      <w:r w:rsidR="00432C07" w:rsidRPr="00D25322">
        <w:t>ch</w:t>
      </w:r>
      <w:r w:rsidR="007516E9" w:rsidRPr="00D25322">
        <w:t xml:space="preserve"> 6 vyzvaní pre národné projekty a 7 zazmluv</w:t>
      </w:r>
      <w:r w:rsidR="00D25322">
        <w:t>n</w:t>
      </w:r>
      <w:r w:rsidR="007516E9" w:rsidRPr="00D25322">
        <w:t>ených národných projektov v hodnote 259 450 363 €</w:t>
      </w:r>
      <w:r w:rsidR="008E485F" w:rsidRPr="00D25322">
        <w:t>, ktoré sú zamerané na zapojenie</w:t>
      </w:r>
      <w:r w:rsidR="007615DD" w:rsidRPr="00D25322">
        <w:t xml:space="preserve"> uchádzačov o zamestnanie do pracovného života, </w:t>
      </w:r>
      <w:r w:rsidR="00392F8C" w:rsidRPr="00D25322">
        <w:t xml:space="preserve">na </w:t>
      </w:r>
      <w:r w:rsidR="007615DD" w:rsidRPr="00D25322">
        <w:t>podporu</w:t>
      </w:r>
      <w:r w:rsidR="008E485F" w:rsidRPr="00D25322">
        <w:t xml:space="preserve"> nezamestnaných, resp. dlhodobo nezamestnaných uchádzačov o zamestnanie </w:t>
      </w:r>
      <w:r w:rsidR="007615DD" w:rsidRPr="00D25322">
        <w:t xml:space="preserve">pri hľadaní práce. </w:t>
      </w:r>
      <w:r w:rsidR="007D2650" w:rsidRPr="00D25322">
        <w:t>Pri dosiahnutí nižšej miery nezamestnanosti a zvýšenie zamestnanosti s</w:t>
      </w:r>
      <w:r w:rsidR="007615DD" w:rsidRPr="00D25322">
        <w:t xml:space="preserve">ú </w:t>
      </w:r>
      <w:r w:rsidR="008E485F" w:rsidRPr="00D25322">
        <w:t>v</w:t>
      </w:r>
      <w:r w:rsidR="007615DD" w:rsidRPr="00D25322">
        <w:t>yužívané</w:t>
      </w:r>
      <w:r w:rsidR="008E485F" w:rsidRPr="00D25322">
        <w:t xml:space="preserve"> vybrané aktívne opatrenia na trhu</w:t>
      </w:r>
      <w:r w:rsidR="007615DD" w:rsidRPr="00D25322">
        <w:t xml:space="preserve"> práce</w:t>
      </w:r>
      <w:r w:rsidR="007D2650" w:rsidRPr="00D25322">
        <w:t xml:space="preserve">. </w:t>
      </w:r>
      <w:r w:rsidR="00DD6F9B">
        <w:t>Súčasne bol v</w:t>
      </w:r>
      <w:r w:rsidR="00DD6F9B" w:rsidRPr="00D25322">
        <w:t xml:space="preserve"> roku 2016 </w:t>
      </w:r>
      <w:r w:rsidR="004B4FF2">
        <w:t xml:space="preserve">v rámci predmetnej prioritnej osi </w:t>
      </w:r>
      <w:r w:rsidR="00DD6F9B" w:rsidRPr="00D25322">
        <w:t xml:space="preserve">zazmluvnený projekt v hodnote </w:t>
      </w:r>
      <w:r w:rsidR="00DD6F9B">
        <w:t xml:space="preserve">58 500 000,00 </w:t>
      </w:r>
      <w:r w:rsidR="00DD6F9B" w:rsidRPr="00D25322">
        <w:t>€</w:t>
      </w:r>
      <w:r w:rsidR="00DD6F9B">
        <w:t>,</w:t>
      </w:r>
      <w:r w:rsidR="00DD6F9B" w:rsidRPr="00D25322">
        <w:t xml:space="preserve"> zameraný na finančné nástroje. </w:t>
      </w:r>
      <w:r w:rsidR="007516E9" w:rsidRPr="00D25322">
        <w:t>V prioritnej osi 4 Sociálne začlenenie bola vyhlásená 1 výzva pre dopytovo – orientované projekty, bol zazmluv</w:t>
      </w:r>
      <w:r w:rsidR="00D25322">
        <w:t>n</w:t>
      </w:r>
      <w:r w:rsidR="007516E9" w:rsidRPr="00D25322">
        <w:t>ený 1 národný projekt</w:t>
      </w:r>
      <w:r w:rsidR="008E485F" w:rsidRPr="00D25322">
        <w:t xml:space="preserve"> v hodnote 29 155 045 €</w:t>
      </w:r>
      <w:r w:rsidR="00392F8C" w:rsidRPr="00D25322">
        <w:t>,</w:t>
      </w:r>
      <w:r w:rsidR="007516E9" w:rsidRPr="00D25322">
        <w:t xml:space="preserve"> </w:t>
      </w:r>
      <w:r w:rsidR="008E485F" w:rsidRPr="00D25322">
        <w:t>zameraný na podporu</w:t>
      </w:r>
      <w:r w:rsidR="00613EBE" w:rsidRPr="00D25322">
        <w:t xml:space="preserve"> rozvoja sociálnej práce v rodinnom prostredí klientov v ob</w:t>
      </w:r>
      <w:r w:rsidR="008E485F" w:rsidRPr="00D25322">
        <w:t xml:space="preserve">lasti sociálnych vecí a rodiny.  </w:t>
      </w:r>
    </w:p>
    <w:p w:rsidR="00DC7D86" w:rsidRPr="00D25322" w:rsidRDefault="00DC7D86">
      <w:pPr>
        <w:shd w:val="clear" w:color="auto" w:fill="FFFFFF" w:themeFill="background1"/>
        <w:jc w:val="both"/>
      </w:pPr>
    </w:p>
    <w:p w:rsidR="000E25DC" w:rsidRPr="00D25322" w:rsidRDefault="007516E9">
      <w:pPr>
        <w:pStyle w:val="Normlnywebov"/>
        <w:spacing w:before="0" w:beforeAutospacing="0" w:after="0" w:afterAutospacing="0"/>
        <w:jc w:val="both"/>
      </w:pPr>
      <w:r w:rsidRPr="00D25322">
        <w:rPr>
          <w:rFonts w:eastAsia="Times New Roman"/>
        </w:rPr>
        <w:t>Sprostredkovateľský orgán</w:t>
      </w:r>
      <w:r w:rsidR="00A256FD" w:rsidRPr="00D25322">
        <w:rPr>
          <w:rFonts w:eastAsia="Times New Roman"/>
        </w:rPr>
        <w:t xml:space="preserve"> </w:t>
      </w:r>
      <w:r w:rsidR="009C12DC" w:rsidRPr="00D25322">
        <w:rPr>
          <w:rFonts w:eastAsia="Times New Roman"/>
        </w:rPr>
        <w:t>M</w:t>
      </w:r>
      <w:r w:rsidRPr="00D25322">
        <w:rPr>
          <w:rFonts w:eastAsia="Times New Roman"/>
        </w:rPr>
        <w:t>inisterstvo</w:t>
      </w:r>
      <w:r w:rsidR="00FB531E" w:rsidRPr="00D25322">
        <w:rPr>
          <w:rFonts w:eastAsia="Times New Roman"/>
        </w:rPr>
        <w:t xml:space="preserve"> vnútra</w:t>
      </w:r>
      <w:r w:rsidR="009C12DC" w:rsidRPr="00D25322">
        <w:rPr>
          <w:rFonts w:eastAsia="Times New Roman"/>
        </w:rPr>
        <w:t xml:space="preserve"> SR</w:t>
      </w:r>
      <w:r w:rsidR="00A256FD" w:rsidRPr="00D25322">
        <w:rPr>
          <w:rFonts w:eastAsia="Times New Roman"/>
        </w:rPr>
        <w:t xml:space="preserve"> v rámci </w:t>
      </w:r>
      <w:r w:rsidR="00FB531E" w:rsidRPr="00D25322">
        <w:rPr>
          <w:rFonts w:eastAsia="Times New Roman"/>
        </w:rPr>
        <w:t>prioritnej osi</w:t>
      </w:r>
      <w:r w:rsidR="00A256FD" w:rsidRPr="00D25322">
        <w:rPr>
          <w:rFonts w:eastAsia="Times New Roman"/>
        </w:rPr>
        <w:t xml:space="preserve"> 5</w:t>
      </w:r>
      <w:r w:rsidRPr="00D25322">
        <w:rPr>
          <w:rFonts w:eastAsia="Times New Roman"/>
        </w:rPr>
        <w:t xml:space="preserve"> Integrácia marginalizovaných rómskych komunít</w:t>
      </w:r>
      <w:r w:rsidR="00A256FD" w:rsidRPr="00D25322">
        <w:rPr>
          <w:rFonts w:eastAsia="Times New Roman"/>
        </w:rPr>
        <w:t xml:space="preserve"> </w:t>
      </w:r>
      <w:r w:rsidRPr="00D25322">
        <w:rPr>
          <w:rFonts w:eastAsia="Times New Roman"/>
        </w:rPr>
        <w:t>vyhlásil v sledovanom</w:t>
      </w:r>
      <w:r w:rsidRPr="00D25322">
        <w:rPr>
          <w:rFonts w:eastAsia="Times New Roman"/>
          <w:color w:val="FF0000"/>
        </w:rPr>
        <w:t xml:space="preserve"> </w:t>
      </w:r>
      <w:r w:rsidRPr="00D25322">
        <w:rPr>
          <w:rFonts w:eastAsia="Times New Roman"/>
        </w:rPr>
        <w:t xml:space="preserve">období 2 vyzvania pre národné projekty. </w:t>
      </w:r>
      <w:r w:rsidR="00A256FD" w:rsidRPr="00D25322">
        <w:rPr>
          <w:rFonts w:eastAsia="Times New Roman"/>
        </w:rPr>
        <w:t>V </w:t>
      </w:r>
      <w:r w:rsidR="00FB531E" w:rsidRPr="00D25322">
        <w:rPr>
          <w:rFonts w:eastAsia="Times New Roman"/>
        </w:rPr>
        <w:t>prioritnej osi</w:t>
      </w:r>
      <w:r w:rsidR="00A256FD" w:rsidRPr="00D25322">
        <w:rPr>
          <w:rFonts w:eastAsia="Times New Roman"/>
        </w:rPr>
        <w:t xml:space="preserve"> 6</w:t>
      </w:r>
      <w:r w:rsidRPr="00D25322">
        <w:rPr>
          <w:rFonts w:eastAsia="Times New Roman"/>
        </w:rPr>
        <w:t xml:space="preserve"> Technická vybavenosť v obciach s prítomnosťou MRK</w:t>
      </w:r>
      <w:r w:rsidR="00FB531E" w:rsidRPr="00D25322">
        <w:rPr>
          <w:rFonts w:eastAsia="Times New Roman"/>
        </w:rPr>
        <w:t xml:space="preserve"> v gescii sprostredkovateľského orgánu Ministerstva vnútra SR</w:t>
      </w:r>
      <w:r w:rsidRPr="00D25322">
        <w:rPr>
          <w:rFonts w:eastAsia="Times New Roman"/>
        </w:rPr>
        <w:t xml:space="preserve"> boli vyhlásené v sledovanom období 4 výzvy pre dopytovo–orientované projekty. V roku 2016 bol zazmluvnený</w:t>
      </w:r>
      <w:r w:rsidR="001F4E26" w:rsidRPr="00D25322">
        <w:rPr>
          <w:rFonts w:eastAsia="Times New Roman"/>
        </w:rPr>
        <w:t xml:space="preserve"> projekt v hodnote 13 571 195 €</w:t>
      </w:r>
      <w:r w:rsidR="002447B6">
        <w:rPr>
          <w:rFonts w:eastAsia="Times New Roman"/>
        </w:rPr>
        <w:t>,</w:t>
      </w:r>
      <w:r w:rsidR="001F4E26" w:rsidRPr="00D25322">
        <w:rPr>
          <w:rFonts w:eastAsia="Times New Roman"/>
        </w:rPr>
        <w:t xml:space="preserve"> zameraný na finančné nástroje. </w:t>
      </w:r>
      <w:r w:rsidR="00F365EE" w:rsidRPr="00D25322">
        <w:t>Bola vyhlásená výzva na výstavbu/re</w:t>
      </w:r>
      <w:r w:rsidR="007F028F" w:rsidRPr="00D25322">
        <w:t>konštrukciu komunitných</w:t>
      </w:r>
      <w:bookmarkStart w:id="2" w:name="_GoBack"/>
      <w:bookmarkEnd w:id="2"/>
      <w:r w:rsidR="007F028F" w:rsidRPr="00D25322">
        <w:t xml:space="preserve"> centier. </w:t>
      </w:r>
      <w:r w:rsidR="00F365EE" w:rsidRPr="00D25322">
        <w:t xml:space="preserve">Zároveň bola vyhlásená výzva na zlepšenie/zabezpečenie prístupu k pitnej vode pre všetky obce s prítomnosťou MRK podľa aktuálne platného Atlasu </w:t>
      </w:r>
      <w:r w:rsidR="005C32B9" w:rsidRPr="00D25322">
        <w:t xml:space="preserve">rómskych komunít z roku </w:t>
      </w:r>
      <w:r w:rsidR="00F365EE" w:rsidRPr="00D25322">
        <w:t>2013.</w:t>
      </w:r>
    </w:p>
    <w:p w:rsidR="009B487C" w:rsidRPr="00D25322" w:rsidRDefault="009B487C">
      <w:pPr>
        <w:pStyle w:val="Normlnywebov"/>
        <w:spacing w:before="0" w:beforeAutospacing="0" w:after="0" w:afterAutospacing="0"/>
        <w:jc w:val="both"/>
        <w:rPr>
          <w:rFonts w:eastAsia="Times New Roman"/>
        </w:rPr>
      </w:pPr>
    </w:p>
    <w:p w:rsidR="00D25322" w:rsidRDefault="00762CAE" w:rsidP="00DD6F9B">
      <w:pPr>
        <w:pStyle w:val="Normlnywebov"/>
        <w:spacing w:before="0" w:beforeAutospacing="0" w:after="0" w:afterAutospacing="0"/>
        <w:jc w:val="both"/>
      </w:pPr>
      <w:r>
        <w:t>V roku 2016 sa začali napĺňať hodnoty merateľných ukazovateľov a ukazovateľov výkonnostného rámca, zatiaľ okrem ukazovateľov PO 1 a PO 5. Ako najúspešnejšia sa ukazuje PO3. Podrobnosti v správe súhrnne uvádza bod 1.3.3 Čiastkové ciele a zámery stanovené vo výkonnostnom rámci, a detailnejšie bod 1.3.2 Spoločné a programovo špecifické ukazovatele.</w:t>
      </w:r>
    </w:p>
    <w:p w:rsidR="00505463" w:rsidRPr="000A2329" w:rsidRDefault="00505463" w:rsidP="00DD6F9B">
      <w:pPr>
        <w:pStyle w:val="Normlnywebov"/>
        <w:spacing w:before="0" w:beforeAutospacing="0" w:after="0" w:afterAutospacing="0"/>
        <w:jc w:val="both"/>
      </w:pPr>
      <w:r w:rsidRPr="000A2329">
        <w:rPr>
          <w:sz w:val="20"/>
          <w:szCs w:val="20"/>
        </w:rPr>
        <w:t>K 31.12.2016 neboli v rámci OP ĽZ ukončené žiadne projekty, preto nie je možné uviesť príklady dobrej praxe.</w:t>
      </w:r>
    </w:p>
    <w:sectPr w:rsidR="00505463" w:rsidRPr="000A2329" w:rsidSect="002F7160">
      <w:headerReference w:type="default" r:id="rId9"/>
      <w:footerReference w:type="default" r:id="rId10"/>
      <w:pgSz w:w="11906" w:h="16838"/>
      <w:pgMar w:top="1134" w:right="1417" w:bottom="284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3FA" w:rsidRDefault="009253FA" w:rsidP="009C12DC">
      <w:r>
        <w:separator/>
      </w:r>
    </w:p>
  </w:endnote>
  <w:endnote w:type="continuationSeparator" w:id="0">
    <w:p w:rsidR="009253FA" w:rsidRDefault="009253FA" w:rsidP="009C1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BookmanE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11031"/>
      <w:docPartObj>
        <w:docPartGallery w:val="Page Numbers (Bottom of Page)"/>
        <w:docPartUnique/>
      </w:docPartObj>
    </w:sdtPr>
    <w:sdtEndPr/>
    <w:sdtContent>
      <w:p w:rsidR="00D3586A" w:rsidRDefault="00D3586A" w:rsidP="00F710F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32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3FA" w:rsidRDefault="009253FA" w:rsidP="009C12DC">
      <w:r>
        <w:separator/>
      </w:r>
    </w:p>
  </w:footnote>
  <w:footnote w:type="continuationSeparator" w:id="0">
    <w:p w:rsidR="009253FA" w:rsidRDefault="009253FA" w:rsidP="009C1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60" w:rsidRDefault="002F7160">
    <w:pPr>
      <w:pStyle w:val="Hlavika"/>
      <w:rPr>
        <w:sz w:val="20"/>
        <w:szCs w:val="20"/>
      </w:rPr>
    </w:pPr>
  </w:p>
  <w:p w:rsidR="007F2A81" w:rsidRPr="00E2703B" w:rsidRDefault="007F2A81">
    <w:pPr>
      <w:pStyle w:val="Hlavika"/>
      <w:rPr>
        <w:sz w:val="20"/>
        <w:szCs w:val="20"/>
      </w:rPr>
    </w:pPr>
    <w:r w:rsidRPr="00E2703B">
      <w:rPr>
        <w:sz w:val="20"/>
        <w:szCs w:val="20"/>
      </w:rPr>
      <w:t xml:space="preserve">Príloha </w:t>
    </w:r>
    <w:r w:rsidR="007E31B4">
      <w:rPr>
        <w:sz w:val="20"/>
        <w:szCs w:val="20"/>
      </w:rPr>
      <w:t>3</w:t>
    </w:r>
    <w:r w:rsidR="00BE2525">
      <w:rPr>
        <w:sz w:val="20"/>
        <w:szCs w:val="20"/>
      </w:rPr>
      <w:t xml:space="preserve"> VS OP ĽZ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375B"/>
    <w:multiLevelType w:val="hybridMultilevel"/>
    <w:tmpl w:val="D660C3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BA0925"/>
    <w:multiLevelType w:val="multilevel"/>
    <w:tmpl w:val="625AB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1"/>
      <w:lvlText w:val="%1.%2."/>
      <w:lvlJc w:val="left"/>
      <w:pPr>
        <w:ind w:left="792" w:hanging="432"/>
      </w:pPr>
    </w:lvl>
    <w:lvl w:ilvl="2">
      <w:start w:val="1"/>
      <w:numFmt w:val="decimal"/>
      <w:pStyle w:val="Nadpis2"/>
      <w:lvlText w:val="%1.%2.%3."/>
      <w:lvlJc w:val="left"/>
      <w:pPr>
        <w:ind w:left="1224" w:hanging="504"/>
      </w:pPr>
    </w:lvl>
    <w:lvl w:ilvl="3">
      <w:start w:val="1"/>
      <w:numFmt w:val="decimal"/>
      <w:pStyle w:val="Nadpis3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363005"/>
    <w:multiLevelType w:val="hybridMultilevel"/>
    <w:tmpl w:val="F2E847B4"/>
    <w:lvl w:ilvl="0" w:tplc="14AA30B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DC"/>
    <w:rsid w:val="000068C6"/>
    <w:rsid w:val="00012FF9"/>
    <w:rsid w:val="00031B6E"/>
    <w:rsid w:val="0005640D"/>
    <w:rsid w:val="00057366"/>
    <w:rsid w:val="00064747"/>
    <w:rsid w:val="000A2329"/>
    <w:rsid w:val="000E25DC"/>
    <w:rsid w:val="000E72DC"/>
    <w:rsid w:val="001103EB"/>
    <w:rsid w:val="00117C4B"/>
    <w:rsid w:val="00117D6D"/>
    <w:rsid w:val="001315E6"/>
    <w:rsid w:val="001334F5"/>
    <w:rsid w:val="00162FA2"/>
    <w:rsid w:val="001973FC"/>
    <w:rsid w:val="001A0788"/>
    <w:rsid w:val="001B2EAA"/>
    <w:rsid w:val="001E0790"/>
    <w:rsid w:val="001E7D83"/>
    <w:rsid w:val="001F4E26"/>
    <w:rsid w:val="00201002"/>
    <w:rsid w:val="002177DC"/>
    <w:rsid w:val="00224C69"/>
    <w:rsid w:val="0024323E"/>
    <w:rsid w:val="002447B6"/>
    <w:rsid w:val="0024561C"/>
    <w:rsid w:val="00293A09"/>
    <w:rsid w:val="002C66E5"/>
    <w:rsid w:val="002E7751"/>
    <w:rsid w:val="002F7160"/>
    <w:rsid w:val="00323972"/>
    <w:rsid w:val="0035469F"/>
    <w:rsid w:val="00361FA5"/>
    <w:rsid w:val="00380CB0"/>
    <w:rsid w:val="0039199C"/>
    <w:rsid w:val="00392F8C"/>
    <w:rsid w:val="003947FA"/>
    <w:rsid w:val="003A53BA"/>
    <w:rsid w:val="003A63D3"/>
    <w:rsid w:val="003B09C9"/>
    <w:rsid w:val="003D0D4C"/>
    <w:rsid w:val="003D3A99"/>
    <w:rsid w:val="00403657"/>
    <w:rsid w:val="00432C07"/>
    <w:rsid w:val="00444316"/>
    <w:rsid w:val="004501BE"/>
    <w:rsid w:val="004744C8"/>
    <w:rsid w:val="004826A4"/>
    <w:rsid w:val="00495016"/>
    <w:rsid w:val="004B4FF2"/>
    <w:rsid w:val="004E5799"/>
    <w:rsid w:val="004E693A"/>
    <w:rsid w:val="00505463"/>
    <w:rsid w:val="005562C3"/>
    <w:rsid w:val="00564112"/>
    <w:rsid w:val="00565FA5"/>
    <w:rsid w:val="005847FD"/>
    <w:rsid w:val="00586482"/>
    <w:rsid w:val="005C2E85"/>
    <w:rsid w:val="005C32B9"/>
    <w:rsid w:val="005C34BF"/>
    <w:rsid w:val="006038CE"/>
    <w:rsid w:val="00605F79"/>
    <w:rsid w:val="006109B0"/>
    <w:rsid w:val="00613EBE"/>
    <w:rsid w:val="00665F9B"/>
    <w:rsid w:val="00674740"/>
    <w:rsid w:val="00692B0A"/>
    <w:rsid w:val="006A1DAA"/>
    <w:rsid w:val="006F7466"/>
    <w:rsid w:val="00711AAE"/>
    <w:rsid w:val="007516E9"/>
    <w:rsid w:val="00760C99"/>
    <w:rsid w:val="007615DD"/>
    <w:rsid w:val="00762CAE"/>
    <w:rsid w:val="00773DF8"/>
    <w:rsid w:val="0077404F"/>
    <w:rsid w:val="00776071"/>
    <w:rsid w:val="007916BA"/>
    <w:rsid w:val="007A4C0F"/>
    <w:rsid w:val="007C4633"/>
    <w:rsid w:val="007D2650"/>
    <w:rsid w:val="007D29F1"/>
    <w:rsid w:val="007E31B4"/>
    <w:rsid w:val="007F028F"/>
    <w:rsid w:val="007F2A81"/>
    <w:rsid w:val="00801B67"/>
    <w:rsid w:val="00806064"/>
    <w:rsid w:val="008161CB"/>
    <w:rsid w:val="008343D9"/>
    <w:rsid w:val="00852A4B"/>
    <w:rsid w:val="0085396C"/>
    <w:rsid w:val="00864070"/>
    <w:rsid w:val="0087632E"/>
    <w:rsid w:val="0088283A"/>
    <w:rsid w:val="008901F1"/>
    <w:rsid w:val="008B5D82"/>
    <w:rsid w:val="008C79DF"/>
    <w:rsid w:val="008D0CCC"/>
    <w:rsid w:val="008E485F"/>
    <w:rsid w:val="008F7750"/>
    <w:rsid w:val="00902298"/>
    <w:rsid w:val="009253FA"/>
    <w:rsid w:val="00944508"/>
    <w:rsid w:val="009516D9"/>
    <w:rsid w:val="00991166"/>
    <w:rsid w:val="009B38E0"/>
    <w:rsid w:val="009B487C"/>
    <w:rsid w:val="009C12DC"/>
    <w:rsid w:val="009E1234"/>
    <w:rsid w:val="009E3F6F"/>
    <w:rsid w:val="00A01E00"/>
    <w:rsid w:val="00A17889"/>
    <w:rsid w:val="00A256FD"/>
    <w:rsid w:val="00A74A76"/>
    <w:rsid w:val="00AB178D"/>
    <w:rsid w:val="00AC3F95"/>
    <w:rsid w:val="00AC5BC9"/>
    <w:rsid w:val="00AD1DF5"/>
    <w:rsid w:val="00AE5953"/>
    <w:rsid w:val="00AE6C33"/>
    <w:rsid w:val="00AF0276"/>
    <w:rsid w:val="00B01D8B"/>
    <w:rsid w:val="00B106D1"/>
    <w:rsid w:val="00B128E0"/>
    <w:rsid w:val="00B171AC"/>
    <w:rsid w:val="00B562B9"/>
    <w:rsid w:val="00B60AEE"/>
    <w:rsid w:val="00B77A80"/>
    <w:rsid w:val="00B77CB3"/>
    <w:rsid w:val="00B90E00"/>
    <w:rsid w:val="00B9701A"/>
    <w:rsid w:val="00BA2CFF"/>
    <w:rsid w:val="00BE0F58"/>
    <w:rsid w:val="00BE2525"/>
    <w:rsid w:val="00BF6F48"/>
    <w:rsid w:val="00C4505C"/>
    <w:rsid w:val="00C61DFF"/>
    <w:rsid w:val="00C73DC6"/>
    <w:rsid w:val="00CA3A21"/>
    <w:rsid w:val="00CD116A"/>
    <w:rsid w:val="00CD674A"/>
    <w:rsid w:val="00CE457C"/>
    <w:rsid w:val="00D25322"/>
    <w:rsid w:val="00D2545A"/>
    <w:rsid w:val="00D3586A"/>
    <w:rsid w:val="00D40C36"/>
    <w:rsid w:val="00D45F7F"/>
    <w:rsid w:val="00D86AEF"/>
    <w:rsid w:val="00DA60B0"/>
    <w:rsid w:val="00DB64F3"/>
    <w:rsid w:val="00DB783D"/>
    <w:rsid w:val="00DC049D"/>
    <w:rsid w:val="00DC2EA2"/>
    <w:rsid w:val="00DC761B"/>
    <w:rsid w:val="00DC7D86"/>
    <w:rsid w:val="00DD4A11"/>
    <w:rsid w:val="00DD6F9B"/>
    <w:rsid w:val="00DE055D"/>
    <w:rsid w:val="00DE2A0B"/>
    <w:rsid w:val="00E17DE6"/>
    <w:rsid w:val="00E2703B"/>
    <w:rsid w:val="00E270BD"/>
    <w:rsid w:val="00E42984"/>
    <w:rsid w:val="00E4313B"/>
    <w:rsid w:val="00E934B2"/>
    <w:rsid w:val="00E97BB6"/>
    <w:rsid w:val="00EA2AB0"/>
    <w:rsid w:val="00EB31FA"/>
    <w:rsid w:val="00EF27A9"/>
    <w:rsid w:val="00F00247"/>
    <w:rsid w:val="00F040BE"/>
    <w:rsid w:val="00F218C3"/>
    <w:rsid w:val="00F21B0E"/>
    <w:rsid w:val="00F31228"/>
    <w:rsid w:val="00F365EE"/>
    <w:rsid w:val="00F42400"/>
    <w:rsid w:val="00F710FA"/>
    <w:rsid w:val="00F76BD0"/>
    <w:rsid w:val="00F821C2"/>
    <w:rsid w:val="00FB531E"/>
    <w:rsid w:val="00FD11BB"/>
    <w:rsid w:val="00FF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C1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C12DC"/>
    <w:pPr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31" w:hanging="431"/>
      <w:jc w:val="both"/>
      <w:outlineLvl w:val="0"/>
    </w:pPr>
    <w:rPr>
      <w:b/>
    </w:rPr>
  </w:style>
  <w:style w:type="paragraph" w:styleId="Nadpis2">
    <w:name w:val="heading 2"/>
    <w:basedOn w:val="Nadpis1"/>
    <w:next w:val="Normlny"/>
    <w:link w:val="Nadpis2Char"/>
    <w:uiPriority w:val="9"/>
    <w:semiHidden/>
    <w:unhideWhenUsed/>
    <w:qFormat/>
    <w:rsid w:val="009C12DC"/>
    <w:pPr>
      <w:numPr>
        <w:ilvl w:val="2"/>
      </w:numPr>
      <w:ind w:left="0" w:firstLine="0"/>
      <w:outlineLvl w:val="1"/>
    </w:p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9C12DC"/>
    <w:pPr>
      <w:numPr>
        <w:ilvl w:val="3"/>
      </w:numPr>
      <w:ind w:left="646" w:hanging="646"/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C12DC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C12DC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C12DC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C12DC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9C12DC"/>
    <w:pPr>
      <w:spacing w:before="100" w:beforeAutospacing="1" w:after="100" w:afterAutospacing="1"/>
    </w:pPr>
    <w:rPr>
      <w:rFonts w:eastAsiaTheme="minorEastAsia"/>
    </w:rPr>
  </w:style>
  <w:style w:type="character" w:customStyle="1" w:styleId="OdsekzoznamuChar">
    <w:name w:val="Odsek zoznamu Char"/>
    <w:aliases w:val="body Char,Odsek zoznamu2 Char,List Paragraph Char,Odsek zoznamu1 Char"/>
    <w:basedOn w:val="Predvolenpsmoodseku"/>
    <w:link w:val="Odsekzoznamu"/>
    <w:uiPriority w:val="34"/>
    <w:locked/>
    <w:rsid w:val="009C12D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Odsek zoznamu1"/>
    <w:basedOn w:val="Normlny"/>
    <w:link w:val="OdsekzoznamuChar"/>
    <w:uiPriority w:val="34"/>
    <w:qFormat/>
    <w:rsid w:val="009C12DC"/>
    <w:pPr>
      <w:ind w:left="720"/>
      <w:contextualSpacing/>
    </w:pPr>
  </w:style>
  <w:style w:type="character" w:customStyle="1" w:styleId="Zkladntext2">
    <w:name w:val="Základný text (2)_"/>
    <w:basedOn w:val="Predvolenpsmoodseku"/>
    <w:link w:val="Zkladntext21"/>
    <w:uiPriority w:val="99"/>
    <w:semiHidden/>
    <w:locked/>
    <w:rsid w:val="009C12DC"/>
    <w:rPr>
      <w:rFonts w:ascii="Times New Roman" w:hAnsi="Times New Roman" w:cs="Times New Roman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uiPriority w:val="99"/>
    <w:semiHidden/>
    <w:rsid w:val="009C12DC"/>
    <w:pPr>
      <w:shd w:val="clear" w:color="auto" w:fill="FFFFFF"/>
      <w:spacing w:line="278" w:lineRule="exact"/>
    </w:pPr>
    <w:rPr>
      <w:rFonts w:eastAsiaTheme="minorHAnsi"/>
      <w:sz w:val="22"/>
      <w:szCs w:val="22"/>
      <w:lang w:eastAsia="en-US"/>
    </w:rPr>
  </w:style>
  <w:style w:type="character" w:styleId="Odkaznapoznmkupodiarou">
    <w:name w:val="footnote reference"/>
    <w:basedOn w:val="Predvolenpsmoodseku"/>
    <w:semiHidden/>
    <w:unhideWhenUsed/>
    <w:rsid w:val="009C12DC"/>
    <w:rPr>
      <w:rFonts w:ascii="Times New Roman" w:hAnsi="Times New Roman" w:cs="Times New Roman" w:hint="default"/>
      <w:vertAlign w:val="superscript"/>
    </w:rPr>
  </w:style>
  <w:style w:type="character" w:styleId="Siln">
    <w:name w:val="Strong"/>
    <w:basedOn w:val="Predvolenpsmoodseku"/>
    <w:uiPriority w:val="22"/>
    <w:qFormat/>
    <w:rsid w:val="009C12DC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11BB"/>
    <w:rPr>
      <w:color w:val="800080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7F2A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2A8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F2A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2A8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7474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474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474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7474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7474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474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4740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Default">
    <w:name w:val="Default"/>
    <w:rsid w:val="00403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is">
    <w:name w:val="caption"/>
    <w:basedOn w:val="Normlny"/>
    <w:next w:val="Normlny"/>
    <w:uiPriority w:val="35"/>
    <w:unhideWhenUsed/>
    <w:qFormat/>
    <w:rsid w:val="00B60AEE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M1">
    <w:name w:val="CM1"/>
    <w:basedOn w:val="Default"/>
    <w:next w:val="Default"/>
    <w:uiPriority w:val="99"/>
    <w:rsid w:val="005C32B9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C32B9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5C32B9"/>
    <w:rPr>
      <w:rFonts w:ascii="EUAlbertina" w:hAnsi="EUAlbertina" w:cstheme="minorBidi"/>
      <w:color w:val="auto"/>
    </w:rPr>
  </w:style>
  <w:style w:type="paragraph" w:customStyle="1" w:styleId="SRKNorm">
    <w:name w:val="SRK Norm."/>
    <w:basedOn w:val="Normlny"/>
    <w:next w:val="Normlny"/>
    <w:qFormat/>
    <w:rsid w:val="00DE2A0B"/>
    <w:pPr>
      <w:numPr>
        <w:numId w:val="4"/>
      </w:numPr>
      <w:spacing w:before="200" w:after="200"/>
      <w:ind w:left="714" w:hanging="357"/>
      <w:contextualSpacing/>
      <w:jc w:val="both"/>
    </w:pPr>
  </w:style>
  <w:style w:type="paragraph" w:styleId="Revzia">
    <w:name w:val="Revision"/>
    <w:hidden/>
    <w:uiPriority w:val="99"/>
    <w:semiHidden/>
    <w:rsid w:val="008C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C1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C12DC"/>
    <w:pPr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31" w:hanging="431"/>
      <w:jc w:val="both"/>
      <w:outlineLvl w:val="0"/>
    </w:pPr>
    <w:rPr>
      <w:b/>
    </w:rPr>
  </w:style>
  <w:style w:type="paragraph" w:styleId="Nadpis2">
    <w:name w:val="heading 2"/>
    <w:basedOn w:val="Nadpis1"/>
    <w:next w:val="Normlny"/>
    <w:link w:val="Nadpis2Char"/>
    <w:uiPriority w:val="9"/>
    <w:semiHidden/>
    <w:unhideWhenUsed/>
    <w:qFormat/>
    <w:rsid w:val="009C12DC"/>
    <w:pPr>
      <w:numPr>
        <w:ilvl w:val="2"/>
      </w:numPr>
      <w:ind w:left="0" w:firstLine="0"/>
      <w:outlineLvl w:val="1"/>
    </w:p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9C12DC"/>
    <w:pPr>
      <w:numPr>
        <w:ilvl w:val="3"/>
      </w:numPr>
      <w:ind w:left="646" w:hanging="646"/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C12DC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C12DC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C12DC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C12DC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9C12DC"/>
    <w:pPr>
      <w:spacing w:before="100" w:beforeAutospacing="1" w:after="100" w:afterAutospacing="1"/>
    </w:pPr>
    <w:rPr>
      <w:rFonts w:eastAsiaTheme="minorEastAsia"/>
    </w:rPr>
  </w:style>
  <w:style w:type="character" w:customStyle="1" w:styleId="OdsekzoznamuChar">
    <w:name w:val="Odsek zoznamu Char"/>
    <w:aliases w:val="body Char,Odsek zoznamu2 Char,List Paragraph Char,Odsek zoznamu1 Char"/>
    <w:basedOn w:val="Predvolenpsmoodseku"/>
    <w:link w:val="Odsekzoznamu"/>
    <w:uiPriority w:val="34"/>
    <w:locked/>
    <w:rsid w:val="009C12D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Odsek zoznamu1"/>
    <w:basedOn w:val="Normlny"/>
    <w:link w:val="OdsekzoznamuChar"/>
    <w:uiPriority w:val="34"/>
    <w:qFormat/>
    <w:rsid w:val="009C12DC"/>
    <w:pPr>
      <w:ind w:left="720"/>
      <w:contextualSpacing/>
    </w:pPr>
  </w:style>
  <w:style w:type="character" w:customStyle="1" w:styleId="Zkladntext2">
    <w:name w:val="Základný text (2)_"/>
    <w:basedOn w:val="Predvolenpsmoodseku"/>
    <w:link w:val="Zkladntext21"/>
    <w:uiPriority w:val="99"/>
    <w:semiHidden/>
    <w:locked/>
    <w:rsid w:val="009C12DC"/>
    <w:rPr>
      <w:rFonts w:ascii="Times New Roman" w:hAnsi="Times New Roman" w:cs="Times New Roman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uiPriority w:val="99"/>
    <w:semiHidden/>
    <w:rsid w:val="009C12DC"/>
    <w:pPr>
      <w:shd w:val="clear" w:color="auto" w:fill="FFFFFF"/>
      <w:spacing w:line="278" w:lineRule="exact"/>
    </w:pPr>
    <w:rPr>
      <w:rFonts w:eastAsiaTheme="minorHAnsi"/>
      <w:sz w:val="22"/>
      <w:szCs w:val="22"/>
      <w:lang w:eastAsia="en-US"/>
    </w:rPr>
  </w:style>
  <w:style w:type="character" w:styleId="Odkaznapoznmkupodiarou">
    <w:name w:val="footnote reference"/>
    <w:basedOn w:val="Predvolenpsmoodseku"/>
    <w:semiHidden/>
    <w:unhideWhenUsed/>
    <w:rsid w:val="009C12DC"/>
    <w:rPr>
      <w:rFonts w:ascii="Times New Roman" w:hAnsi="Times New Roman" w:cs="Times New Roman" w:hint="default"/>
      <w:vertAlign w:val="superscript"/>
    </w:rPr>
  </w:style>
  <w:style w:type="character" w:styleId="Siln">
    <w:name w:val="Strong"/>
    <w:basedOn w:val="Predvolenpsmoodseku"/>
    <w:uiPriority w:val="22"/>
    <w:qFormat/>
    <w:rsid w:val="009C12DC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11BB"/>
    <w:rPr>
      <w:color w:val="800080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7F2A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2A8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F2A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2A8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7474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474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474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7474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7474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474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4740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Default">
    <w:name w:val="Default"/>
    <w:rsid w:val="00403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is">
    <w:name w:val="caption"/>
    <w:basedOn w:val="Normlny"/>
    <w:next w:val="Normlny"/>
    <w:uiPriority w:val="35"/>
    <w:unhideWhenUsed/>
    <w:qFormat/>
    <w:rsid w:val="00B60AEE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M1">
    <w:name w:val="CM1"/>
    <w:basedOn w:val="Default"/>
    <w:next w:val="Default"/>
    <w:uiPriority w:val="99"/>
    <w:rsid w:val="005C32B9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C32B9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5C32B9"/>
    <w:rPr>
      <w:rFonts w:ascii="EUAlbertina" w:hAnsi="EUAlbertina" w:cstheme="minorBidi"/>
      <w:color w:val="auto"/>
    </w:rPr>
  </w:style>
  <w:style w:type="paragraph" w:customStyle="1" w:styleId="SRKNorm">
    <w:name w:val="SRK Norm."/>
    <w:basedOn w:val="Normlny"/>
    <w:next w:val="Normlny"/>
    <w:qFormat/>
    <w:rsid w:val="00DE2A0B"/>
    <w:pPr>
      <w:numPr>
        <w:numId w:val="4"/>
      </w:numPr>
      <w:spacing w:before="200" w:after="200"/>
      <w:ind w:left="714" w:hanging="357"/>
      <w:contextualSpacing/>
      <w:jc w:val="both"/>
    </w:pPr>
  </w:style>
  <w:style w:type="paragraph" w:styleId="Revzia">
    <w:name w:val="Revision"/>
    <w:hidden/>
    <w:uiPriority w:val="99"/>
    <w:semiHidden/>
    <w:rsid w:val="008C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2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ACA7-702A-414C-AB31-750700A4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Bezdickova Marcela</dc:creator>
  <cp:lastModifiedBy>Bezdickova Marcela</cp:lastModifiedBy>
  <cp:revision>3</cp:revision>
  <cp:lastPrinted>2017-04-26T14:43:00Z</cp:lastPrinted>
  <dcterms:created xsi:type="dcterms:W3CDTF">2017-06-12T11:45:00Z</dcterms:created>
  <dcterms:modified xsi:type="dcterms:W3CDTF">2017-06-12T11:46:00Z</dcterms:modified>
</cp:coreProperties>
</file>