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C4" w:rsidRPr="00D46582" w:rsidRDefault="003D48DE" w:rsidP="00D4658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Všeobecné kritériá pre výber tretích subjektov v </w:t>
      </w:r>
      <w:r w:rsidR="00325C23" w:rsidRPr="00D46582">
        <w:rPr>
          <w:b/>
          <w:sz w:val="28"/>
          <w:szCs w:val="28"/>
        </w:rPr>
        <w:t>národných projektoch</w:t>
      </w:r>
    </w:p>
    <w:p w:rsidR="00325C23" w:rsidRDefault="00325C23" w:rsidP="00A679A7">
      <w:pPr>
        <w:jc w:val="both"/>
        <w:rPr>
          <w:sz w:val="24"/>
          <w:szCs w:val="24"/>
        </w:rPr>
      </w:pPr>
      <w:r w:rsidRPr="00325C23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325C23">
        <w:rPr>
          <w:sz w:val="24"/>
          <w:szCs w:val="24"/>
        </w:rPr>
        <w:t>prípade</w:t>
      </w:r>
      <w:r>
        <w:rPr>
          <w:sz w:val="24"/>
          <w:szCs w:val="24"/>
        </w:rPr>
        <w:t xml:space="preserve"> nastavenia národných projektov v zmysle </w:t>
      </w:r>
      <w:r w:rsidR="00F41EA5">
        <w:rPr>
          <w:sz w:val="24"/>
          <w:szCs w:val="24"/>
        </w:rPr>
        <w:t xml:space="preserve">základného rámca členenia </w:t>
      </w:r>
      <w:r w:rsidR="00A679A7">
        <w:rPr>
          <w:sz w:val="24"/>
          <w:szCs w:val="24"/>
        </w:rPr>
        <w:t xml:space="preserve">národných projektov na individuálne, systémové a komplexné projekty, kde vstupujú do implementácie tretie subjekty RO pre OP ĽZ nastavuje systém všeobecných kritérií pre výber </w:t>
      </w:r>
      <w:r w:rsidR="00063FE2">
        <w:rPr>
          <w:sz w:val="24"/>
          <w:szCs w:val="24"/>
        </w:rPr>
        <w:t>tretích</w:t>
      </w:r>
      <w:r w:rsidR="00A679A7">
        <w:rPr>
          <w:sz w:val="24"/>
          <w:szCs w:val="24"/>
        </w:rPr>
        <w:t xml:space="preserve"> subjektov schválený Monitorovacím výborom pre OP ĽZ.</w:t>
      </w:r>
      <w:r w:rsidR="00C545C4">
        <w:rPr>
          <w:sz w:val="24"/>
          <w:szCs w:val="24"/>
        </w:rPr>
        <w:t xml:space="preserve"> Dané kritériá dopĺňajú výber subjektov nad rámec uplatňovania podmienok schémy </w:t>
      </w:r>
      <w:proofErr w:type="spellStart"/>
      <w:r w:rsidR="00C545C4">
        <w:rPr>
          <w:sz w:val="24"/>
          <w:szCs w:val="24"/>
        </w:rPr>
        <w:t>de</w:t>
      </w:r>
      <w:proofErr w:type="spellEnd"/>
      <w:r w:rsidR="00C545C4">
        <w:rPr>
          <w:sz w:val="24"/>
          <w:szCs w:val="24"/>
        </w:rPr>
        <w:t xml:space="preserve"> </w:t>
      </w:r>
      <w:proofErr w:type="spellStart"/>
      <w:r w:rsidR="00C545C4">
        <w:rPr>
          <w:sz w:val="24"/>
          <w:szCs w:val="24"/>
        </w:rPr>
        <w:t>minimis</w:t>
      </w:r>
      <w:proofErr w:type="spellEnd"/>
      <w:r w:rsidR="009B4C36">
        <w:rPr>
          <w:sz w:val="24"/>
          <w:szCs w:val="24"/>
        </w:rPr>
        <w:t>, príp. schémy štátnej pomoci</w:t>
      </w:r>
      <w:r w:rsidR="00C545C4">
        <w:rPr>
          <w:sz w:val="24"/>
          <w:szCs w:val="24"/>
        </w:rPr>
        <w:t xml:space="preserve">. </w:t>
      </w:r>
    </w:p>
    <w:p w:rsidR="00A679A7" w:rsidRDefault="00A679A7" w:rsidP="00A679A7">
      <w:pPr>
        <w:jc w:val="both"/>
        <w:rPr>
          <w:sz w:val="24"/>
          <w:szCs w:val="24"/>
        </w:rPr>
      </w:pPr>
      <w:r>
        <w:rPr>
          <w:sz w:val="24"/>
          <w:szCs w:val="24"/>
        </w:rPr>
        <w:t>Na úrovni Komisie pri Monitorovacom výbore pre OP ĽZ pre prioritnú os 1 Vzdelávanie,</w:t>
      </w:r>
      <w:r w:rsidRPr="00A679A7">
        <w:rPr>
          <w:sz w:val="24"/>
          <w:szCs w:val="24"/>
        </w:rPr>
        <w:t xml:space="preserve"> </w:t>
      </w:r>
      <w:r>
        <w:rPr>
          <w:sz w:val="24"/>
          <w:szCs w:val="24"/>
        </w:rPr>
        <w:t>Komisie pri Monitorovacom výbore pre OP ĽZ pre prioritné osi 2 Iniciatíva na podporu zamestnanosti mladých</w:t>
      </w:r>
      <w:r w:rsidR="002A0882">
        <w:rPr>
          <w:sz w:val="24"/>
          <w:szCs w:val="24"/>
        </w:rPr>
        <w:t xml:space="preserve"> ľudí</w:t>
      </w:r>
      <w:r>
        <w:rPr>
          <w:sz w:val="24"/>
          <w:szCs w:val="24"/>
        </w:rPr>
        <w:t>, 3 Zamestnanosť a 4 Sociálne začlenenie a Komisie pri Monitorovacom výbore pre OP ĽZ pre prioritné osi 5</w:t>
      </w:r>
      <w:r w:rsidR="008232FC">
        <w:rPr>
          <w:sz w:val="24"/>
          <w:szCs w:val="24"/>
        </w:rPr>
        <w:t xml:space="preserve"> Integrácia </w:t>
      </w:r>
      <w:proofErr w:type="spellStart"/>
      <w:r w:rsidR="008232FC">
        <w:rPr>
          <w:sz w:val="24"/>
          <w:szCs w:val="24"/>
        </w:rPr>
        <w:t>marginalizovaných</w:t>
      </w:r>
      <w:proofErr w:type="spellEnd"/>
      <w:r w:rsidR="008232FC">
        <w:rPr>
          <w:sz w:val="24"/>
          <w:szCs w:val="24"/>
        </w:rPr>
        <w:t xml:space="preserve"> rómskych komunít</w:t>
      </w:r>
      <w:r>
        <w:rPr>
          <w:sz w:val="24"/>
          <w:szCs w:val="24"/>
        </w:rPr>
        <w:t xml:space="preserve"> a</w:t>
      </w:r>
      <w:r w:rsidR="008232FC">
        <w:rPr>
          <w:sz w:val="24"/>
          <w:szCs w:val="24"/>
        </w:rPr>
        <w:t> </w:t>
      </w:r>
      <w:r>
        <w:rPr>
          <w:sz w:val="24"/>
          <w:szCs w:val="24"/>
        </w:rPr>
        <w:t>6</w:t>
      </w:r>
      <w:r w:rsidR="008232FC">
        <w:rPr>
          <w:sz w:val="24"/>
          <w:szCs w:val="24"/>
        </w:rPr>
        <w:t xml:space="preserve"> Technická vybavenosť v obciach s prítomnosťou </w:t>
      </w:r>
      <w:proofErr w:type="spellStart"/>
      <w:r w:rsidR="008232FC">
        <w:rPr>
          <w:sz w:val="24"/>
          <w:szCs w:val="24"/>
        </w:rPr>
        <w:t>marginalizovaných</w:t>
      </w:r>
      <w:proofErr w:type="spellEnd"/>
      <w:r w:rsidR="008232FC">
        <w:rPr>
          <w:sz w:val="24"/>
          <w:szCs w:val="24"/>
        </w:rPr>
        <w:t xml:space="preserve"> rómskych komunít </w:t>
      </w:r>
      <w:r w:rsidR="008232FC" w:rsidRPr="00A35F90">
        <w:rPr>
          <w:sz w:val="24"/>
          <w:szCs w:val="24"/>
          <w:u w:val="single"/>
        </w:rPr>
        <w:t>budú dané kritériá doplnené o</w:t>
      </w:r>
      <w:r w:rsidR="00A6096A" w:rsidRPr="00A35F90">
        <w:rPr>
          <w:sz w:val="24"/>
          <w:szCs w:val="24"/>
          <w:u w:val="single"/>
        </w:rPr>
        <w:t> bodové hodnotenie</w:t>
      </w:r>
      <w:r w:rsidR="00A35F90">
        <w:rPr>
          <w:sz w:val="24"/>
          <w:szCs w:val="24"/>
          <w:u w:val="single"/>
        </w:rPr>
        <w:t>, prípadne</w:t>
      </w:r>
      <w:r w:rsidR="00A6096A" w:rsidRPr="00A35F90">
        <w:rPr>
          <w:sz w:val="24"/>
          <w:szCs w:val="24"/>
          <w:u w:val="single"/>
        </w:rPr>
        <w:t xml:space="preserve"> ďalšie</w:t>
      </w:r>
      <w:r w:rsidR="008232FC" w:rsidRPr="00A35F90">
        <w:rPr>
          <w:sz w:val="24"/>
          <w:szCs w:val="24"/>
          <w:u w:val="single"/>
        </w:rPr>
        <w:t xml:space="preserve"> </w:t>
      </w:r>
      <w:r w:rsidR="00A6096A" w:rsidRPr="00A35F90">
        <w:rPr>
          <w:sz w:val="24"/>
          <w:szCs w:val="24"/>
          <w:u w:val="single"/>
        </w:rPr>
        <w:t>špecifické kritériá</w:t>
      </w:r>
      <w:r w:rsidR="002A0882" w:rsidRPr="00A35F90">
        <w:rPr>
          <w:sz w:val="24"/>
          <w:szCs w:val="24"/>
          <w:u w:val="single"/>
        </w:rPr>
        <w:t xml:space="preserve"> pre </w:t>
      </w:r>
      <w:r w:rsidR="00A35F90">
        <w:rPr>
          <w:sz w:val="24"/>
          <w:szCs w:val="24"/>
          <w:u w:val="single"/>
        </w:rPr>
        <w:t xml:space="preserve">výber </w:t>
      </w:r>
      <w:r w:rsidR="008232FC" w:rsidRPr="00A35F90">
        <w:rPr>
          <w:sz w:val="24"/>
          <w:szCs w:val="24"/>
          <w:u w:val="single"/>
        </w:rPr>
        <w:t>tretích subjektov zapojených do implementácie národného projektu</w:t>
      </w:r>
      <w:r w:rsidR="008232FC">
        <w:rPr>
          <w:sz w:val="24"/>
          <w:szCs w:val="24"/>
        </w:rPr>
        <w:t>.</w:t>
      </w:r>
      <w:r w:rsidR="00A35F90">
        <w:rPr>
          <w:sz w:val="24"/>
          <w:szCs w:val="24"/>
        </w:rPr>
        <w:t xml:space="preserve"> Doplnené kritériá</w:t>
      </w:r>
      <w:r w:rsidR="002A0882">
        <w:rPr>
          <w:sz w:val="24"/>
          <w:szCs w:val="24"/>
        </w:rPr>
        <w:t xml:space="preserve"> budú schvaľované na úrovni vyššie uvedených Komisií a budú súčasťou predkladaného zámeru národného projektu na Komisie</w:t>
      </w:r>
      <w:r w:rsidR="00A6096A">
        <w:rPr>
          <w:sz w:val="24"/>
          <w:szCs w:val="24"/>
        </w:rPr>
        <w:t xml:space="preserve"> pri Monitorovacom výbore OP</w:t>
      </w:r>
      <w:r w:rsidR="00A35F90">
        <w:rPr>
          <w:sz w:val="24"/>
          <w:szCs w:val="24"/>
        </w:rPr>
        <w:t xml:space="preserve"> </w:t>
      </w:r>
      <w:r w:rsidR="00A6096A">
        <w:rPr>
          <w:sz w:val="24"/>
          <w:szCs w:val="24"/>
        </w:rPr>
        <w:t>ĽZ</w:t>
      </w:r>
      <w:r w:rsidR="002A0882">
        <w:rPr>
          <w:sz w:val="24"/>
          <w:szCs w:val="24"/>
        </w:rPr>
        <w:t>.</w:t>
      </w:r>
    </w:p>
    <w:p w:rsidR="002A0882" w:rsidRPr="002A0882" w:rsidRDefault="002A0882" w:rsidP="002A0882">
      <w:pPr>
        <w:jc w:val="center"/>
        <w:rPr>
          <w:b/>
          <w:sz w:val="24"/>
          <w:szCs w:val="24"/>
        </w:rPr>
      </w:pPr>
      <w:r w:rsidRPr="002A0882">
        <w:rPr>
          <w:b/>
          <w:sz w:val="24"/>
          <w:szCs w:val="24"/>
        </w:rPr>
        <w:t>Všeobecné kritériá pre výber tretích subjektov</w:t>
      </w:r>
      <w:r w:rsidR="00F67D7A">
        <w:rPr>
          <w:b/>
          <w:sz w:val="24"/>
          <w:szCs w:val="24"/>
        </w:rPr>
        <w:t xml:space="preserve"> v národných projektoch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2A0882" w:rsidTr="002A0882">
        <w:tc>
          <w:tcPr>
            <w:tcW w:w="9212" w:type="dxa"/>
            <w:gridSpan w:val="2"/>
            <w:shd w:val="clear" w:color="auto" w:fill="FDE9D9" w:themeFill="accent6" w:themeFillTint="33"/>
          </w:tcPr>
          <w:p w:rsidR="002A0882" w:rsidRDefault="00DA5AE3" w:rsidP="00DA5A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Formálne kritériá</w:t>
            </w:r>
            <w:r w:rsidR="002A0882">
              <w:rPr>
                <w:sz w:val="24"/>
                <w:szCs w:val="24"/>
              </w:rPr>
              <w:t xml:space="preserve"> pre posudzovanie </w:t>
            </w:r>
            <w:r>
              <w:rPr>
                <w:sz w:val="24"/>
                <w:szCs w:val="24"/>
              </w:rPr>
              <w:t>výberu tretích subjektov</w:t>
            </w:r>
            <w:r w:rsidR="00F67D7A">
              <w:rPr>
                <w:sz w:val="24"/>
                <w:szCs w:val="24"/>
              </w:rPr>
              <w:t xml:space="preserve"> v národných projektoch</w:t>
            </w:r>
          </w:p>
        </w:tc>
      </w:tr>
      <w:tr w:rsidR="002A0882" w:rsidTr="002A0882">
        <w:tc>
          <w:tcPr>
            <w:tcW w:w="675" w:type="dxa"/>
          </w:tcPr>
          <w:p w:rsidR="002A0882" w:rsidRDefault="002A0882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2A0882" w:rsidRPr="00063FE2" w:rsidRDefault="002A0882" w:rsidP="00A679A7">
            <w:pPr>
              <w:jc w:val="both"/>
              <w:rPr>
                <w:sz w:val="24"/>
                <w:szCs w:val="24"/>
              </w:rPr>
            </w:pPr>
            <w:r w:rsidRPr="00063FE2">
              <w:rPr>
                <w:sz w:val="24"/>
                <w:szCs w:val="24"/>
              </w:rPr>
              <w:t>Podmienka nebyť dlžníkom na daniach, nebyť dlžníkom poistného na zdravotnom poistení, nebyť dlžníkom na sociálnom poistení</w:t>
            </w:r>
          </w:p>
        </w:tc>
      </w:tr>
      <w:tr w:rsidR="002A0882" w:rsidTr="002A0882">
        <w:tc>
          <w:tcPr>
            <w:tcW w:w="675" w:type="dxa"/>
          </w:tcPr>
          <w:p w:rsidR="002A0882" w:rsidRDefault="002A0882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2A0882" w:rsidRPr="00063FE2" w:rsidRDefault="002A0882" w:rsidP="00A679A7">
            <w:pPr>
              <w:jc w:val="both"/>
              <w:rPr>
                <w:sz w:val="24"/>
                <w:szCs w:val="24"/>
              </w:rPr>
            </w:pPr>
            <w:r w:rsidRPr="00063FE2">
              <w:rPr>
                <w:sz w:val="24"/>
                <w:szCs w:val="24"/>
              </w:rPr>
              <w:t>Podmienka, že voči žiadateľovi nie je vedené konkurzné konanie, reštrukturalizačné konanie, nie  je v konkurze alebo v</w:t>
            </w:r>
            <w:r w:rsidR="009B4C36" w:rsidRPr="00063FE2">
              <w:rPr>
                <w:sz w:val="24"/>
                <w:szCs w:val="24"/>
              </w:rPr>
              <w:t> </w:t>
            </w:r>
            <w:r w:rsidRPr="00063FE2">
              <w:rPr>
                <w:sz w:val="24"/>
                <w:szCs w:val="24"/>
              </w:rPr>
              <w:t>reštrukturalizácii</w:t>
            </w:r>
            <w:r w:rsidR="009B4C36" w:rsidRPr="00063FE2">
              <w:rPr>
                <w:sz w:val="24"/>
                <w:szCs w:val="24"/>
              </w:rPr>
              <w:t>, alebo nútenej správe</w:t>
            </w:r>
          </w:p>
        </w:tc>
      </w:tr>
      <w:tr w:rsidR="002A0882" w:rsidTr="002A0882">
        <w:tc>
          <w:tcPr>
            <w:tcW w:w="675" w:type="dxa"/>
          </w:tcPr>
          <w:p w:rsidR="002A0882" w:rsidRDefault="002A0882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</w:tcPr>
          <w:p w:rsidR="002A0882" w:rsidRPr="00063FE2" w:rsidRDefault="002A0882" w:rsidP="00A679A7">
            <w:pPr>
              <w:jc w:val="both"/>
              <w:rPr>
                <w:sz w:val="24"/>
                <w:szCs w:val="24"/>
              </w:rPr>
            </w:pPr>
            <w:r w:rsidRPr="00063FE2">
              <w:rPr>
                <w:sz w:val="24"/>
                <w:szCs w:val="24"/>
              </w:rPr>
              <w:t>Podmienka zákazu vedenia výkonu rozhodnutia voči žiadateľovi</w:t>
            </w:r>
          </w:p>
        </w:tc>
      </w:tr>
      <w:tr w:rsidR="002A0882" w:rsidTr="002A0882">
        <w:tc>
          <w:tcPr>
            <w:tcW w:w="675" w:type="dxa"/>
          </w:tcPr>
          <w:p w:rsidR="002A0882" w:rsidRDefault="002A0882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2A0882" w:rsidRPr="00063FE2" w:rsidRDefault="002A0882" w:rsidP="00A679A7">
            <w:pPr>
              <w:jc w:val="both"/>
              <w:rPr>
                <w:sz w:val="24"/>
                <w:szCs w:val="24"/>
              </w:rPr>
            </w:pPr>
            <w:r w:rsidRPr="00063FE2">
              <w:rPr>
                <w:sz w:val="24"/>
                <w:szCs w:val="24"/>
              </w:rPr>
              <w:t>Podmienka, že žiadateľ nie je podnikom v</w:t>
            </w:r>
            <w:r w:rsidR="00A35F90">
              <w:rPr>
                <w:sz w:val="24"/>
                <w:szCs w:val="24"/>
              </w:rPr>
              <w:t> </w:t>
            </w:r>
            <w:r w:rsidRPr="00063FE2">
              <w:rPr>
                <w:sz w:val="24"/>
                <w:szCs w:val="24"/>
              </w:rPr>
              <w:t>ťažkostiach</w:t>
            </w:r>
            <w:r w:rsidR="00A35F90">
              <w:rPr>
                <w:sz w:val="24"/>
                <w:szCs w:val="24"/>
              </w:rPr>
              <w:t xml:space="preserve"> (ak relevantné)</w:t>
            </w:r>
          </w:p>
        </w:tc>
      </w:tr>
      <w:tr w:rsidR="002A0882" w:rsidTr="002A0882">
        <w:tc>
          <w:tcPr>
            <w:tcW w:w="675" w:type="dxa"/>
          </w:tcPr>
          <w:p w:rsidR="002A0882" w:rsidRDefault="00A35F90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2A0882" w:rsidRDefault="002A0882" w:rsidP="00A679A7">
            <w:pPr>
              <w:jc w:val="both"/>
              <w:rPr>
                <w:sz w:val="24"/>
                <w:szCs w:val="24"/>
              </w:rPr>
            </w:pPr>
            <w:r w:rsidRPr="002A0882">
              <w:rPr>
                <w:sz w:val="24"/>
                <w:szCs w:val="24"/>
              </w:rPr>
              <w:t>Podmienka, že voči žiadateľovi sa nenárokuje vrátenie pomoci na základe rozhodnutia EK, ktorým bola pomoc označená za neoprávnenú a</w:t>
            </w:r>
            <w:r w:rsidR="009B4C36">
              <w:rPr>
                <w:sz w:val="24"/>
                <w:szCs w:val="24"/>
              </w:rPr>
              <w:t xml:space="preserve"> nezlučiteľnú so spoločným trhom </w:t>
            </w:r>
          </w:p>
        </w:tc>
      </w:tr>
      <w:tr w:rsidR="002A0882" w:rsidTr="002A0882">
        <w:tc>
          <w:tcPr>
            <w:tcW w:w="675" w:type="dxa"/>
          </w:tcPr>
          <w:p w:rsidR="002A0882" w:rsidRDefault="00A35F90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A0882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2A0882" w:rsidRDefault="002A0882" w:rsidP="00A679A7">
            <w:pPr>
              <w:jc w:val="both"/>
              <w:rPr>
                <w:sz w:val="24"/>
                <w:szCs w:val="24"/>
              </w:rPr>
            </w:pPr>
            <w:r w:rsidRPr="002A0882">
              <w:rPr>
                <w:sz w:val="24"/>
                <w:szCs w:val="24"/>
              </w:rPr>
              <w:t>Podmienka finančnej spôsobilosti spolufinancovania projektu</w:t>
            </w:r>
          </w:p>
        </w:tc>
      </w:tr>
      <w:tr w:rsidR="009B4C36" w:rsidTr="002A0882">
        <w:tc>
          <w:tcPr>
            <w:tcW w:w="675" w:type="dxa"/>
          </w:tcPr>
          <w:p w:rsidR="009B4C36" w:rsidRDefault="00A35F90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92F7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9B4C36" w:rsidRPr="002A0882" w:rsidRDefault="00E92F78" w:rsidP="00A679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Podmienka  identifikácie žiadateľa a štatutárneho zástupcu</w:t>
            </w:r>
          </w:p>
        </w:tc>
      </w:tr>
      <w:tr w:rsidR="002A0882" w:rsidTr="002A0882">
        <w:tc>
          <w:tcPr>
            <w:tcW w:w="675" w:type="dxa"/>
          </w:tcPr>
          <w:p w:rsidR="002A0882" w:rsidRDefault="00A35F90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92F7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2A0882" w:rsidRPr="002A0882" w:rsidRDefault="002A0882" w:rsidP="002A0882">
            <w:pPr>
              <w:jc w:val="both"/>
              <w:rPr>
                <w:sz w:val="24"/>
                <w:szCs w:val="24"/>
              </w:rPr>
            </w:pPr>
            <w:r w:rsidRPr="002A0882">
              <w:rPr>
                <w:sz w:val="24"/>
                <w:szCs w:val="24"/>
              </w:rPr>
              <w:t>Podmienka, že žiadateľ ani jeho štatutárny orgán, ani žiadny člen štatutárneho orgánu, ani prokurista/i, ani osoba splnomocnená zastupo</w:t>
            </w:r>
            <w:r w:rsidR="009B4C36">
              <w:rPr>
                <w:sz w:val="24"/>
                <w:szCs w:val="24"/>
              </w:rPr>
              <w:t>vať žiadateľa v</w:t>
            </w:r>
            <w:r w:rsidR="001D3467">
              <w:rPr>
                <w:sz w:val="24"/>
                <w:szCs w:val="24"/>
              </w:rPr>
              <w:t> procese poskytnutia podpory</w:t>
            </w:r>
            <w:r w:rsidRPr="002A0882">
              <w:rPr>
                <w:sz w:val="24"/>
                <w:szCs w:val="24"/>
              </w:rPr>
              <w:t xml:space="preserve"> neboli právoplatne odsúdení za trestný čin korupcie, za trestný čin poškodzovania finančných záujmov Európskych spoločenstiev, za trestný čin legalizácie príjmu z trestnej činnosti, za trestný čin založenia, zosnovania a podporovania zločineckej skupiny, alebo za trestný čin machinácie pri verejnom obstarávaní a verejnej dražbe </w:t>
            </w:r>
          </w:p>
          <w:p w:rsidR="002A0882" w:rsidRPr="002A0882" w:rsidRDefault="002A0882" w:rsidP="002A0882">
            <w:pPr>
              <w:jc w:val="both"/>
              <w:rPr>
                <w:sz w:val="24"/>
                <w:szCs w:val="24"/>
              </w:rPr>
            </w:pPr>
            <w:r w:rsidRPr="002A0882">
              <w:rPr>
                <w:sz w:val="24"/>
                <w:szCs w:val="24"/>
              </w:rPr>
              <w:t>d) trestný čin založenia, zosnovania a podporovania zločineckej skupiny (§296 Trestného zákona)</w:t>
            </w:r>
          </w:p>
          <w:p w:rsidR="002A0882" w:rsidRDefault="002A0882" w:rsidP="002A0882">
            <w:pPr>
              <w:jc w:val="both"/>
              <w:rPr>
                <w:sz w:val="24"/>
                <w:szCs w:val="24"/>
              </w:rPr>
            </w:pPr>
            <w:r w:rsidRPr="002A0882">
              <w:rPr>
                <w:sz w:val="24"/>
                <w:szCs w:val="24"/>
              </w:rPr>
              <w:t>e) machinácie pri verejnom obstarávaní a verejnej dražbe (§ 266 až § 268 Trestného zákona).</w:t>
            </w:r>
          </w:p>
        </w:tc>
      </w:tr>
      <w:tr w:rsidR="002A0882" w:rsidTr="002A0882">
        <w:tc>
          <w:tcPr>
            <w:tcW w:w="675" w:type="dxa"/>
          </w:tcPr>
          <w:p w:rsidR="002A0882" w:rsidRDefault="00A35F90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92F7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2A0882" w:rsidRDefault="00DA5AE3" w:rsidP="00A679A7">
            <w:pPr>
              <w:jc w:val="both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Podmienka neporušenia zákazu nelegálnej práce a nelegálneho zamestnávania za </w:t>
            </w:r>
            <w:r w:rsidRPr="00DA5AE3">
              <w:rPr>
                <w:sz w:val="24"/>
                <w:szCs w:val="24"/>
              </w:rPr>
              <w:lastRenderedPageBreak/>
              <w:t xml:space="preserve">obdobie 5 rokov predchádzajúcich </w:t>
            </w:r>
            <w:r w:rsidR="009B4C36">
              <w:rPr>
                <w:sz w:val="24"/>
                <w:szCs w:val="24"/>
              </w:rPr>
              <w:t xml:space="preserve">k </w:t>
            </w:r>
            <w:r w:rsidRPr="00DA5AE3">
              <w:rPr>
                <w:sz w:val="24"/>
                <w:szCs w:val="24"/>
              </w:rPr>
              <w:t>podani</w:t>
            </w:r>
            <w:r w:rsidR="009B4C36">
              <w:rPr>
                <w:sz w:val="24"/>
                <w:szCs w:val="24"/>
              </w:rPr>
              <w:t>u žiadosti</w:t>
            </w:r>
          </w:p>
        </w:tc>
      </w:tr>
      <w:tr w:rsidR="002A0882" w:rsidTr="002A0882">
        <w:tc>
          <w:tcPr>
            <w:tcW w:w="675" w:type="dxa"/>
          </w:tcPr>
          <w:p w:rsidR="002A0882" w:rsidRDefault="00A35F90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E92F7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2A0882" w:rsidRDefault="00A35F90" w:rsidP="00A679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Podmienka</w:t>
            </w:r>
            <w:r w:rsidR="00DA5AE3" w:rsidRPr="00DA5AE3">
              <w:rPr>
                <w:sz w:val="24"/>
                <w:szCs w:val="24"/>
              </w:rPr>
              <w:t xml:space="preserve"> oprávnenosti aktivít projektu</w:t>
            </w:r>
            <w:r w:rsidR="009B4C36">
              <w:rPr>
                <w:sz w:val="24"/>
                <w:szCs w:val="24"/>
              </w:rPr>
              <w:t xml:space="preserve"> (zriaďovacia listina</w:t>
            </w:r>
            <w:r w:rsidR="00B84DF2">
              <w:rPr>
                <w:sz w:val="24"/>
                <w:szCs w:val="24"/>
              </w:rPr>
              <w:t>/štatút</w:t>
            </w:r>
            <w:r w:rsidR="009B4C36">
              <w:rPr>
                <w:sz w:val="24"/>
                <w:szCs w:val="24"/>
              </w:rPr>
              <w:t xml:space="preserve">, výpis z príslušného registra, </w:t>
            </w:r>
            <w:r w:rsidR="00B84DF2">
              <w:rPr>
                <w:sz w:val="24"/>
                <w:szCs w:val="24"/>
              </w:rPr>
              <w:t>oprávnenie podľa osobitného predpisu</w:t>
            </w:r>
            <w:r w:rsidR="009B4C36">
              <w:rPr>
                <w:sz w:val="24"/>
                <w:szCs w:val="24"/>
              </w:rPr>
              <w:t>)</w:t>
            </w:r>
          </w:p>
        </w:tc>
      </w:tr>
      <w:tr w:rsidR="002A0882" w:rsidTr="002A0882">
        <w:tc>
          <w:tcPr>
            <w:tcW w:w="675" w:type="dxa"/>
          </w:tcPr>
          <w:p w:rsidR="002A0882" w:rsidRDefault="00A35F90" w:rsidP="00A35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92F7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2A0882" w:rsidRDefault="00DA5AE3" w:rsidP="00A679A7">
            <w:pPr>
              <w:jc w:val="both"/>
              <w:rPr>
                <w:sz w:val="24"/>
                <w:szCs w:val="24"/>
              </w:rPr>
            </w:pPr>
            <w:commentRangeStart w:id="1"/>
            <w:r w:rsidRPr="00DA5AE3">
              <w:rPr>
                <w:sz w:val="24"/>
                <w:szCs w:val="24"/>
              </w:rPr>
              <w:t>Podmienka dostatočnej administratívnej kapacity na riadenie projektu</w:t>
            </w:r>
            <w:r w:rsidR="00A35F90">
              <w:rPr>
                <w:sz w:val="24"/>
                <w:szCs w:val="24"/>
              </w:rPr>
              <w:t xml:space="preserve"> (ak je relevantné)</w:t>
            </w:r>
            <w:commentRangeEnd w:id="1"/>
            <w:r w:rsidR="00184DD5">
              <w:rPr>
                <w:rStyle w:val="Odkaznakomentr"/>
              </w:rPr>
              <w:commentReference w:id="1"/>
            </w:r>
          </w:p>
        </w:tc>
      </w:tr>
    </w:tbl>
    <w:p w:rsidR="00325C23" w:rsidRDefault="00325C23" w:rsidP="00A679A7">
      <w:pPr>
        <w:jc w:val="both"/>
        <w:rPr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6694"/>
      </w:tblGrid>
      <w:tr w:rsidR="00F67D7A" w:rsidTr="00A56BE2">
        <w:tc>
          <w:tcPr>
            <w:tcW w:w="9212" w:type="dxa"/>
            <w:gridSpan w:val="3"/>
            <w:shd w:val="clear" w:color="auto" w:fill="FDE9D9" w:themeFill="accent6" w:themeFillTint="33"/>
          </w:tcPr>
          <w:p w:rsidR="00F67D7A" w:rsidRDefault="00F67D7A" w:rsidP="00A56B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Odborné a technické kritériá pre posudzovanie výberu tretích subjektov v národných projektoch</w:t>
            </w:r>
          </w:p>
        </w:tc>
      </w:tr>
      <w:tr w:rsidR="00F67D7A" w:rsidTr="00F67D7A">
        <w:tc>
          <w:tcPr>
            <w:tcW w:w="675" w:type="dxa"/>
          </w:tcPr>
          <w:p w:rsidR="00F67D7A" w:rsidRDefault="00F67D7A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  <w:r w:rsidR="00F61C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č.</w:t>
            </w:r>
          </w:p>
        </w:tc>
        <w:tc>
          <w:tcPr>
            <w:tcW w:w="1843" w:type="dxa"/>
          </w:tcPr>
          <w:p w:rsidR="00F67D7A" w:rsidRPr="00063FE2" w:rsidRDefault="00F67D7A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Oblasť</w:t>
            </w:r>
          </w:p>
        </w:tc>
        <w:tc>
          <w:tcPr>
            <w:tcW w:w="6694" w:type="dxa"/>
          </w:tcPr>
          <w:p w:rsidR="00F67D7A" w:rsidRPr="00063FE2" w:rsidRDefault="00F67D7A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Názov kritéria</w:t>
            </w:r>
          </w:p>
        </w:tc>
      </w:tr>
      <w:tr w:rsidR="00F67D7A" w:rsidTr="00F67D7A">
        <w:tc>
          <w:tcPr>
            <w:tcW w:w="675" w:type="dxa"/>
          </w:tcPr>
          <w:p w:rsidR="00F67D7A" w:rsidRDefault="00F67D7A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F67D7A" w:rsidRPr="00063FE2" w:rsidRDefault="003E41BF" w:rsidP="0073248F">
            <w:pPr>
              <w:jc w:val="center"/>
              <w:rPr>
                <w:sz w:val="24"/>
                <w:szCs w:val="24"/>
              </w:rPr>
            </w:pPr>
            <w:r w:rsidRPr="003E41BF">
              <w:rPr>
                <w:sz w:val="24"/>
                <w:szCs w:val="24"/>
              </w:rPr>
              <w:t>Pôsobenie na trhu práce</w:t>
            </w:r>
          </w:p>
        </w:tc>
        <w:tc>
          <w:tcPr>
            <w:tcW w:w="6694" w:type="dxa"/>
          </w:tcPr>
          <w:p w:rsidR="00F67D7A" w:rsidRPr="00063FE2" w:rsidRDefault="003E41BF" w:rsidP="003E41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Posudzovanie dĺžky existencie subjektu na trhu </w:t>
            </w:r>
          </w:p>
        </w:tc>
      </w:tr>
      <w:tr w:rsidR="00F67D7A" w:rsidTr="00F67D7A">
        <w:tc>
          <w:tcPr>
            <w:tcW w:w="675" w:type="dxa"/>
          </w:tcPr>
          <w:p w:rsidR="00F67D7A" w:rsidRDefault="00F67D7A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F67D7A" w:rsidRDefault="003E41BF" w:rsidP="0073248F">
            <w:pPr>
              <w:jc w:val="center"/>
              <w:rPr>
                <w:sz w:val="24"/>
                <w:szCs w:val="24"/>
              </w:rPr>
            </w:pPr>
            <w:commentRangeStart w:id="2"/>
            <w:r>
              <w:rPr>
                <w:sz w:val="24"/>
                <w:szCs w:val="24"/>
              </w:rPr>
              <w:t>Podpora ľudských zdrojov</w:t>
            </w:r>
          </w:p>
        </w:tc>
        <w:tc>
          <w:tcPr>
            <w:tcW w:w="6694" w:type="dxa"/>
          </w:tcPr>
          <w:p w:rsidR="00F67D7A" w:rsidRPr="00063FE2" w:rsidRDefault="00025233" w:rsidP="00025233">
            <w:pPr>
              <w:jc w:val="both"/>
              <w:rPr>
                <w:sz w:val="24"/>
                <w:szCs w:val="24"/>
              </w:rPr>
            </w:pPr>
            <w:r w:rsidRPr="001D3467">
              <w:rPr>
                <w:sz w:val="24"/>
                <w:szCs w:val="24"/>
              </w:rPr>
              <w:t>Preukázanie udržania pracovných miest v priebehu predchád</w:t>
            </w:r>
            <w:r>
              <w:rPr>
                <w:sz w:val="24"/>
                <w:szCs w:val="24"/>
              </w:rPr>
              <w:t>z</w:t>
            </w:r>
            <w:r w:rsidRPr="001D3467">
              <w:rPr>
                <w:sz w:val="24"/>
                <w:szCs w:val="24"/>
              </w:rPr>
              <w:t xml:space="preserve">ajúcich </w:t>
            </w:r>
            <w:r w:rsidRPr="00025233">
              <w:rPr>
                <w:sz w:val="24"/>
                <w:szCs w:val="24"/>
              </w:rPr>
              <w:t>2 rokov</w:t>
            </w:r>
            <w:r w:rsidRPr="001D3467">
              <w:rPr>
                <w:sz w:val="24"/>
                <w:szCs w:val="24"/>
              </w:rPr>
              <w:t xml:space="preserve"> (nedošlo k úbytku pracovných miest</w:t>
            </w:r>
            <w:r>
              <w:rPr>
                <w:sz w:val="24"/>
                <w:szCs w:val="24"/>
              </w:rPr>
              <w:t xml:space="preserve"> za predchádzajúce sledované obdobie</w:t>
            </w:r>
            <w:r w:rsidRPr="001D3467">
              <w:rPr>
                <w:sz w:val="24"/>
                <w:szCs w:val="24"/>
              </w:rPr>
              <w:t>)</w:t>
            </w:r>
            <w:commentRangeEnd w:id="2"/>
            <w:r w:rsidR="00184DD5">
              <w:rPr>
                <w:rStyle w:val="Odkaznakomentr"/>
              </w:rPr>
              <w:commentReference w:id="2"/>
            </w:r>
          </w:p>
        </w:tc>
      </w:tr>
      <w:tr w:rsidR="00025233" w:rsidTr="0073248F">
        <w:trPr>
          <w:trHeight w:val="294"/>
        </w:trPr>
        <w:tc>
          <w:tcPr>
            <w:tcW w:w="675" w:type="dxa"/>
            <w:vMerge w:val="restart"/>
          </w:tcPr>
          <w:p w:rsidR="00025233" w:rsidRDefault="00F61C3D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25233" w:rsidRPr="00063FE2" w:rsidRDefault="0073248F" w:rsidP="00732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Poskytovanie služby</w:t>
            </w:r>
          </w:p>
        </w:tc>
        <w:tc>
          <w:tcPr>
            <w:tcW w:w="6694" w:type="dxa"/>
          </w:tcPr>
          <w:p w:rsidR="00025233" w:rsidRPr="00063FE2" w:rsidRDefault="00025233" w:rsidP="00A56B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Rozsah poskytovaných služieb v rámci celkovej činnosti subjektu</w:t>
            </w:r>
          </w:p>
        </w:tc>
      </w:tr>
      <w:tr w:rsidR="00025233" w:rsidTr="0073248F">
        <w:trPr>
          <w:trHeight w:val="294"/>
        </w:trPr>
        <w:tc>
          <w:tcPr>
            <w:tcW w:w="675" w:type="dxa"/>
            <w:vMerge/>
          </w:tcPr>
          <w:p w:rsidR="00025233" w:rsidRDefault="00025233" w:rsidP="00F67D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25233" w:rsidRDefault="00025233" w:rsidP="007324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025233" w:rsidRPr="00063FE2" w:rsidRDefault="00025233" w:rsidP="000252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Skúsenosti s poskytovaním služieb v súlade s oprávnenými aktivitami v národnom projekte</w:t>
            </w:r>
            <w:r w:rsidR="00053F18">
              <w:rPr>
                <w:sz w:val="24"/>
                <w:szCs w:val="24"/>
              </w:rPr>
              <w:t xml:space="preserve"> (časové obdobie poskytovania služieb)</w:t>
            </w:r>
          </w:p>
        </w:tc>
      </w:tr>
      <w:tr w:rsidR="00F67D7A" w:rsidTr="00F67D7A">
        <w:tc>
          <w:tcPr>
            <w:tcW w:w="675" w:type="dxa"/>
          </w:tcPr>
          <w:p w:rsidR="00F67D7A" w:rsidRDefault="00F61C3D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F67D7A" w:rsidRPr="00063FE2" w:rsidRDefault="00F67D7A" w:rsidP="00732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Skúsenosti s projektmi EÚ</w:t>
            </w:r>
          </w:p>
        </w:tc>
        <w:tc>
          <w:tcPr>
            <w:tcW w:w="6694" w:type="dxa"/>
          </w:tcPr>
          <w:p w:rsidR="00F67D7A" w:rsidRPr="00063FE2" w:rsidRDefault="00053F18" w:rsidP="00A56B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Skúsenosti s realizáciou projektov financovaných zo zdrojov EÚ (ESF/ERDF a iné finančné nástroje)</w:t>
            </w:r>
          </w:p>
        </w:tc>
      </w:tr>
      <w:tr w:rsidR="00F67D7A" w:rsidTr="00F67D7A">
        <w:tc>
          <w:tcPr>
            <w:tcW w:w="675" w:type="dxa"/>
          </w:tcPr>
          <w:p w:rsidR="00F67D7A" w:rsidRDefault="00F61C3D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F67D7A" w:rsidRPr="00063FE2" w:rsidRDefault="00F67D7A" w:rsidP="00732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Disponibilita potrebného vybavenia</w:t>
            </w:r>
          </w:p>
        </w:tc>
        <w:tc>
          <w:tcPr>
            <w:tcW w:w="6694" w:type="dxa"/>
          </w:tcPr>
          <w:p w:rsidR="00F67D7A" w:rsidRPr="00063FE2" w:rsidRDefault="00F61C3D" w:rsidP="00A56B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Existencia dost</w:t>
            </w:r>
            <w:r w:rsidR="00053F18">
              <w:rPr>
                <w:sz w:val="24"/>
                <w:szCs w:val="24"/>
              </w:rPr>
              <w:t>a</w:t>
            </w:r>
            <w:r w:rsidR="00053F18" w:rsidRPr="00DA5AE3">
              <w:rPr>
                <w:sz w:val="24"/>
                <w:szCs w:val="24"/>
              </w:rPr>
              <w:t xml:space="preserve">točného technického vybavenia </w:t>
            </w:r>
            <w:r>
              <w:rPr>
                <w:sz w:val="24"/>
                <w:szCs w:val="24"/>
              </w:rPr>
              <w:t xml:space="preserve">a priestorov </w:t>
            </w:r>
            <w:r w:rsidR="00053F18" w:rsidRPr="00DA5AE3">
              <w:rPr>
                <w:sz w:val="24"/>
                <w:szCs w:val="24"/>
              </w:rPr>
              <w:t>na implementáciu projektu</w:t>
            </w:r>
            <w:r w:rsidR="00053F18">
              <w:rPr>
                <w:sz w:val="24"/>
                <w:szCs w:val="24"/>
              </w:rPr>
              <w:t xml:space="preserve"> (kópia zmluvy o prenájme/listu vlastníctva ak relevantné)</w:t>
            </w:r>
          </w:p>
        </w:tc>
      </w:tr>
      <w:tr w:rsidR="00F61C3D" w:rsidTr="00F61C3D">
        <w:tc>
          <w:tcPr>
            <w:tcW w:w="9212" w:type="dxa"/>
            <w:gridSpan w:val="3"/>
            <w:shd w:val="clear" w:color="auto" w:fill="FDE9D9" w:themeFill="accent6" w:themeFillTint="33"/>
          </w:tcPr>
          <w:p w:rsidR="00F61C3D" w:rsidRDefault="00F61C3D" w:rsidP="00A56B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Špecifické </w:t>
            </w:r>
            <w:r w:rsidR="00FC2ECA">
              <w:rPr>
                <w:sz w:val="24"/>
                <w:szCs w:val="24"/>
              </w:rPr>
              <w:t xml:space="preserve">odborné </w:t>
            </w:r>
            <w:r>
              <w:rPr>
                <w:sz w:val="24"/>
                <w:szCs w:val="24"/>
              </w:rPr>
              <w:t>kritériá</w:t>
            </w:r>
            <w:r w:rsidR="00FC2ECA">
              <w:rPr>
                <w:sz w:val="24"/>
                <w:szCs w:val="24"/>
              </w:rPr>
              <w:t xml:space="preserve"> pre posudzovanie výberu tretích subjektov v národných projektoch</w:t>
            </w:r>
          </w:p>
        </w:tc>
      </w:tr>
      <w:tr w:rsidR="00F61C3D" w:rsidTr="00D14543">
        <w:tc>
          <w:tcPr>
            <w:tcW w:w="675" w:type="dxa"/>
          </w:tcPr>
          <w:p w:rsidR="00F61C3D" w:rsidRDefault="00F61C3D" w:rsidP="00F67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  <w:gridSpan w:val="2"/>
          </w:tcPr>
          <w:p w:rsidR="00F61C3D" w:rsidRDefault="00F61C3D" w:rsidP="00A56B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Špecifické odborné predpoklady subjektu (v zmysle osobitných predpisov/legislatívy, príp. podmienok vyzvania)</w:t>
            </w:r>
          </w:p>
        </w:tc>
      </w:tr>
    </w:tbl>
    <w:p w:rsidR="00564404" w:rsidRDefault="00564404" w:rsidP="00564404">
      <w:pPr>
        <w:jc w:val="both"/>
        <w:rPr>
          <w:sz w:val="24"/>
          <w:szCs w:val="24"/>
        </w:rPr>
      </w:pPr>
    </w:p>
    <w:p w:rsidR="006129AF" w:rsidRDefault="006129AF" w:rsidP="00564404">
      <w:pPr>
        <w:jc w:val="both"/>
        <w:rPr>
          <w:sz w:val="24"/>
          <w:szCs w:val="24"/>
        </w:rPr>
      </w:pPr>
      <w:r>
        <w:rPr>
          <w:sz w:val="24"/>
          <w:szCs w:val="24"/>
        </w:rPr>
        <w:t>Povinnou súčasťou schválenia zámerov národných projektoch v Komisiách pri MV OP ĽZ s účasťou tretích subjektov na implementácií národného projektu je schválenie Všeobecných kritérií</w:t>
      </w:r>
      <w:r w:rsidRPr="006129AF">
        <w:rPr>
          <w:sz w:val="24"/>
          <w:szCs w:val="24"/>
        </w:rPr>
        <w:t xml:space="preserve"> pre výber tretích subjektov v národných projektoch</w:t>
      </w:r>
      <w:r>
        <w:rPr>
          <w:sz w:val="24"/>
          <w:szCs w:val="24"/>
        </w:rPr>
        <w:t xml:space="preserve"> v rozsahu:</w:t>
      </w:r>
    </w:p>
    <w:p w:rsidR="006129AF" w:rsidRDefault="006129AF" w:rsidP="00564404">
      <w:pPr>
        <w:jc w:val="both"/>
        <w:rPr>
          <w:sz w:val="24"/>
          <w:szCs w:val="24"/>
        </w:rPr>
      </w:pPr>
      <w:r>
        <w:rPr>
          <w:sz w:val="24"/>
          <w:szCs w:val="24"/>
        </w:rPr>
        <w:t>- všetkých vyššie uvedených Formálnych kritérií pre posudzovanie výberu tretích subjektov v národných projektoch;</w:t>
      </w:r>
    </w:p>
    <w:p w:rsidR="006129AF" w:rsidRDefault="006129AF" w:rsidP="00564404">
      <w:pPr>
        <w:jc w:val="both"/>
        <w:rPr>
          <w:sz w:val="24"/>
          <w:szCs w:val="24"/>
        </w:rPr>
      </w:pPr>
      <w:r>
        <w:rPr>
          <w:sz w:val="24"/>
          <w:szCs w:val="24"/>
        </w:rPr>
        <w:t>- minimálne dvoch oblastí a optimálne troch až štyroch oblastí</w:t>
      </w:r>
      <w:r w:rsidRPr="006129AF">
        <w:rPr>
          <w:sz w:val="24"/>
          <w:szCs w:val="24"/>
        </w:rPr>
        <w:t xml:space="preserve"> </w:t>
      </w:r>
      <w:r>
        <w:rPr>
          <w:sz w:val="24"/>
          <w:szCs w:val="24"/>
        </w:rPr>
        <w:t>z vyššie uvedených Odborných a technických kritérií pre posudzovanie výberu tretích subjektov v národných projektoch.</w:t>
      </w:r>
    </w:p>
    <w:sectPr w:rsidR="006129AF" w:rsidSect="00F11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etra" w:date="2016-08-15T14:20:00Z" w:initials="P">
    <w:p w:rsidR="00184DD5" w:rsidRDefault="00184DD5">
      <w:pPr>
        <w:pStyle w:val="Textkomentra"/>
      </w:pPr>
      <w:r>
        <w:rPr>
          <w:rStyle w:val="Odkaznakomentr"/>
        </w:rPr>
        <w:annotationRef/>
      </w:r>
      <w:r>
        <w:t xml:space="preserve">Dana podmienka by nemala byt </w:t>
      </w:r>
      <w:proofErr w:type="spellStart"/>
      <w:r>
        <w:t>zahrnuta</w:t>
      </w:r>
      <w:proofErr w:type="spellEnd"/>
      <w:r>
        <w:t xml:space="preserve"> vo </w:t>
      </w:r>
      <w:proofErr w:type="spellStart"/>
      <w:r>
        <w:t>formalnych</w:t>
      </w:r>
      <w:proofErr w:type="spellEnd"/>
      <w:r>
        <w:t xml:space="preserve"> </w:t>
      </w:r>
      <w:proofErr w:type="spellStart"/>
      <w:r>
        <w:t>kriteriach</w:t>
      </w:r>
      <w:proofErr w:type="spellEnd"/>
      <w:r>
        <w:t xml:space="preserve"> a preto ju navrhujeme </w:t>
      </w:r>
      <w:proofErr w:type="spellStart"/>
      <w:r>
        <w:t>presunut</w:t>
      </w:r>
      <w:proofErr w:type="spellEnd"/>
      <w:r>
        <w:t xml:space="preserve"> do </w:t>
      </w:r>
      <w:proofErr w:type="spellStart"/>
      <w:r>
        <w:t>odbornych</w:t>
      </w:r>
      <w:proofErr w:type="spellEnd"/>
      <w:r>
        <w:t xml:space="preserve"> </w:t>
      </w:r>
      <w:proofErr w:type="spellStart"/>
      <w:r>
        <w:t>kriterii</w:t>
      </w:r>
      <w:proofErr w:type="spellEnd"/>
      <w:r w:rsidR="00D26C93">
        <w:t xml:space="preserve"> (aby nebola </w:t>
      </w:r>
      <w:proofErr w:type="spellStart"/>
      <w:r w:rsidR="00D26C93">
        <w:t>oznacena</w:t>
      </w:r>
      <w:proofErr w:type="spellEnd"/>
      <w:r w:rsidR="00D26C93">
        <w:t xml:space="preserve"> za </w:t>
      </w:r>
      <w:proofErr w:type="spellStart"/>
      <w:r w:rsidR="00D26C93">
        <w:t>vylucovaciu</w:t>
      </w:r>
      <w:proofErr w:type="spellEnd"/>
      <w:r w:rsidR="00D26C93">
        <w:t>)</w:t>
      </w:r>
    </w:p>
  </w:comment>
  <w:comment w:id="2" w:author="Petra" w:date="2016-08-15T13:18:00Z" w:initials="P">
    <w:p w:rsidR="00184DD5" w:rsidRDefault="00184DD5">
      <w:pPr>
        <w:pStyle w:val="Textkomentra"/>
      </w:pPr>
      <w:r>
        <w:rPr>
          <w:rStyle w:val="Odkaznakomentr"/>
        </w:rPr>
        <w:annotationRef/>
      </w:r>
      <w:proofErr w:type="spellStart"/>
      <w:r>
        <w:t>Kriterium</w:t>
      </w:r>
      <w:proofErr w:type="spellEnd"/>
      <w:r>
        <w:t xml:space="preserve"> navrhujeme </w:t>
      </w:r>
      <w:proofErr w:type="spellStart"/>
      <w:r>
        <w:t>vypustit</w:t>
      </w:r>
      <w:proofErr w:type="spellEnd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23"/>
    <w:rsid w:val="00025233"/>
    <w:rsid w:val="00053F18"/>
    <w:rsid w:val="00063FE2"/>
    <w:rsid w:val="00184DD5"/>
    <w:rsid w:val="001D3467"/>
    <w:rsid w:val="002A0882"/>
    <w:rsid w:val="00325C23"/>
    <w:rsid w:val="00381F7F"/>
    <w:rsid w:val="003D48DE"/>
    <w:rsid w:val="003E41BF"/>
    <w:rsid w:val="004605FE"/>
    <w:rsid w:val="00473AC4"/>
    <w:rsid w:val="00564404"/>
    <w:rsid w:val="006129AF"/>
    <w:rsid w:val="00622503"/>
    <w:rsid w:val="0073248F"/>
    <w:rsid w:val="008232FC"/>
    <w:rsid w:val="009B4C36"/>
    <w:rsid w:val="00A35F90"/>
    <w:rsid w:val="00A6096A"/>
    <w:rsid w:val="00A679A7"/>
    <w:rsid w:val="00B84DF2"/>
    <w:rsid w:val="00BF47D2"/>
    <w:rsid w:val="00C545C4"/>
    <w:rsid w:val="00D26C93"/>
    <w:rsid w:val="00D46582"/>
    <w:rsid w:val="00DA5AE3"/>
    <w:rsid w:val="00DB513D"/>
    <w:rsid w:val="00E92F78"/>
    <w:rsid w:val="00F11D71"/>
    <w:rsid w:val="00F41EA5"/>
    <w:rsid w:val="00F61C3D"/>
    <w:rsid w:val="00F67D7A"/>
    <w:rsid w:val="00FC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A0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184D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84DD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84DD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4D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4DD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4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A0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184D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84DD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84DD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4D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4DD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4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74BC7-B9DD-4D47-A10C-1C60C6B1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KOVÁCSOVÁ Katarína</dc:creator>
  <cp:lastModifiedBy>Steinerová Viera</cp:lastModifiedBy>
  <cp:revision>2</cp:revision>
  <dcterms:created xsi:type="dcterms:W3CDTF">2016-09-05T12:07:00Z</dcterms:created>
  <dcterms:modified xsi:type="dcterms:W3CDTF">2016-09-05T12:07:00Z</dcterms:modified>
</cp:coreProperties>
</file>