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84348" w14:textId="77777777" w:rsidR="004D0302" w:rsidRPr="001E49EA" w:rsidRDefault="004D0302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</w:p>
    <w:p w14:paraId="39284349" w14:textId="77777777" w:rsidR="005D5C9E" w:rsidRPr="009012BE" w:rsidRDefault="005D5C9E" w:rsidP="000A4693">
      <w:pPr>
        <w:jc w:val="both"/>
        <w:rPr>
          <w:rFonts w:ascii="Verdana" w:hAnsi="Verdana"/>
          <w:b/>
          <w:bCs/>
          <w:color w:val="1F4E79" w:themeColor="accent1" w:themeShade="80"/>
          <w:sz w:val="28"/>
        </w:rPr>
      </w:pPr>
      <w:r w:rsidRPr="009012B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Učebné úlohy k metodickému listu rozvoja finančnej kultúry</w:t>
      </w:r>
    </w:p>
    <w:p w14:paraId="3928434A" w14:textId="77777777" w:rsidR="00131651" w:rsidRPr="009012BE" w:rsidRDefault="004D0302" w:rsidP="008D081F">
      <w:pPr>
        <w:pStyle w:val="Nadpis1"/>
        <w:rPr>
          <w:rFonts w:ascii="Verdana" w:hAnsi="Verdana"/>
          <w:color w:val="1F4E79" w:themeColor="accent1" w:themeShade="80"/>
        </w:rPr>
      </w:pPr>
      <w:r w:rsidRPr="009012BE">
        <w:rPr>
          <w:rFonts w:ascii="Verdana" w:hAnsi="Verdana"/>
          <w:color w:val="1F4E79" w:themeColor="accent1" w:themeShade="80"/>
        </w:rPr>
        <w:t>Metodický list</w:t>
      </w:r>
      <w:r w:rsidR="004438AB" w:rsidRPr="009012BE">
        <w:rPr>
          <w:rFonts w:ascii="Verdana" w:hAnsi="Verdana"/>
          <w:color w:val="1F4E79" w:themeColor="accent1" w:themeShade="80"/>
        </w:rPr>
        <w:t xml:space="preserve"> rozvoja finančnej kultúry</w:t>
      </w:r>
    </w:p>
    <w:p w14:paraId="3928434B" w14:textId="77777777" w:rsidR="005249C4" w:rsidRPr="001E49EA" w:rsidRDefault="005249C4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61"/>
        <w:gridCol w:w="5871"/>
        <w:gridCol w:w="2373"/>
        <w:gridCol w:w="2780"/>
      </w:tblGrid>
      <w:tr w:rsidR="009A3E30" w:rsidRPr="00BC7153" w14:paraId="39284350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4C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Názov metodického listu</w:t>
            </w:r>
          </w:p>
        </w:tc>
        <w:tc>
          <w:tcPr>
            <w:tcW w:w="5871" w:type="dxa"/>
          </w:tcPr>
          <w:p w14:paraId="3928434D" w14:textId="77777777" w:rsidR="009A3E30" w:rsidRPr="009A3E30" w:rsidRDefault="009A3E30" w:rsidP="00FB27FF">
            <w:pPr>
              <w:rPr>
                <w:rFonts w:ascii="Verdana" w:hAnsi="Verdana"/>
                <w:b/>
              </w:rPr>
            </w:pPr>
            <w:r w:rsidRPr="009A3E30">
              <w:rPr>
                <w:rFonts w:ascii="Verdana" w:hAnsi="Verdana"/>
                <w:b/>
              </w:rPr>
              <w:t>Súboj hypoték</w:t>
            </w:r>
          </w:p>
        </w:tc>
        <w:tc>
          <w:tcPr>
            <w:tcW w:w="2373" w:type="dxa"/>
          </w:tcPr>
          <w:p w14:paraId="3928434E" w14:textId="77777777" w:rsidR="009A3E30" w:rsidRPr="009A3E30" w:rsidRDefault="009A3E30" w:rsidP="00FB27FF">
            <w:pPr>
              <w:rPr>
                <w:rFonts w:ascii="Verdana" w:hAnsi="Verdana"/>
                <w:sz w:val="20"/>
                <w:szCs w:val="20"/>
              </w:rPr>
            </w:pPr>
            <w:r w:rsidRPr="009A3E30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780" w:type="dxa"/>
          </w:tcPr>
          <w:p w14:paraId="3928434F" w14:textId="77777777" w:rsidR="009A3E30" w:rsidRPr="009A3E30" w:rsidRDefault="009A3E30" w:rsidP="00FB27FF">
            <w:pPr>
              <w:rPr>
                <w:rFonts w:ascii="Verdana" w:hAnsi="Verdana"/>
                <w:b/>
              </w:rPr>
            </w:pPr>
            <w:r w:rsidRPr="009A3E30">
              <w:rPr>
                <w:rFonts w:ascii="Verdana" w:hAnsi="Verdana"/>
                <w:b/>
              </w:rPr>
              <w:t>B1/2S/03/JK/CI/U</w:t>
            </w:r>
          </w:p>
        </w:tc>
      </w:tr>
      <w:tr w:rsidR="009A3E30" w:rsidRPr="001E49EA" w14:paraId="39284353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51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Vzdelávacia oblasť</w:t>
            </w:r>
          </w:p>
        </w:tc>
        <w:tc>
          <w:tcPr>
            <w:tcW w:w="11024" w:type="dxa"/>
            <w:gridSpan w:val="3"/>
          </w:tcPr>
          <w:p w14:paraId="39284352" w14:textId="77777777" w:rsidR="009A3E30" w:rsidRPr="00015C09" w:rsidRDefault="009A3E30" w:rsidP="00FB27FF">
            <w:r w:rsidRPr="00015C09">
              <w:t>Jazyk a komunikácia</w:t>
            </w:r>
          </w:p>
        </w:tc>
      </w:tr>
      <w:tr w:rsidR="009A3E30" w:rsidRPr="001E49EA" w14:paraId="39284356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54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Kognitívna úroveň</w:t>
            </w:r>
          </w:p>
        </w:tc>
        <w:tc>
          <w:tcPr>
            <w:tcW w:w="11024" w:type="dxa"/>
            <w:gridSpan w:val="3"/>
          </w:tcPr>
          <w:p w14:paraId="39284355" w14:textId="77777777" w:rsidR="009A3E30" w:rsidRPr="00015C09" w:rsidRDefault="009A3E30" w:rsidP="00FB27FF">
            <w:r w:rsidRPr="00015C09">
              <w:t>B1</w:t>
            </w:r>
          </w:p>
        </w:tc>
      </w:tr>
      <w:tr w:rsidR="009A3E30" w:rsidRPr="001E49EA" w14:paraId="39284359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57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Kompetencia rozvoja myslenia</w:t>
            </w:r>
          </w:p>
        </w:tc>
        <w:tc>
          <w:tcPr>
            <w:tcW w:w="11024" w:type="dxa"/>
            <w:gridSpan w:val="3"/>
          </w:tcPr>
          <w:p w14:paraId="39284358" w14:textId="77777777" w:rsidR="009A3E30" w:rsidRPr="00015C09" w:rsidRDefault="009A3E30" w:rsidP="00FB27FF">
            <w:r w:rsidRPr="00015C09">
              <w:t>Čítanie</w:t>
            </w:r>
          </w:p>
        </w:tc>
      </w:tr>
      <w:tr w:rsidR="009A3E30" w:rsidRPr="001E49EA" w14:paraId="3928435C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5A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Opis kompetencie rozvoja myslenia</w:t>
            </w:r>
          </w:p>
        </w:tc>
        <w:tc>
          <w:tcPr>
            <w:tcW w:w="11024" w:type="dxa"/>
            <w:gridSpan w:val="3"/>
          </w:tcPr>
          <w:p w14:paraId="3928435B" w14:textId="77777777" w:rsidR="009A3E30" w:rsidRPr="00015C09" w:rsidRDefault="009A3E30" w:rsidP="00FB27FF">
            <w:r w:rsidRPr="00015C09">
              <w:t>Dokáže porozumieť všeobecným opisným a výkladovým textom.</w:t>
            </w:r>
          </w:p>
        </w:tc>
      </w:tr>
      <w:tr w:rsidR="009A3E30" w:rsidRPr="001E49EA" w14:paraId="3928435F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5D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Kompetencie finančnej gramotnosti (podľa OECD)</w:t>
            </w:r>
          </w:p>
        </w:tc>
        <w:tc>
          <w:tcPr>
            <w:tcW w:w="11024" w:type="dxa"/>
            <w:gridSpan w:val="3"/>
          </w:tcPr>
          <w:p w14:paraId="3928435E" w14:textId="77777777" w:rsidR="009A3E30" w:rsidRPr="00015C09" w:rsidRDefault="009A3E30" w:rsidP="00FB27FF">
            <w:r w:rsidRPr="00015C09">
              <w:t xml:space="preserve">S istotou robí informované rozhodnutia ohľadom výberu a využitia niektorých bežných foriem úveru. </w:t>
            </w:r>
          </w:p>
        </w:tc>
      </w:tr>
      <w:tr w:rsidR="009A3E30" w:rsidRPr="001E49EA" w14:paraId="39284362" w14:textId="77777777" w:rsidTr="00D20336">
        <w:tc>
          <w:tcPr>
            <w:tcW w:w="3861" w:type="dxa"/>
            <w:shd w:val="clear" w:color="auto" w:fill="DEEAF6" w:themeFill="accent1" w:themeFillTint="33"/>
          </w:tcPr>
          <w:p w14:paraId="39284360" w14:textId="77777777" w:rsidR="009A3E30" w:rsidRPr="009A3E30" w:rsidRDefault="009A3E30" w:rsidP="00FB27FF">
            <w:pPr>
              <w:rPr>
                <w:rFonts w:ascii="Verdana" w:hAnsi="Verdana"/>
                <w:b/>
                <w:color w:val="1F4E79" w:themeColor="accent1" w:themeShade="80"/>
              </w:rPr>
            </w:pPr>
            <w:r w:rsidRPr="009A3E30">
              <w:rPr>
                <w:rFonts w:ascii="Verdana" w:hAnsi="Verdana"/>
                <w:b/>
                <w:color w:val="1F4E79" w:themeColor="accent1" w:themeShade="80"/>
              </w:rPr>
              <w:t>Témy Národného štandardu finančnej gramotnosti</w:t>
            </w:r>
          </w:p>
        </w:tc>
        <w:tc>
          <w:tcPr>
            <w:tcW w:w="11024" w:type="dxa"/>
            <w:gridSpan w:val="3"/>
          </w:tcPr>
          <w:p w14:paraId="39284361" w14:textId="77777777" w:rsidR="009A3E30" w:rsidRDefault="009A3E30" w:rsidP="00FB27FF">
            <w:r w:rsidRPr="00015C09">
              <w:t>Rozhodovanie a hospodárenie spotrebiteľov</w:t>
            </w:r>
          </w:p>
        </w:tc>
      </w:tr>
    </w:tbl>
    <w:p w14:paraId="39284363" w14:textId="77777777"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14:paraId="39284364" w14:textId="77777777" w:rsidR="00131651" w:rsidRPr="001E49EA" w:rsidRDefault="00131651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14:paraId="39284365" w14:textId="77777777" w:rsidR="00324DB9" w:rsidRDefault="00E7120C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9A3E30">
        <w:rPr>
          <w:rFonts w:ascii="Calibri" w:eastAsia="Calibri" w:hAnsi="Calibri" w:cs="Times New Roman"/>
          <w:noProof/>
          <w:lang w:eastAsia="sk-SK"/>
        </w:rPr>
        <w:lastRenderedPageBreak/>
        <w:drawing>
          <wp:anchor distT="0" distB="0" distL="114300" distR="114300" simplePos="0" relativeHeight="251696640" behindDoc="1" locked="0" layoutInCell="1" allowOverlap="1" wp14:anchorId="392843B4" wp14:editId="392843B5">
            <wp:simplePos x="0" y="0"/>
            <wp:positionH relativeFrom="margin">
              <wp:posOffset>8023860</wp:posOffset>
            </wp:positionH>
            <wp:positionV relativeFrom="paragraph">
              <wp:posOffset>98425</wp:posOffset>
            </wp:positionV>
            <wp:extent cx="899795" cy="899795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zoznam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284366" w14:textId="77777777" w:rsidR="00F05DAE" w:rsidRPr="001E49EA" w:rsidRDefault="00F05DAE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39284367" w14:textId="77777777" w:rsidR="005D5C9E" w:rsidRPr="009012BE" w:rsidRDefault="005D5C9E" w:rsidP="00E7120C">
      <w:pPr>
        <w:spacing w:after="0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  <w:r w:rsidR="008C2DF8" w:rsidRPr="008C2DF8">
        <w:rPr>
          <w:noProof/>
          <w:lang w:eastAsia="sk-SK"/>
        </w:rPr>
        <w:t xml:space="preserve"> </w:t>
      </w:r>
    </w:p>
    <w:p w14:paraId="39284368" w14:textId="77777777" w:rsidR="00353B2B" w:rsidRDefault="00353B2B" w:rsidP="00E7120C">
      <w:pPr>
        <w:spacing w:after="0"/>
        <w:jc w:val="both"/>
        <w:rPr>
          <w:rFonts w:ascii="Verdana" w:eastAsia="Calibri" w:hAnsi="Verdana" w:cs="Times New Roman"/>
          <w:color w:val="000000"/>
        </w:rPr>
      </w:pPr>
    </w:p>
    <w:p w14:paraId="39284369" w14:textId="77777777" w:rsidR="00324DB9" w:rsidRDefault="00324DB9" w:rsidP="00E7120C">
      <w:pPr>
        <w:spacing w:after="0"/>
        <w:jc w:val="both"/>
        <w:rPr>
          <w:rFonts w:ascii="Verdana" w:eastAsia="Calibri" w:hAnsi="Verdana" w:cs="Times New Roman"/>
          <w:color w:val="000000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9A3E30" w:rsidRPr="001E49EA" w14:paraId="39284370" w14:textId="77777777" w:rsidTr="001C046B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928436A" w14:textId="77777777" w:rsidR="009A3E30" w:rsidRPr="009A3E30" w:rsidRDefault="009A3E30" w:rsidP="009A3E30">
            <w:pPr>
              <w:pStyle w:val="Odsekzoznamu"/>
              <w:numPr>
                <w:ilvl w:val="0"/>
                <w:numId w:val="24"/>
              </w:num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 xml:space="preserve">Uvažujte o tom, ako sa možno dostať k veľkej sume peňazí. Uveďte druhy tovaru, na ktoré by ste v budúcnosti mohli potrebovať úver.  </w:t>
            </w:r>
          </w:p>
          <w:p w14:paraId="3928436B" w14:textId="77777777" w:rsidR="009A3E30" w:rsidRPr="009A3E30" w:rsidRDefault="009A3E30" w:rsidP="009A3E30">
            <w:pPr>
              <w:pStyle w:val="Odsekzoznamu"/>
              <w:rPr>
                <w:rFonts w:cstheme="minorHAnsi"/>
                <w:color w:val="000000"/>
              </w:rPr>
            </w:pPr>
          </w:p>
          <w:p w14:paraId="3928436C" w14:textId="77777777" w:rsidR="009A3E30" w:rsidRPr="001E49EA" w:rsidRDefault="009A3E30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928436D" w14:textId="77777777" w:rsidR="009A3E30" w:rsidRPr="001E49EA" w:rsidRDefault="009A3E30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</w:p>
          <w:p w14:paraId="3928436E" w14:textId="77777777" w:rsidR="009A3E30" w:rsidRPr="001E49EA" w:rsidRDefault="009A3E30" w:rsidP="001C046B">
            <w:pPr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</w:t>
            </w:r>
          </w:p>
          <w:p w14:paraId="3928436F" w14:textId="77777777" w:rsidR="009A3E30" w:rsidRPr="00D20336" w:rsidRDefault="009A3E30" w:rsidP="001C046B">
            <w:pPr>
              <w:ind w:left="360"/>
              <w:rPr>
                <w:rFonts w:cstheme="minorHAnsi"/>
                <w:color w:val="000000"/>
              </w:rPr>
            </w:pPr>
          </w:p>
        </w:tc>
      </w:tr>
    </w:tbl>
    <w:p w14:paraId="39284371" w14:textId="77777777" w:rsidR="009A3E30" w:rsidRDefault="009A3E30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72" w14:textId="77777777" w:rsidR="00324DB9" w:rsidRDefault="00324DB9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73" w14:textId="77777777" w:rsidR="00E7120C" w:rsidRDefault="00E7120C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74" w14:textId="77777777" w:rsidR="00324DB9" w:rsidRDefault="00324DB9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75" w14:textId="77777777" w:rsidR="00C71C58" w:rsidRDefault="00324DB9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8C2DF8">
        <w:rPr>
          <w:rFonts w:ascii="Calibri" w:eastAsia="Calibri" w:hAnsi="Calibri" w:cs="Times New Roman"/>
          <w:noProof/>
          <w:lang w:eastAsia="sk-SK"/>
        </w:rPr>
        <w:lastRenderedPageBreak/>
        <w:drawing>
          <wp:anchor distT="0" distB="0" distL="114300" distR="114300" simplePos="0" relativeHeight="251690496" behindDoc="1" locked="0" layoutInCell="1" allowOverlap="1" wp14:anchorId="392843B6" wp14:editId="392843B7">
            <wp:simplePos x="0" y="0"/>
            <wp:positionH relativeFrom="margin">
              <wp:posOffset>8042910</wp:posOffset>
            </wp:positionH>
            <wp:positionV relativeFrom="paragraph">
              <wp:posOffset>-323215</wp:posOffset>
            </wp:positionV>
            <wp:extent cx="899795" cy="899795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racuj vo dvojici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1C58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  <w:r w:rsidR="008C2DF8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ab/>
      </w:r>
    </w:p>
    <w:p w14:paraId="39284376" w14:textId="77777777" w:rsidR="00F93E9D" w:rsidRPr="007C6F1F" w:rsidRDefault="00F93E9D" w:rsidP="00F93E9D">
      <w:pPr>
        <w:spacing w:after="0" w:line="240" w:lineRule="auto"/>
        <w:contextualSpacing/>
        <w:rPr>
          <w:rFonts w:eastAsia="Times New Roman" w:cs="Times New Roman"/>
          <w:color w:val="000000"/>
          <w:lang w:eastAsia="sk-SK"/>
        </w:rPr>
      </w:pPr>
      <w:r w:rsidRPr="007C6F1F">
        <w:rPr>
          <w:rFonts w:eastAsia="Times New Roman" w:cs="Times New Roman"/>
          <w:color w:val="000000"/>
          <w:lang w:eastAsia="sk-SK"/>
        </w:rPr>
        <w:t>Rozdeľte sa na tri skupiny.</w:t>
      </w:r>
    </w:p>
    <w:p w14:paraId="39284377" w14:textId="77777777" w:rsidR="00353B2B" w:rsidRDefault="00353B2B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F93E9D" w:rsidRPr="001E49EA" w14:paraId="39284381" w14:textId="77777777" w:rsidTr="001C046B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9284378" w14:textId="77777777" w:rsidR="009A3E30" w:rsidRDefault="009A3E30" w:rsidP="009A3E30">
            <w:pPr>
              <w:pStyle w:val="Odsekzoznamu"/>
              <w:numPr>
                <w:ilvl w:val="0"/>
                <w:numId w:val="32"/>
              </w:num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 xml:space="preserve">Pozorne si prečítajte Text. </w:t>
            </w:r>
          </w:p>
          <w:p w14:paraId="39284379" w14:textId="77777777" w:rsidR="009A3E30" w:rsidRPr="009A3E30" w:rsidRDefault="009A3E30" w:rsidP="009A3E30">
            <w:pPr>
              <w:pStyle w:val="Odsekzoznamu"/>
              <w:rPr>
                <w:rFonts w:cstheme="minorHAnsi"/>
                <w:color w:val="000000"/>
              </w:rPr>
            </w:pPr>
          </w:p>
          <w:p w14:paraId="3928437A" w14:textId="77777777" w:rsidR="009A3E30" w:rsidRPr="003E6079" w:rsidRDefault="009A3E30" w:rsidP="009A3E30">
            <w:pPr>
              <w:pStyle w:val="Odsekzoznamu"/>
              <w:spacing w:before="100" w:beforeAutospacing="1" w:after="100" w:afterAutospacing="1"/>
              <w:jc w:val="both"/>
              <w:rPr>
                <w:u w:val="single"/>
              </w:rPr>
            </w:pPr>
            <w:r w:rsidRPr="003E6079">
              <w:rPr>
                <w:u w:val="single"/>
              </w:rPr>
              <w:t>Text</w:t>
            </w:r>
          </w:p>
          <w:p w14:paraId="3928437B" w14:textId="77777777" w:rsidR="009A3E30" w:rsidRPr="009A3E30" w:rsidRDefault="009A3E30" w:rsidP="009A3E30">
            <w:pPr>
              <w:rPr>
                <w:rFonts w:cstheme="minorHAnsi"/>
                <w:bCs/>
                <w:color w:val="000000"/>
              </w:rPr>
            </w:pPr>
            <w:r w:rsidRPr="009A3E30">
              <w:rPr>
                <w:rFonts w:cstheme="minorHAnsi"/>
                <w:bCs/>
                <w:color w:val="000000"/>
              </w:rPr>
              <w:t xml:space="preserve">Banky znova bojujú o hypotekárne klientky a hypotekárnych klientov rôznymi </w:t>
            </w:r>
            <w:r w:rsidRPr="009A3E30">
              <w:rPr>
                <w:rFonts w:cstheme="minorHAnsi"/>
                <w:bCs/>
                <w:color w:val="000000"/>
                <w:u w:val="single"/>
              </w:rPr>
              <w:t>akciami</w:t>
            </w:r>
            <w:r w:rsidRPr="009A3E30">
              <w:rPr>
                <w:rFonts w:cstheme="minorHAnsi"/>
                <w:bCs/>
                <w:color w:val="000000"/>
              </w:rPr>
              <w:t>. Odpustenie poplatku za poskytnutie úveru či zníženie výšky úroku ponúkajú všetky hypotekárne banky s výnimkou VÚB, Dexia banky a Volksbank.</w:t>
            </w:r>
          </w:p>
          <w:p w14:paraId="3928437C" w14:textId="77777777" w:rsidR="009A3E30" w:rsidRPr="009A3E30" w:rsidRDefault="009A3E30" w:rsidP="009A3E30">
            <w:p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 xml:space="preserve">„V rámci prebiehajúcich jesenných akcií sa banky snažia klientov osloviť rôznymi </w:t>
            </w:r>
            <w:r w:rsidRPr="009A3E30">
              <w:rPr>
                <w:rFonts w:cstheme="minorHAnsi"/>
                <w:color w:val="000000"/>
                <w:u w:val="single"/>
              </w:rPr>
              <w:t>benefitmi</w:t>
            </w:r>
            <w:r w:rsidRPr="009A3E30">
              <w:rPr>
                <w:rFonts w:cstheme="minorHAnsi"/>
                <w:color w:val="000000"/>
              </w:rPr>
              <w:t>. Najčastejšie odpúšťajú vstupný poplatok,“ vraví Maroš Ovčarik z portálu </w:t>
            </w:r>
            <w:hyperlink r:id="rId11" w:tgtFrame="_blank" w:history="1">
              <w:r w:rsidRPr="009A3E30">
                <w:rPr>
                  <w:rStyle w:val="Hypertextovprepojenie"/>
                  <w:rFonts w:cstheme="minorHAnsi"/>
                </w:rPr>
                <w:t>FinančnáHitpa</w:t>
              </w:r>
              <w:r w:rsidRPr="009A3E30">
                <w:rPr>
                  <w:rStyle w:val="Hypertextovprepojenie"/>
                  <w:rFonts w:cstheme="minorHAnsi"/>
                </w:rPr>
                <w:softHyphen/>
                <w:t>ráda.sk</w:t>
              </w:r>
            </w:hyperlink>
            <w:r w:rsidRPr="009A3E30">
              <w:rPr>
                <w:rFonts w:cstheme="minorHAnsi"/>
                <w:color w:val="000000"/>
              </w:rPr>
              <w:t>, ktorý porovnáva finančné produkty.</w:t>
            </w:r>
          </w:p>
          <w:p w14:paraId="3928437D" w14:textId="77777777" w:rsidR="009A3E30" w:rsidRPr="009A3E30" w:rsidRDefault="009A3E30" w:rsidP="009A3E30">
            <w:p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 xml:space="preserve">UniCredit Bank v súčasnosti ponúka všetkým klientkam a klientom rovnaký úrok bez ohľadu na to, aká je ich bonita. Žiadatelia o úver, ktorý si vyberú trojročnú fixáciu sadzby, získajú úrok vo výške 4,44 percenta a pri päťročnej </w:t>
            </w:r>
            <w:r w:rsidRPr="009A3E30">
              <w:rPr>
                <w:rFonts w:cstheme="minorHAnsi"/>
                <w:color w:val="000000"/>
                <w:u w:val="single"/>
              </w:rPr>
              <w:t>fixácii</w:t>
            </w:r>
            <w:r w:rsidRPr="009A3E30">
              <w:rPr>
                <w:rFonts w:cstheme="minorHAnsi"/>
                <w:color w:val="000000"/>
              </w:rPr>
              <w:t xml:space="preserve"> je jednotný úrok 5,04 percenta. Tieto sadzby platia do skončenia prvej fixácie. Po uplynutí troch respektíve</w:t>
            </w:r>
            <w:r w:rsidR="00437128">
              <w:rPr>
                <w:rFonts w:cstheme="minorHAnsi"/>
                <w:color w:val="000000"/>
              </w:rPr>
              <w:t xml:space="preserve"> piatich rokov banky úroky zmenia</w:t>
            </w:r>
            <w:r w:rsidRPr="009A3E30">
              <w:rPr>
                <w:rFonts w:cstheme="minorHAnsi"/>
                <w:color w:val="000000"/>
              </w:rPr>
              <w:t xml:space="preserve"> a jednotlivé klientky/jednotliví klienti tak budú mať rôzne sadzby. „Ich výšku ovplyvňuje viacero faktorov, napríklad </w:t>
            </w:r>
            <w:r w:rsidRPr="009A3E30">
              <w:rPr>
                <w:rFonts w:cstheme="minorHAnsi"/>
                <w:color w:val="000000"/>
                <w:u w:val="single"/>
              </w:rPr>
              <w:t>bonita klientov</w:t>
            </w:r>
            <w:r w:rsidRPr="009A3E30">
              <w:rPr>
                <w:rFonts w:cstheme="minorHAnsi"/>
                <w:color w:val="000000"/>
              </w:rPr>
              <w:t>, cena zdrojov na finančných trhoch. Veľmi dôležitú úlohu zohráva aj miera využívania iných produktov banky,“ povedal Ovčarik.</w:t>
            </w:r>
          </w:p>
          <w:p w14:paraId="3928437E" w14:textId="77777777" w:rsidR="009A3E30" w:rsidRPr="009A3E30" w:rsidRDefault="009A3E30" w:rsidP="009A3E30">
            <w:p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 xml:space="preserve">Môže sa teda stať, že klientka/klient, ktorá/ktorý si zoberie </w:t>
            </w:r>
            <w:r w:rsidRPr="009A3E30">
              <w:rPr>
                <w:rFonts w:cstheme="minorHAnsi"/>
                <w:color w:val="000000"/>
                <w:u w:val="single"/>
              </w:rPr>
              <w:t>akciovú hypotéku</w:t>
            </w:r>
            <w:r w:rsidRPr="009A3E30">
              <w:rPr>
                <w:rFonts w:cstheme="minorHAnsi"/>
                <w:color w:val="000000"/>
              </w:rPr>
              <w:t xml:space="preserve"> sa po skončení </w:t>
            </w:r>
            <w:r w:rsidRPr="009A3E30">
              <w:rPr>
                <w:rFonts w:cstheme="minorHAnsi"/>
                <w:color w:val="000000"/>
                <w:u w:val="single"/>
              </w:rPr>
              <w:t>fixácie</w:t>
            </w:r>
            <w:r w:rsidRPr="009A3E30">
              <w:rPr>
                <w:rFonts w:cstheme="minorHAnsi"/>
                <w:color w:val="000000"/>
              </w:rPr>
              <w:t xml:space="preserve"> dočká razantnejšieho zvýšenia </w:t>
            </w:r>
            <w:r w:rsidRPr="009A3E30">
              <w:rPr>
                <w:rFonts w:cstheme="minorHAnsi"/>
                <w:color w:val="000000"/>
                <w:u w:val="single"/>
              </w:rPr>
              <w:t>úrokovej sadzby</w:t>
            </w:r>
            <w:r w:rsidRPr="009A3E30">
              <w:rPr>
                <w:rFonts w:cstheme="minorHAnsi"/>
                <w:color w:val="000000"/>
              </w:rPr>
              <w:t>. V takom prípade sa však môže poobzerať po ponuke iných bánk. Podľa zákona, ktorý nedávno schválil parlament, budú musieť banky zmenu úrokovej sadzby klientkám/klientom hlásiť dva mesiace vopred. Každý človek by mal mať tak dostatok času, aby zistil, či sa mu neoplatí zobrať úver v inej banke a vyplatiť ním pôvodnú hypotéku. Ak sa niekto rozhodne pri skončení fixácie splatiť star</w:t>
            </w:r>
            <w:r w:rsidR="00437128">
              <w:rPr>
                <w:rFonts w:cstheme="minorHAnsi"/>
                <w:color w:val="000000"/>
              </w:rPr>
              <w:t>ú hypotéku novým úverom, pôvodná</w:t>
            </w:r>
            <w:r w:rsidRPr="009A3E30">
              <w:rPr>
                <w:rFonts w:cstheme="minorHAnsi"/>
                <w:color w:val="000000"/>
              </w:rPr>
              <w:t xml:space="preserve"> banka si za to nebude môcť zaúčtovať žiadne poplatky.</w:t>
            </w:r>
          </w:p>
          <w:p w14:paraId="3928437F" w14:textId="77777777" w:rsidR="009A3E30" w:rsidRPr="009A3E30" w:rsidRDefault="009A3E30" w:rsidP="009A3E30">
            <w:p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>Z porovnania, ktoré pripravil portál FinančnáHitpa</w:t>
            </w:r>
            <w:r w:rsidRPr="009A3E30">
              <w:rPr>
                <w:rFonts w:cstheme="minorHAnsi"/>
                <w:color w:val="000000"/>
              </w:rPr>
              <w:softHyphen/>
              <w:t>ráda.sk, vyplýva, že najlacnejšie v súčasnosti poskytuje úvery na bývanie Oberbank. Klientka/klient s priemernou bonitou by tu zaplatila/zaplatil najmenej bez ohľadu na to, že si úrok zafixuje na jeden rok alebo na päť rokov. Porovnanie je pritom zostavené na základe konkrétnych ponúk, ktoré banky predložili klientke/klientovi pri návšteve pobočky. Neobsahuje teda rôzne marketingové sadzby, ktoré väčšina klientok a klientov nezíska.</w:t>
            </w:r>
          </w:p>
          <w:p w14:paraId="39284380" w14:textId="77777777" w:rsidR="00F93E9D" w:rsidRPr="00D20336" w:rsidRDefault="009A3E30" w:rsidP="009A3E30">
            <w:p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>Napriek tomu, že viaceré banky za posledný mesiac úroky zvýšili, z porovnania vyplýva, že človek, ktorý by si zobral úver v septembri, by v niektorých bankách v porovnaní s augustom ušetril. Pri päťročnej fixácii by nižší úrok získal v Slovenskej sporiteľni, UniCredit Bank, OTP Banke i Volksbank. V prípade ročnej fixácie by mu v súčasnosti nižší úrok dala len OTP Banka. V ostatných bankách by klientky a klienti zaplatili vyšší alebo rovnaký úrok ako v auguste.</w:t>
            </w:r>
          </w:p>
        </w:tc>
      </w:tr>
    </w:tbl>
    <w:p w14:paraId="39284382" w14:textId="77777777" w:rsidR="00F93E9D" w:rsidRDefault="00F93E9D" w:rsidP="00C71C58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F93E9D" w:rsidRPr="001E49EA" w14:paraId="3928438A" w14:textId="77777777" w:rsidTr="001C046B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9284383" w14:textId="77777777" w:rsidR="009A3E30" w:rsidRPr="009A3E30" w:rsidRDefault="009A3E30" w:rsidP="009A3E30">
            <w:pPr>
              <w:pStyle w:val="Odsekzoznamu"/>
              <w:numPr>
                <w:ilvl w:val="0"/>
                <w:numId w:val="32"/>
              </w:numPr>
              <w:rPr>
                <w:rFonts w:cstheme="minorHAnsi"/>
                <w:color w:val="000000"/>
              </w:rPr>
            </w:pPr>
            <w:r w:rsidRPr="009A3E30">
              <w:rPr>
                <w:rFonts w:cstheme="minorHAnsi"/>
                <w:color w:val="000000"/>
              </w:rPr>
              <w:t>Objasnite vlastnými slovami alebo pomocou internetových zdrojov význam podčiarknutých slov v Texte.</w:t>
            </w:r>
          </w:p>
          <w:p w14:paraId="39284384" w14:textId="77777777" w:rsidR="00F93E9D" w:rsidRDefault="00F93E9D" w:rsidP="001C046B">
            <w:pPr>
              <w:pStyle w:val="Odsekzoznamu"/>
              <w:rPr>
                <w:rFonts w:cstheme="minorHAnsi"/>
                <w:color w:val="000000"/>
              </w:rPr>
            </w:pPr>
          </w:p>
          <w:p w14:paraId="39284385" w14:textId="77777777" w:rsidR="00F93E9D" w:rsidRPr="001E49EA" w:rsidRDefault="00F93E9D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9284386" w14:textId="77777777" w:rsidR="00F93E9D" w:rsidRPr="001E49EA" w:rsidRDefault="00F93E9D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</w:p>
          <w:p w14:paraId="39284387" w14:textId="77777777" w:rsidR="008C2DF8" w:rsidRPr="001E49EA" w:rsidRDefault="008C2DF8" w:rsidP="008C2DF8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9284388" w14:textId="77777777" w:rsidR="008C2DF8" w:rsidRPr="001E49EA" w:rsidRDefault="008C2DF8" w:rsidP="008C2DF8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</w:t>
            </w:r>
          </w:p>
          <w:p w14:paraId="39284389" w14:textId="77777777" w:rsidR="00F93E9D" w:rsidRPr="00D20336" w:rsidRDefault="00F93E9D" w:rsidP="008C2DF8">
            <w:pPr>
              <w:rPr>
                <w:rFonts w:cstheme="minorHAnsi"/>
                <w:color w:val="000000"/>
              </w:rPr>
            </w:pPr>
          </w:p>
        </w:tc>
      </w:tr>
    </w:tbl>
    <w:p w14:paraId="3928438B" w14:textId="77777777" w:rsidR="008C2DF8" w:rsidRDefault="008C2DF8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3928438C" w14:textId="77777777" w:rsidR="00F05DAE" w:rsidRPr="001E49EA" w:rsidRDefault="00E7120C" w:rsidP="00066FFD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98688" behindDoc="1" locked="0" layoutInCell="1" allowOverlap="1" wp14:anchorId="392843B8" wp14:editId="392843B9">
            <wp:simplePos x="0" y="0"/>
            <wp:positionH relativeFrom="column">
              <wp:posOffset>7981315</wp:posOffset>
            </wp:positionH>
            <wp:positionV relativeFrom="paragraph">
              <wp:posOffset>-179705</wp:posOffset>
            </wp:positionV>
            <wp:extent cx="899795" cy="899795"/>
            <wp:effectExtent l="0" t="0" r="0" b="0"/>
            <wp:wrapNone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zapis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28438D" w14:textId="77777777" w:rsidR="00066FFD" w:rsidRPr="009012BE" w:rsidRDefault="00066FFD" w:rsidP="00E7120C">
      <w:pPr>
        <w:spacing w:after="0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3:</w:t>
      </w:r>
      <w:r w:rsidR="00324DB9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 xml:space="preserve">                                                                                                        </w:t>
      </w:r>
    </w:p>
    <w:p w14:paraId="3928438E" w14:textId="77777777" w:rsidR="00131651" w:rsidRDefault="00131651" w:rsidP="00E7120C">
      <w:pPr>
        <w:spacing w:after="0"/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p w14:paraId="3928438F" w14:textId="77777777" w:rsidR="00324DB9" w:rsidRPr="001E49EA" w:rsidRDefault="00324DB9" w:rsidP="00E7120C">
      <w:pPr>
        <w:spacing w:after="0"/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F75B5E" w:rsidRPr="001E49EA" w14:paraId="39284391" w14:textId="77777777" w:rsidTr="008D081F">
        <w:tc>
          <w:tcPr>
            <w:tcW w:w="14144" w:type="dxa"/>
          </w:tcPr>
          <w:p w14:paraId="39284390" w14:textId="77777777" w:rsidR="00804B94" w:rsidRPr="00E25A12" w:rsidRDefault="009A3E30" w:rsidP="009A3E30">
            <w:pPr>
              <w:pStyle w:val="Odsekzoznamu"/>
              <w:numPr>
                <w:ilvl w:val="0"/>
                <w:numId w:val="34"/>
              </w:numPr>
              <w:rPr>
                <w:rFonts w:cstheme="minorHAnsi"/>
                <w:color w:val="000000"/>
              </w:rPr>
            </w:pPr>
            <w:r w:rsidRPr="009A3E30">
              <w:rPr>
                <w:rFonts w:ascii="Calibri" w:hAnsi="Calibri" w:cs="Arial"/>
                <w:bCs/>
                <w:color w:val="000000" w:themeColor="text1"/>
                <w:spacing w:val="1"/>
                <w:shd w:val="clear" w:color="auto" w:fill="FFFFFF"/>
              </w:rPr>
              <w:t>Zvoľte si jednu banku, ktorú budete reprezentovať v Súťaži hypoték. Odôvodnite svoj výber.</w:t>
            </w:r>
          </w:p>
        </w:tc>
      </w:tr>
    </w:tbl>
    <w:p w14:paraId="39284392" w14:textId="77777777" w:rsidR="00066FFD" w:rsidRDefault="00066FFD" w:rsidP="00C71C58">
      <w:pPr>
        <w:rPr>
          <w:rFonts w:ascii="Verdana" w:hAnsi="Verdana"/>
          <w:color w:val="000000"/>
        </w:rPr>
      </w:pPr>
    </w:p>
    <w:p w14:paraId="39284393" w14:textId="77777777" w:rsidR="00324DB9" w:rsidRDefault="00324DB9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324DB9" w:rsidRPr="001E49EA" w14:paraId="39284399" w14:textId="77777777" w:rsidTr="001C046B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9284394" w14:textId="77777777" w:rsidR="00324DB9" w:rsidRPr="00324DB9" w:rsidRDefault="00324DB9" w:rsidP="00324DB9">
            <w:pPr>
              <w:pStyle w:val="Odsekzoznamu"/>
              <w:numPr>
                <w:ilvl w:val="0"/>
                <w:numId w:val="34"/>
              </w:numPr>
              <w:jc w:val="both"/>
              <w:rPr>
                <w:rFonts w:ascii="Calibri" w:hAnsi="Calibri" w:cs="Arial"/>
                <w:bCs/>
                <w:color w:val="000000" w:themeColor="text1"/>
                <w:spacing w:val="1"/>
                <w:shd w:val="clear" w:color="auto" w:fill="FFFFFF"/>
              </w:rPr>
            </w:pPr>
            <w:r w:rsidRPr="00324DB9">
              <w:rPr>
                <w:color w:val="000000"/>
              </w:rPr>
              <w:t>Zistite kľúčové informácie o aktuálnej ponuke zvolenej banky v oblasti poskytovania hypotekárnych úverov.</w:t>
            </w:r>
          </w:p>
          <w:p w14:paraId="39284395" w14:textId="77777777" w:rsidR="00324DB9" w:rsidRDefault="00324DB9" w:rsidP="001C046B">
            <w:pPr>
              <w:pStyle w:val="Odsekzoznamu"/>
              <w:rPr>
                <w:rFonts w:cstheme="minorHAnsi"/>
                <w:color w:val="000000"/>
              </w:rPr>
            </w:pPr>
          </w:p>
          <w:p w14:paraId="39284396" w14:textId="77777777" w:rsidR="00324DB9" w:rsidRPr="001E49EA" w:rsidRDefault="00324DB9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9284397" w14:textId="77777777" w:rsidR="00324DB9" w:rsidRPr="001E49EA" w:rsidRDefault="00324DB9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</w:p>
          <w:p w14:paraId="39284398" w14:textId="77777777" w:rsidR="00324DB9" w:rsidRPr="00D20336" w:rsidRDefault="00E7120C" w:rsidP="00324DB9">
            <w:pPr>
              <w:spacing w:line="360" w:lineRule="auto"/>
              <w:contextualSpacing/>
              <w:rPr>
                <w:rFonts w:cstheme="minorHAnsi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</w:t>
            </w:r>
          </w:p>
        </w:tc>
      </w:tr>
    </w:tbl>
    <w:p w14:paraId="3928439A" w14:textId="77777777" w:rsidR="00324DB9" w:rsidRDefault="00324DB9" w:rsidP="00C71C58">
      <w:pPr>
        <w:rPr>
          <w:rFonts w:ascii="Verdana" w:hAnsi="Verdana"/>
          <w:color w:val="000000"/>
        </w:rPr>
      </w:pPr>
    </w:p>
    <w:p w14:paraId="3928439B" w14:textId="77777777" w:rsidR="00324DB9" w:rsidRDefault="00324DB9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324DB9" w:rsidRPr="001E49EA" w14:paraId="392843A1" w14:textId="77777777" w:rsidTr="001C046B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928439C" w14:textId="77777777" w:rsidR="00324DB9" w:rsidRPr="00324DB9" w:rsidRDefault="00324DB9" w:rsidP="00324DB9">
            <w:pPr>
              <w:pStyle w:val="Odsekzoznamu"/>
              <w:numPr>
                <w:ilvl w:val="0"/>
                <w:numId w:val="34"/>
              </w:numPr>
              <w:rPr>
                <w:rFonts w:ascii="Calibri" w:hAnsi="Calibri" w:cs="Arial"/>
                <w:bCs/>
                <w:color w:val="000000" w:themeColor="text1"/>
                <w:spacing w:val="1"/>
                <w:shd w:val="clear" w:color="auto" w:fill="FFFFFF"/>
              </w:rPr>
            </w:pPr>
            <w:r w:rsidRPr="00324DB9">
              <w:rPr>
                <w:rFonts w:ascii="Calibri" w:hAnsi="Calibri" w:cs="Arial"/>
                <w:bCs/>
                <w:color w:val="000000" w:themeColor="text1"/>
                <w:spacing w:val="1"/>
                <w:shd w:val="clear" w:color="auto" w:fill="FFFFFF"/>
              </w:rPr>
              <w:lastRenderedPageBreak/>
              <w:t>Predstavte si, že ste zástupkyňou/zástupcom zvolenej banky v televíznej súťaži Súboj hypoték. Pripravte a napíšte kľúčové body, informácie a myšlienky, ktorými by ste presviedčali diváčky a divákov o výhodách hypotekárneho úveru z vašej banky. V príprave využite podčiarknuté pojmy z Textu.</w:t>
            </w:r>
          </w:p>
          <w:p w14:paraId="3928439D" w14:textId="77777777" w:rsidR="00324DB9" w:rsidRDefault="00324DB9" w:rsidP="001C046B">
            <w:pPr>
              <w:pStyle w:val="Odsekzoznamu"/>
              <w:rPr>
                <w:rFonts w:cstheme="minorHAnsi"/>
                <w:color w:val="000000"/>
              </w:rPr>
            </w:pPr>
          </w:p>
          <w:p w14:paraId="3928439E" w14:textId="77777777" w:rsidR="00324DB9" w:rsidRPr="001E49EA" w:rsidRDefault="00324DB9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928439F" w14:textId="77777777" w:rsidR="00324DB9" w:rsidRPr="001E49EA" w:rsidRDefault="00324DB9" w:rsidP="001C046B">
            <w:pPr>
              <w:spacing w:line="360" w:lineRule="auto"/>
              <w:contextualSpacing/>
              <w:rPr>
                <w:rFonts w:ascii="Verdana" w:hAnsi="Verdana"/>
                <w:color w:val="000000"/>
              </w:rPr>
            </w:pPr>
            <w:r w:rsidRPr="001E49EA"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</w:t>
            </w:r>
            <w:r w:rsidR="00E7120C" w:rsidRPr="001E49EA">
              <w:rPr>
                <w:rFonts w:ascii="Verdana" w:hAnsi="Verdana"/>
              </w:rPr>
              <w:t>____________________________________________________________________________________________________</w:t>
            </w:r>
          </w:p>
          <w:p w14:paraId="392843A0" w14:textId="77777777" w:rsidR="00324DB9" w:rsidRPr="00D20336" w:rsidRDefault="00324DB9" w:rsidP="001C046B">
            <w:pPr>
              <w:spacing w:line="360" w:lineRule="auto"/>
              <w:contextualSpacing/>
              <w:rPr>
                <w:rFonts w:cstheme="minorHAnsi"/>
                <w:color w:val="000000"/>
              </w:rPr>
            </w:pPr>
          </w:p>
        </w:tc>
      </w:tr>
    </w:tbl>
    <w:p w14:paraId="392843A2" w14:textId="77777777" w:rsidR="009A3E30" w:rsidRDefault="009A3E30" w:rsidP="00C71C58">
      <w:pPr>
        <w:rPr>
          <w:rFonts w:ascii="Verdana" w:hAnsi="Verdana"/>
          <w:color w:val="000000"/>
        </w:rPr>
      </w:pPr>
    </w:p>
    <w:p w14:paraId="392843A3" w14:textId="77777777" w:rsidR="00324DB9" w:rsidRPr="001E49EA" w:rsidRDefault="00324DB9" w:rsidP="00C71C58">
      <w:pPr>
        <w:rPr>
          <w:rFonts w:ascii="Verdana" w:hAnsi="Verdana"/>
          <w:color w:val="000000"/>
        </w:rPr>
      </w:pPr>
    </w:p>
    <w:p w14:paraId="392843A4" w14:textId="77777777" w:rsidR="00804B94" w:rsidRPr="001E49EA" w:rsidRDefault="00804B94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804B94" w:rsidRPr="001E49EA" w14:paraId="392843A6" w14:textId="77777777" w:rsidTr="00F05DAE">
        <w:tc>
          <w:tcPr>
            <w:tcW w:w="14250" w:type="dxa"/>
          </w:tcPr>
          <w:p w14:paraId="392843A5" w14:textId="77777777" w:rsidR="00804B94" w:rsidRPr="00613B06" w:rsidRDefault="00324DB9" w:rsidP="00324DB9">
            <w:pPr>
              <w:pStyle w:val="Odsekzoznamu"/>
              <w:numPr>
                <w:ilvl w:val="0"/>
                <w:numId w:val="34"/>
              </w:numPr>
              <w:spacing w:line="360" w:lineRule="auto"/>
              <w:jc w:val="both"/>
              <w:rPr>
                <w:rFonts w:ascii="Verdana" w:hAnsi="Verdana"/>
                <w:color w:val="000000"/>
              </w:rPr>
            </w:pPr>
            <w:r w:rsidRPr="00324DB9">
              <w:rPr>
                <w:rFonts w:ascii="Calibri" w:eastAsia="Calibri" w:hAnsi="Calibri" w:cs="Times New Roman"/>
                <w:color w:val="000000"/>
              </w:rPr>
              <w:t>Prezentujte vybraný hypotekárny produkt tak, že v ňom využijete pojmy z Textu.</w:t>
            </w:r>
          </w:p>
        </w:tc>
      </w:tr>
    </w:tbl>
    <w:p w14:paraId="392843A7" w14:textId="77777777" w:rsidR="00804B94" w:rsidRPr="001E49EA" w:rsidRDefault="00804B94" w:rsidP="00C71C58">
      <w:pPr>
        <w:rPr>
          <w:rFonts w:ascii="Verdana" w:hAnsi="Verdana"/>
          <w:color w:val="000000"/>
        </w:rPr>
      </w:pPr>
    </w:p>
    <w:p w14:paraId="392843A8" w14:textId="77777777" w:rsidR="00324DB9" w:rsidRDefault="00324DB9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A9" w14:textId="77777777" w:rsidR="00324DB9" w:rsidRDefault="00E7120C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700736" behindDoc="1" locked="0" layoutInCell="1" allowOverlap="1" wp14:anchorId="392843BA" wp14:editId="392843BB">
            <wp:simplePos x="0" y="0"/>
            <wp:positionH relativeFrom="column">
              <wp:posOffset>8019415</wp:posOffset>
            </wp:positionH>
            <wp:positionV relativeFrom="paragraph">
              <wp:posOffset>20955</wp:posOffset>
            </wp:positionV>
            <wp:extent cx="899795" cy="89979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orovnajt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2843AA" w14:textId="77777777" w:rsidR="00324DB9" w:rsidRPr="001E49EA" w:rsidRDefault="00324DB9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AB" w14:textId="77777777" w:rsidR="00376117" w:rsidRPr="009012BE" w:rsidRDefault="00376117" w:rsidP="00E7120C">
      <w:pPr>
        <w:spacing w:after="0"/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  <w:r w:rsidR="00F05DAE" w:rsidRPr="009012BE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p w14:paraId="392843AC" w14:textId="77777777" w:rsidR="00131651" w:rsidRDefault="00131651" w:rsidP="00E7120C">
      <w:pPr>
        <w:spacing w:after="0"/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p w14:paraId="392843AD" w14:textId="77777777" w:rsidR="00324DB9" w:rsidRPr="001E49EA" w:rsidRDefault="00324DB9" w:rsidP="00E7120C">
      <w:pPr>
        <w:spacing w:after="0"/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144"/>
      </w:tblGrid>
      <w:tr w:rsidR="00376117" w:rsidRPr="001E49EA" w14:paraId="392843AF" w14:textId="77777777" w:rsidTr="00F05DAE">
        <w:tc>
          <w:tcPr>
            <w:tcW w:w="14144" w:type="dxa"/>
          </w:tcPr>
          <w:p w14:paraId="392843AE" w14:textId="77777777" w:rsidR="00376117" w:rsidRPr="00E25A12" w:rsidRDefault="00324DB9" w:rsidP="0058708D">
            <w:pPr>
              <w:pStyle w:val="Odsekzoznamu"/>
              <w:numPr>
                <w:ilvl w:val="0"/>
                <w:numId w:val="14"/>
              </w:numPr>
              <w:jc w:val="both"/>
              <w:rPr>
                <w:rFonts w:cstheme="minorHAnsi"/>
                <w:color w:val="000000"/>
              </w:rPr>
            </w:pPr>
            <w:r>
              <w:rPr>
                <w:color w:val="000000"/>
              </w:rPr>
              <w:t>Porovnajte a zhodnoťte pôsobenie účinkujúcich i spôsob, akým využili pojmy z Textu.</w:t>
            </w:r>
          </w:p>
        </w:tc>
      </w:tr>
    </w:tbl>
    <w:p w14:paraId="392843B0" w14:textId="77777777" w:rsidR="00376097" w:rsidRPr="001E49EA" w:rsidRDefault="00376097" w:rsidP="00AE1899">
      <w:pPr>
        <w:jc w:val="both"/>
        <w:rPr>
          <w:rFonts w:ascii="Verdana" w:hAnsi="Verdana"/>
          <w:color w:val="000000"/>
        </w:rPr>
      </w:pPr>
    </w:p>
    <w:p w14:paraId="392843B1" w14:textId="77777777" w:rsidR="0036158F" w:rsidRPr="001E49EA" w:rsidRDefault="00B30FEB" w:rsidP="00AE1899">
      <w:pPr>
        <w:jc w:val="both"/>
        <w:rPr>
          <w:rFonts w:ascii="Verdana" w:hAnsi="Verdana"/>
          <w:color w:val="000000"/>
        </w:rPr>
      </w:pPr>
      <w:r w:rsidRPr="001E49EA">
        <w:rPr>
          <w:rFonts w:ascii="Verdana" w:hAnsi="Verdana"/>
          <w:color w:val="000000"/>
        </w:rPr>
        <w:t xml:space="preserve">   </w:t>
      </w:r>
      <w:r w:rsidR="001A64C1" w:rsidRPr="001E49EA">
        <w:rPr>
          <w:rFonts w:ascii="Verdana" w:hAnsi="Verdana"/>
          <w:color w:val="000000"/>
        </w:rPr>
        <w:t xml:space="preserve"> </w:t>
      </w:r>
    </w:p>
    <w:p w14:paraId="392843B2" w14:textId="77777777" w:rsidR="005E41EF" w:rsidRPr="001E49EA" w:rsidRDefault="005E41EF" w:rsidP="00AE1899">
      <w:pPr>
        <w:jc w:val="both"/>
        <w:rPr>
          <w:rFonts w:ascii="Verdana" w:hAnsi="Verdana"/>
          <w:color w:val="000000"/>
        </w:rPr>
      </w:pPr>
    </w:p>
    <w:p w14:paraId="392843B3" w14:textId="77777777" w:rsidR="00E7472C" w:rsidRPr="001E49EA" w:rsidRDefault="00E7472C" w:rsidP="00A261DB">
      <w:pPr>
        <w:jc w:val="both"/>
        <w:rPr>
          <w:rFonts w:ascii="Verdana" w:hAnsi="Verdana"/>
          <w:color w:val="000000"/>
        </w:rPr>
      </w:pPr>
    </w:p>
    <w:sectPr w:rsidR="00E7472C" w:rsidRPr="001E49EA" w:rsidSect="00F05DAE">
      <w:headerReference w:type="default" r:id="rId14"/>
      <w:footerReference w:type="default" r:id="rId15"/>
      <w:pgSz w:w="16838" w:h="11906" w:orient="landscape"/>
      <w:pgMar w:top="1843" w:right="138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B0E2B" w14:textId="77777777" w:rsidR="00E047BE" w:rsidRDefault="00E047BE" w:rsidP="001E7DCE">
      <w:pPr>
        <w:spacing w:after="0" w:line="240" w:lineRule="auto"/>
      </w:pPr>
      <w:r>
        <w:separator/>
      </w:r>
    </w:p>
  </w:endnote>
  <w:endnote w:type="continuationSeparator" w:id="0">
    <w:p w14:paraId="7E363B28" w14:textId="77777777" w:rsidR="00E047BE" w:rsidRDefault="00E047BE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43C1" w14:textId="77777777" w:rsidR="00140C57" w:rsidRPr="009012BE" w:rsidRDefault="00140C57">
    <w:pPr>
      <w:pStyle w:val="Pta"/>
      <w:rPr>
        <w:rFonts w:ascii="Verdana" w:hAnsi="Verdana"/>
        <w:sz w:val="18"/>
        <w:szCs w:val="18"/>
      </w:rPr>
    </w:pPr>
  </w:p>
  <w:p w14:paraId="392843C2" w14:textId="77777777"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14:paraId="392843C3" w14:textId="77777777" w:rsidR="00C14BC5" w:rsidRPr="009012BE" w:rsidRDefault="00630E73">
    <w:pPr>
      <w:pStyle w:val="Pta"/>
      <w:rPr>
        <w:rFonts w:ascii="Verdana" w:hAnsi="Verdana"/>
        <w:sz w:val="18"/>
        <w:szCs w:val="18"/>
      </w:rPr>
    </w:pPr>
    <w:r w:rsidRPr="00F610E7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392843C8" wp14:editId="392843C9">
          <wp:simplePos x="0" y="0"/>
          <wp:positionH relativeFrom="column">
            <wp:posOffset>7941945</wp:posOffset>
          </wp:positionH>
          <wp:positionV relativeFrom="page">
            <wp:posOffset>6769735</wp:posOffset>
          </wp:positionV>
          <wp:extent cx="1853565" cy="791845"/>
          <wp:effectExtent l="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3565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14BC5" w:rsidRPr="009012BE">
      <w:rPr>
        <w:rFonts w:ascii="Verdana" w:hAnsi="Verdana"/>
        <w:sz w:val="18"/>
        <w:szCs w:val="18"/>
      </w:rPr>
      <w:t>Darina De Jaegher</w:t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C14BC5" w:rsidRPr="009012BE">
      <w:rPr>
        <w:rFonts w:ascii="Verdana" w:hAnsi="Verdana"/>
        <w:sz w:val="18"/>
        <w:szCs w:val="18"/>
      </w:rPr>
      <w:tab/>
    </w:r>
    <w:r w:rsidR="004F6EBC" w:rsidRPr="009012BE">
      <w:rPr>
        <w:rFonts w:ascii="Verdana" w:hAnsi="Verdana"/>
        <w:sz w:val="18"/>
        <w:szCs w:val="18"/>
      </w:rPr>
      <w:t>Karel Dvořák</w:t>
    </w:r>
  </w:p>
  <w:p w14:paraId="392843C4" w14:textId="77777777" w:rsidR="00547D2E" w:rsidRPr="009012BE" w:rsidRDefault="00C14BC5" w:rsidP="00547D2E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Ivana Gregorová</w:t>
    </w:r>
    <w:r w:rsidR="001E7DCE" w:rsidRPr="009012BE">
      <w:rPr>
        <w:rFonts w:ascii="Verdana" w:hAnsi="Verdana"/>
        <w:sz w:val="18"/>
        <w:szCs w:val="18"/>
      </w:rPr>
      <w:ptab w:relativeTo="margin" w:alignment="center" w:leader="none"/>
    </w:r>
  </w:p>
  <w:p w14:paraId="392843C5" w14:textId="77777777" w:rsidR="001E7DCE" w:rsidRPr="009012BE" w:rsidRDefault="00C14BC5">
    <w:pPr>
      <w:pStyle w:val="Pta"/>
      <w:rPr>
        <w:rFonts w:ascii="Verdana" w:eastAsiaTheme="minorEastAsi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ab/>
    </w:r>
    <w:r w:rsidR="001E7DCE" w:rsidRPr="009012BE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29AB5" w14:textId="77777777" w:rsidR="00E047BE" w:rsidRDefault="00E047BE" w:rsidP="001E7DCE">
      <w:pPr>
        <w:spacing w:after="0" w:line="240" w:lineRule="auto"/>
      </w:pPr>
      <w:r>
        <w:separator/>
      </w:r>
    </w:p>
  </w:footnote>
  <w:footnote w:type="continuationSeparator" w:id="0">
    <w:p w14:paraId="7B9D715A" w14:textId="77777777" w:rsidR="00E047BE" w:rsidRDefault="00E047BE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43C0" w14:textId="77777777" w:rsidR="00630E73" w:rsidRDefault="00630E73">
    <w:pPr>
      <w:pStyle w:val="Hlavika"/>
    </w:pPr>
    <w:r w:rsidRPr="00F610E7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92843C6" wp14:editId="392843C7">
          <wp:simplePos x="0" y="0"/>
          <wp:positionH relativeFrom="column">
            <wp:posOffset>-910590</wp:posOffset>
          </wp:positionH>
          <wp:positionV relativeFrom="page">
            <wp:posOffset>-13970</wp:posOffset>
          </wp:positionV>
          <wp:extent cx="1796400" cy="1008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ztek-modr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400" cy="10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E5C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91447"/>
    <w:multiLevelType w:val="hybridMultilevel"/>
    <w:tmpl w:val="27AA2C3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587718"/>
    <w:multiLevelType w:val="hybridMultilevel"/>
    <w:tmpl w:val="AAD2B97C"/>
    <w:lvl w:ilvl="0" w:tplc="041B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70D1D"/>
    <w:multiLevelType w:val="hybridMultilevel"/>
    <w:tmpl w:val="2A44FCE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321D1F"/>
    <w:multiLevelType w:val="hybridMultilevel"/>
    <w:tmpl w:val="D5F21F3A"/>
    <w:lvl w:ilvl="0" w:tplc="D68E8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D3EE8"/>
    <w:multiLevelType w:val="hybridMultilevel"/>
    <w:tmpl w:val="D29A0602"/>
    <w:lvl w:ilvl="0" w:tplc="0C34A21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4A7ED9"/>
    <w:multiLevelType w:val="hybridMultilevel"/>
    <w:tmpl w:val="4D38E6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F2A8E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A344EE"/>
    <w:multiLevelType w:val="hybridMultilevel"/>
    <w:tmpl w:val="7AD49A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A80930"/>
    <w:multiLevelType w:val="hybridMultilevel"/>
    <w:tmpl w:val="708ACEF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E74D6"/>
    <w:multiLevelType w:val="hybridMultilevel"/>
    <w:tmpl w:val="F320B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30621"/>
    <w:multiLevelType w:val="hybridMultilevel"/>
    <w:tmpl w:val="ECEE0CE8"/>
    <w:lvl w:ilvl="0" w:tplc="C10472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B66035"/>
    <w:multiLevelType w:val="hybridMultilevel"/>
    <w:tmpl w:val="22DA677E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BA3106F"/>
    <w:multiLevelType w:val="hybridMultilevel"/>
    <w:tmpl w:val="6BC601A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7A7F2A"/>
    <w:multiLevelType w:val="hybridMultilevel"/>
    <w:tmpl w:val="4E0EE80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657D6"/>
    <w:multiLevelType w:val="hybridMultilevel"/>
    <w:tmpl w:val="75DC060E"/>
    <w:lvl w:ilvl="0" w:tplc="B35C8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97F47"/>
    <w:multiLevelType w:val="hybridMultilevel"/>
    <w:tmpl w:val="793C6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91409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BB39CF"/>
    <w:multiLevelType w:val="hybridMultilevel"/>
    <w:tmpl w:val="670A53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7708D"/>
    <w:multiLevelType w:val="hybridMultilevel"/>
    <w:tmpl w:val="ED08F3E8"/>
    <w:lvl w:ilvl="0" w:tplc="B04CBFF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318FB"/>
    <w:multiLevelType w:val="hybridMultilevel"/>
    <w:tmpl w:val="F4CE4D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6B08FD"/>
    <w:multiLevelType w:val="hybridMultilevel"/>
    <w:tmpl w:val="A8DEC9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D7157D"/>
    <w:multiLevelType w:val="hybridMultilevel"/>
    <w:tmpl w:val="0CA0C4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3587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D7FEA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382F9C"/>
    <w:multiLevelType w:val="hybridMultilevel"/>
    <w:tmpl w:val="45AAE1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4A22E4"/>
    <w:multiLevelType w:val="hybridMultilevel"/>
    <w:tmpl w:val="69FEC30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45FE95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2637FC"/>
    <w:multiLevelType w:val="hybridMultilevel"/>
    <w:tmpl w:val="FCBEB9D8"/>
    <w:lvl w:ilvl="0" w:tplc="2986530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EB7DDC"/>
    <w:multiLevelType w:val="hybridMultilevel"/>
    <w:tmpl w:val="6C58D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33FD3"/>
    <w:multiLevelType w:val="hybridMultilevel"/>
    <w:tmpl w:val="698A33E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3F018D"/>
    <w:multiLevelType w:val="hybridMultilevel"/>
    <w:tmpl w:val="487C1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268BB"/>
    <w:multiLevelType w:val="hybridMultilevel"/>
    <w:tmpl w:val="443E59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70F16"/>
    <w:multiLevelType w:val="hybridMultilevel"/>
    <w:tmpl w:val="1B82C0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D6C78"/>
    <w:multiLevelType w:val="hybridMultilevel"/>
    <w:tmpl w:val="F9B07626"/>
    <w:lvl w:ilvl="0" w:tplc="5EA41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2"/>
  </w:num>
  <w:num w:numId="3">
    <w:abstractNumId w:val="8"/>
  </w:num>
  <w:num w:numId="4">
    <w:abstractNumId w:val="33"/>
  </w:num>
  <w:num w:numId="5">
    <w:abstractNumId w:val="19"/>
  </w:num>
  <w:num w:numId="6">
    <w:abstractNumId w:val="20"/>
  </w:num>
  <w:num w:numId="7">
    <w:abstractNumId w:val="4"/>
  </w:num>
  <w:num w:numId="8">
    <w:abstractNumId w:val="12"/>
  </w:num>
  <w:num w:numId="9">
    <w:abstractNumId w:val="16"/>
  </w:num>
  <w:num w:numId="10">
    <w:abstractNumId w:val="37"/>
  </w:num>
  <w:num w:numId="11">
    <w:abstractNumId w:val="36"/>
  </w:num>
  <w:num w:numId="12">
    <w:abstractNumId w:val="25"/>
  </w:num>
  <w:num w:numId="13">
    <w:abstractNumId w:val="30"/>
  </w:num>
  <w:num w:numId="14">
    <w:abstractNumId w:val="11"/>
  </w:num>
  <w:num w:numId="15">
    <w:abstractNumId w:val="22"/>
  </w:num>
  <w:num w:numId="16">
    <w:abstractNumId w:val="5"/>
  </w:num>
  <w:num w:numId="17">
    <w:abstractNumId w:val="10"/>
  </w:num>
  <w:num w:numId="18">
    <w:abstractNumId w:val="26"/>
  </w:num>
  <w:num w:numId="19">
    <w:abstractNumId w:val="18"/>
  </w:num>
  <w:num w:numId="20">
    <w:abstractNumId w:val="0"/>
  </w:num>
  <w:num w:numId="21">
    <w:abstractNumId w:val="13"/>
  </w:num>
  <w:num w:numId="22">
    <w:abstractNumId w:val="7"/>
  </w:num>
  <w:num w:numId="23">
    <w:abstractNumId w:val="24"/>
  </w:num>
  <w:num w:numId="24">
    <w:abstractNumId w:val="34"/>
  </w:num>
  <w:num w:numId="25">
    <w:abstractNumId w:val="27"/>
  </w:num>
  <w:num w:numId="26">
    <w:abstractNumId w:val="3"/>
  </w:num>
  <w:num w:numId="27">
    <w:abstractNumId w:val="23"/>
  </w:num>
  <w:num w:numId="28">
    <w:abstractNumId w:val="35"/>
  </w:num>
  <w:num w:numId="29">
    <w:abstractNumId w:val="31"/>
  </w:num>
  <w:num w:numId="30">
    <w:abstractNumId w:val="6"/>
  </w:num>
  <w:num w:numId="31">
    <w:abstractNumId w:val="29"/>
  </w:num>
  <w:num w:numId="32">
    <w:abstractNumId w:val="14"/>
  </w:num>
  <w:num w:numId="33">
    <w:abstractNumId w:val="2"/>
  </w:num>
  <w:num w:numId="34">
    <w:abstractNumId w:val="15"/>
  </w:num>
  <w:num w:numId="35">
    <w:abstractNumId w:val="9"/>
  </w:num>
  <w:num w:numId="36">
    <w:abstractNumId w:val="17"/>
  </w:num>
  <w:num w:numId="37">
    <w:abstractNumId w:val="1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ocumentProtection w:edit="readOnly" w:enforcement="1" w:cryptProviderType="rsaFull" w:cryptAlgorithmClass="hash" w:cryptAlgorithmType="typeAny" w:cryptAlgorithmSid="4" w:cryptSpinCount="100000" w:hash="zLDOIDss79n4thfwk3e3nbXikt8=" w:salt="UY3WmtWD9aMRBLJPXIFTX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BD"/>
    <w:rsid w:val="000021A9"/>
    <w:rsid w:val="00011F4D"/>
    <w:rsid w:val="00017959"/>
    <w:rsid w:val="00020EEC"/>
    <w:rsid w:val="00021FE1"/>
    <w:rsid w:val="000338F1"/>
    <w:rsid w:val="00040C46"/>
    <w:rsid w:val="00050BEE"/>
    <w:rsid w:val="0005119B"/>
    <w:rsid w:val="00052E2B"/>
    <w:rsid w:val="00055D62"/>
    <w:rsid w:val="0006022C"/>
    <w:rsid w:val="00060956"/>
    <w:rsid w:val="00066FFD"/>
    <w:rsid w:val="000A4693"/>
    <w:rsid w:val="000B077C"/>
    <w:rsid w:val="000B09A6"/>
    <w:rsid w:val="000D50AB"/>
    <w:rsid w:val="000D5B85"/>
    <w:rsid w:val="000E45CA"/>
    <w:rsid w:val="000E4D93"/>
    <w:rsid w:val="000F22FE"/>
    <w:rsid w:val="00102420"/>
    <w:rsid w:val="00131651"/>
    <w:rsid w:val="00140C57"/>
    <w:rsid w:val="0014309A"/>
    <w:rsid w:val="00163A3F"/>
    <w:rsid w:val="001827E0"/>
    <w:rsid w:val="001A28A2"/>
    <w:rsid w:val="001A4E1F"/>
    <w:rsid w:val="001A5DDB"/>
    <w:rsid w:val="001A64C1"/>
    <w:rsid w:val="001A6578"/>
    <w:rsid w:val="001B3E63"/>
    <w:rsid w:val="001C08BC"/>
    <w:rsid w:val="001C16C9"/>
    <w:rsid w:val="001D4E57"/>
    <w:rsid w:val="001E061A"/>
    <w:rsid w:val="001E49EA"/>
    <w:rsid w:val="001E7DCE"/>
    <w:rsid w:val="001F3BEF"/>
    <w:rsid w:val="001F5896"/>
    <w:rsid w:val="002613A3"/>
    <w:rsid w:val="00274A65"/>
    <w:rsid w:val="0029518C"/>
    <w:rsid w:val="0029539E"/>
    <w:rsid w:val="00295CA8"/>
    <w:rsid w:val="00297AAE"/>
    <w:rsid w:val="002A0132"/>
    <w:rsid w:val="002A3F18"/>
    <w:rsid w:val="002A4BE5"/>
    <w:rsid w:val="002B198F"/>
    <w:rsid w:val="002B340A"/>
    <w:rsid w:val="002D2C65"/>
    <w:rsid w:val="002D4C21"/>
    <w:rsid w:val="002E7129"/>
    <w:rsid w:val="002F25B5"/>
    <w:rsid w:val="0031611D"/>
    <w:rsid w:val="00324DB9"/>
    <w:rsid w:val="00333216"/>
    <w:rsid w:val="003349EF"/>
    <w:rsid w:val="00350C1C"/>
    <w:rsid w:val="00353B2B"/>
    <w:rsid w:val="0036158F"/>
    <w:rsid w:val="00365A0E"/>
    <w:rsid w:val="003713F7"/>
    <w:rsid w:val="00372FD5"/>
    <w:rsid w:val="00376097"/>
    <w:rsid w:val="00376117"/>
    <w:rsid w:val="003A00E2"/>
    <w:rsid w:val="003C130B"/>
    <w:rsid w:val="003D03C2"/>
    <w:rsid w:val="003D6392"/>
    <w:rsid w:val="003F2990"/>
    <w:rsid w:val="003F4BBF"/>
    <w:rsid w:val="00412183"/>
    <w:rsid w:val="0041259E"/>
    <w:rsid w:val="00424676"/>
    <w:rsid w:val="0042690B"/>
    <w:rsid w:val="004340BC"/>
    <w:rsid w:val="00437128"/>
    <w:rsid w:val="00442459"/>
    <w:rsid w:val="004438AB"/>
    <w:rsid w:val="00444782"/>
    <w:rsid w:val="004452C9"/>
    <w:rsid w:val="004628AB"/>
    <w:rsid w:val="00470888"/>
    <w:rsid w:val="00481796"/>
    <w:rsid w:val="004901A5"/>
    <w:rsid w:val="00491030"/>
    <w:rsid w:val="00496675"/>
    <w:rsid w:val="004B01C3"/>
    <w:rsid w:val="004C2067"/>
    <w:rsid w:val="004C7335"/>
    <w:rsid w:val="004D0302"/>
    <w:rsid w:val="004D162F"/>
    <w:rsid w:val="004D2580"/>
    <w:rsid w:val="004E0D3C"/>
    <w:rsid w:val="004F1202"/>
    <w:rsid w:val="004F6EBC"/>
    <w:rsid w:val="0052451B"/>
    <w:rsid w:val="005249C4"/>
    <w:rsid w:val="0054053C"/>
    <w:rsid w:val="00540D19"/>
    <w:rsid w:val="00543C4C"/>
    <w:rsid w:val="00547D2E"/>
    <w:rsid w:val="00551735"/>
    <w:rsid w:val="00553016"/>
    <w:rsid w:val="00572729"/>
    <w:rsid w:val="00582EF7"/>
    <w:rsid w:val="0058708D"/>
    <w:rsid w:val="0059448F"/>
    <w:rsid w:val="005971CF"/>
    <w:rsid w:val="005A0ECA"/>
    <w:rsid w:val="005A2C12"/>
    <w:rsid w:val="005B14BD"/>
    <w:rsid w:val="005D2EF9"/>
    <w:rsid w:val="005D51F7"/>
    <w:rsid w:val="005D5C9E"/>
    <w:rsid w:val="005E066C"/>
    <w:rsid w:val="005E112B"/>
    <w:rsid w:val="005E2DE0"/>
    <w:rsid w:val="005E41EF"/>
    <w:rsid w:val="005E4624"/>
    <w:rsid w:val="005E5E39"/>
    <w:rsid w:val="005F4048"/>
    <w:rsid w:val="005F6D48"/>
    <w:rsid w:val="00600DD4"/>
    <w:rsid w:val="00610332"/>
    <w:rsid w:val="006108FB"/>
    <w:rsid w:val="00613B06"/>
    <w:rsid w:val="00613C8E"/>
    <w:rsid w:val="0062238D"/>
    <w:rsid w:val="00630E73"/>
    <w:rsid w:val="006325E8"/>
    <w:rsid w:val="00635539"/>
    <w:rsid w:val="006374C1"/>
    <w:rsid w:val="0064042D"/>
    <w:rsid w:val="0065095A"/>
    <w:rsid w:val="0065463C"/>
    <w:rsid w:val="006564BB"/>
    <w:rsid w:val="0065709C"/>
    <w:rsid w:val="00661FE2"/>
    <w:rsid w:val="0066672A"/>
    <w:rsid w:val="00667AC1"/>
    <w:rsid w:val="00667C98"/>
    <w:rsid w:val="0067629F"/>
    <w:rsid w:val="006806BB"/>
    <w:rsid w:val="00681AF5"/>
    <w:rsid w:val="006A07E6"/>
    <w:rsid w:val="006A29B3"/>
    <w:rsid w:val="006A37B1"/>
    <w:rsid w:val="006B074C"/>
    <w:rsid w:val="006C6829"/>
    <w:rsid w:val="006D02DA"/>
    <w:rsid w:val="006D6D5E"/>
    <w:rsid w:val="006E3DD9"/>
    <w:rsid w:val="006E4961"/>
    <w:rsid w:val="006F0D6B"/>
    <w:rsid w:val="007048B8"/>
    <w:rsid w:val="007339C0"/>
    <w:rsid w:val="00742917"/>
    <w:rsid w:val="00746D8E"/>
    <w:rsid w:val="007519DA"/>
    <w:rsid w:val="00752C69"/>
    <w:rsid w:val="007603D3"/>
    <w:rsid w:val="00774EBE"/>
    <w:rsid w:val="007813C1"/>
    <w:rsid w:val="00784E88"/>
    <w:rsid w:val="00786960"/>
    <w:rsid w:val="00795C28"/>
    <w:rsid w:val="007A0A2F"/>
    <w:rsid w:val="007A2FEF"/>
    <w:rsid w:val="007A38C5"/>
    <w:rsid w:val="007C0B3B"/>
    <w:rsid w:val="007C6AD5"/>
    <w:rsid w:val="007F2357"/>
    <w:rsid w:val="007F7422"/>
    <w:rsid w:val="008014DE"/>
    <w:rsid w:val="00804B94"/>
    <w:rsid w:val="00804D89"/>
    <w:rsid w:val="00812E1F"/>
    <w:rsid w:val="00816938"/>
    <w:rsid w:val="00833FEE"/>
    <w:rsid w:val="00836BC5"/>
    <w:rsid w:val="00843601"/>
    <w:rsid w:val="00847A3E"/>
    <w:rsid w:val="00874E4B"/>
    <w:rsid w:val="00895F85"/>
    <w:rsid w:val="008A445F"/>
    <w:rsid w:val="008A5F75"/>
    <w:rsid w:val="008C2DF8"/>
    <w:rsid w:val="008C4BA7"/>
    <w:rsid w:val="008D081F"/>
    <w:rsid w:val="008D59BB"/>
    <w:rsid w:val="008E2E56"/>
    <w:rsid w:val="008E45AC"/>
    <w:rsid w:val="008E76E6"/>
    <w:rsid w:val="008F2682"/>
    <w:rsid w:val="009012BE"/>
    <w:rsid w:val="009103F4"/>
    <w:rsid w:val="00924A79"/>
    <w:rsid w:val="009451F8"/>
    <w:rsid w:val="0095490C"/>
    <w:rsid w:val="00957A51"/>
    <w:rsid w:val="0096739D"/>
    <w:rsid w:val="00976CBA"/>
    <w:rsid w:val="009865B1"/>
    <w:rsid w:val="00991461"/>
    <w:rsid w:val="00991B02"/>
    <w:rsid w:val="0099281E"/>
    <w:rsid w:val="009978F0"/>
    <w:rsid w:val="009A3E30"/>
    <w:rsid w:val="009A4E3D"/>
    <w:rsid w:val="009A7F6E"/>
    <w:rsid w:val="009B4BF5"/>
    <w:rsid w:val="009B4CB1"/>
    <w:rsid w:val="009B63A4"/>
    <w:rsid w:val="009E7BB9"/>
    <w:rsid w:val="009E7F97"/>
    <w:rsid w:val="009F5DFE"/>
    <w:rsid w:val="009F7C22"/>
    <w:rsid w:val="00A02581"/>
    <w:rsid w:val="00A0312B"/>
    <w:rsid w:val="00A0412E"/>
    <w:rsid w:val="00A15DFD"/>
    <w:rsid w:val="00A166D3"/>
    <w:rsid w:val="00A204E9"/>
    <w:rsid w:val="00A261DB"/>
    <w:rsid w:val="00A422B7"/>
    <w:rsid w:val="00A52B61"/>
    <w:rsid w:val="00A70EBD"/>
    <w:rsid w:val="00A712FF"/>
    <w:rsid w:val="00A74631"/>
    <w:rsid w:val="00A75F4B"/>
    <w:rsid w:val="00A75FA3"/>
    <w:rsid w:val="00A815E3"/>
    <w:rsid w:val="00A91A12"/>
    <w:rsid w:val="00A935F8"/>
    <w:rsid w:val="00AB0051"/>
    <w:rsid w:val="00AB4209"/>
    <w:rsid w:val="00AB6CAD"/>
    <w:rsid w:val="00AC7ADE"/>
    <w:rsid w:val="00AE1899"/>
    <w:rsid w:val="00AE4DC5"/>
    <w:rsid w:val="00AF4166"/>
    <w:rsid w:val="00B01F36"/>
    <w:rsid w:val="00B2014F"/>
    <w:rsid w:val="00B266C9"/>
    <w:rsid w:val="00B30FEB"/>
    <w:rsid w:val="00B3538C"/>
    <w:rsid w:val="00B4011E"/>
    <w:rsid w:val="00B51A34"/>
    <w:rsid w:val="00B76C6F"/>
    <w:rsid w:val="00B8083C"/>
    <w:rsid w:val="00B860D0"/>
    <w:rsid w:val="00B9167D"/>
    <w:rsid w:val="00BA3156"/>
    <w:rsid w:val="00BA7162"/>
    <w:rsid w:val="00BA75B5"/>
    <w:rsid w:val="00BB1BBF"/>
    <w:rsid w:val="00BB506D"/>
    <w:rsid w:val="00BC14E9"/>
    <w:rsid w:val="00BC428E"/>
    <w:rsid w:val="00BC7153"/>
    <w:rsid w:val="00BD0F9D"/>
    <w:rsid w:val="00BE0915"/>
    <w:rsid w:val="00BE16C7"/>
    <w:rsid w:val="00BE24A0"/>
    <w:rsid w:val="00BF32C7"/>
    <w:rsid w:val="00BF6FAB"/>
    <w:rsid w:val="00BF7BB3"/>
    <w:rsid w:val="00C03DC1"/>
    <w:rsid w:val="00C064E0"/>
    <w:rsid w:val="00C06F4D"/>
    <w:rsid w:val="00C113DB"/>
    <w:rsid w:val="00C14BC5"/>
    <w:rsid w:val="00C24BE0"/>
    <w:rsid w:val="00C30CB4"/>
    <w:rsid w:val="00C30F68"/>
    <w:rsid w:val="00C34DD0"/>
    <w:rsid w:val="00C372FC"/>
    <w:rsid w:val="00C37D38"/>
    <w:rsid w:val="00C423E4"/>
    <w:rsid w:val="00C47763"/>
    <w:rsid w:val="00C619FF"/>
    <w:rsid w:val="00C70925"/>
    <w:rsid w:val="00C71C58"/>
    <w:rsid w:val="00C800ED"/>
    <w:rsid w:val="00C922BF"/>
    <w:rsid w:val="00CA0DBF"/>
    <w:rsid w:val="00CA7125"/>
    <w:rsid w:val="00CA7195"/>
    <w:rsid w:val="00CD6FBC"/>
    <w:rsid w:val="00CE410D"/>
    <w:rsid w:val="00CF5F32"/>
    <w:rsid w:val="00D10B55"/>
    <w:rsid w:val="00D129C2"/>
    <w:rsid w:val="00D16CB1"/>
    <w:rsid w:val="00D20336"/>
    <w:rsid w:val="00D248E3"/>
    <w:rsid w:val="00D33DF4"/>
    <w:rsid w:val="00D44A82"/>
    <w:rsid w:val="00D51E73"/>
    <w:rsid w:val="00D52EAE"/>
    <w:rsid w:val="00D56435"/>
    <w:rsid w:val="00D706C9"/>
    <w:rsid w:val="00D75BCB"/>
    <w:rsid w:val="00D8469E"/>
    <w:rsid w:val="00D8663D"/>
    <w:rsid w:val="00D873C0"/>
    <w:rsid w:val="00D9152C"/>
    <w:rsid w:val="00DA031A"/>
    <w:rsid w:val="00DA2E96"/>
    <w:rsid w:val="00DC7BFE"/>
    <w:rsid w:val="00DD0896"/>
    <w:rsid w:val="00DE08FA"/>
    <w:rsid w:val="00DE4C1D"/>
    <w:rsid w:val="00E047BE"/>
    <w:rsid w:val="00E13B53"/>
    <w:rsid w:val="00E25A12"/>
    <w:rsid w:val="00E43303"/>
    <w:rsid w:val="00E52E4C"/>
    <w:rsid w:val="00E62249"/>
    <w:rsid w:val="00E70B48"/>
    <w:rsid w:val="00E7120C"/>
    <w:rsid w:val="00E7472C"/>
    <w:rsid w:val="00E74B72"/>
    <w:rsid w:val="00E763E4"/>
    <w:rsid w:val="00E77707"/>
    <w:rsid w:val="00E91911"/>
    <w:rsid w:val="00EA013E"/>
    <w:rsid w:val="00EB1413"/>
    <w:rsid w:val="00ED613B"/>
    <w:rsid w:val="00ED7A2D"/>
    <w:rsid w:val="00EE296C"/>
    <w:rsid w:val="00EF7E49"/>
    <w:rsid w:val="00F011BA"/>
    <w:rsid w:val="00F05DAE"/>
    <w:rsid w:val="00F303E0"/>
    <w:rsid w:val="00F31453"/>
    <w:rsid w:val="00F35C09"/>
    <w:rsid w:val="00F46BE6"/>
    <w:rsid w:val="00F51DF7"/>
    <w:rsid w:val="00F52009"/>
    <w:rsid w:val="00F71C05"/>
    <w:rsid w:val="00F723BA"/>
    <w:rsid w:val="00F75B5E"/>
    <w:rsid w:val="00F77558"/>
    <w:rsid w:val="00F86D52"/>
    <w:rsid w:val="00F92E74"/>
    <w:rsid w:val="00F93E9D"/>
    <w:rsid w:val="00FA1D23"/>
    <w:rsid w:val="00FA6E92"/>
    <w:rsid w:val="00FB34CE"/>
    <w:rsid w:val="00FB38E8"/>
    <w:rsid w:val="00FC362F"/>
    <w:rsid w:val="00FD3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84348"/>
  <w15:docId w15:val="{81884566-E3EE-4A17-8D51-9A5B406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93E9D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bodytext">
    <w:name w:val="bodytext"/>
    <w:basedOn w:val="Normlny"/>
    <w:rsid w:val="00613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C064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inancnahitparada.sk/hypotek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5" ma:contentTypeDescription="Umožňuje vytvoriť nový dokument." ma:contentTypeScope="" ma:versionID="c0b1d389c2f8023340f3f008248459a9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aba4ebb8d9e11a118eea26d1b90fca28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555f33-c690-422e-ae45-7091041f8b48">
      <Terms xmlns="http://schemas.microsoft.com/office/infopath/2007/PartnerControls"/>
    </lcf76f155ced4ddcb4097134ff3c332f>
    <TaxCatchAll xmlns="b86251ab-e7c7-4cb7-b667-c06f8abff1d6" xsi:nil="true"/>
  </documentManagement>
</p:properties>
</file>

<file path=customXml/itemProps1.xml><?xml version="1.0" encoding="utf-8"?>
<ds:datastoreItem xmlns:ds="http://schemas.openxmlformats.org/officeDocument/2006/customXml" ds:itemID="{AC624EF1-68FF-4E60-9F1A-DB7E7C298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5f33-c690-422e-ae45-7091041f8b48"/>
    <ds:schemaRef ds:uri="b86251ab-e7c7-4cb7-b667-c06f8abff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44E3CD-0D96-4553-8389-7527C87385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814AC-FB1B-4320-8079-C7BD3933AF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1308</Words>
  <Characters>7458</Characters>
  <Application>Microsoft Office Word</Application>
  <DocSecurity>8</DocSecurity>
  <Lines>62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</dc:creator>
  <cp:lastModifiedBy>KOVAĽOVÁ Jana FINQ</cp:lastModifiedBy>
  <cp:revision>8</cp:revision>
  <cp:lastPrinted>2019-09-06T10:17:00Z</cp:lastPrinted>
  <dcterms:created xsi:type="dcterms:W3CDTF">2019-09-06T10:40:00Z</dcterms:created>
  <dcterms:modified xsi:type="dcterms:W3CDTF">2022-08-23T10:08:00Z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2022-08-23T10:08:34Z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fc47b9f8-55ad-4576-bb56-e5ca4bcafd2d</vt:lpwstr>
  </property>
  <property fmtid="{D5CDD505-2E9C-101B-9397-08002B2CF9AE}" pid="8" name="MSIP_Label_38939b85-7e40-4a1d-91e1-0e84c3b219d7_ContentBits">
    <vt:lpwstr>0</vt:lpwstr>
  </property>
  <property fmtid="{D5CDD505-2E9C-101B-9397-08002B2CF9AE}" pid="9" name="ContentTypeId">
    <vt:lpwstr>0x010100F430550EF43492438FC4A4AB6AB1197D</vt:lpwstr>
  </property>
</Properties>
</file>