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59B8" w14:textId="77777777" w:rsidR="005A342F" w:rsidRPr="00243F9E" w:rsidRDefault="00243F9E" w:rsidP="00D63F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Zásady rozpisu dodatočnej štátnej dotácie na štipendiá doktorandov za rok 2025 podľa Akčného plánu Národnej stratégie výskumu, vývoja a </w:t>
      </w:r>
      <w:r w:rsidR="00D63FAC">
        <w:rPr>
          <w:rFonts w:ascii="Times New Roman" w:hAnsi="Times New Roman" w:cs="Times New Roman"/>
          <w:b/>
          <w:sz w:val="24"/>
          <w:szCs w:val="24"/>
        </w:rPr>
        <w:t>inovácií</w:t>
      </w:r>
    </w:p>
    <w:p w14:paraId="7FA6D8E8" w14:textId="77777777" w:rsidR="00941A99" w:rsidRDefault="00941A99" w:rsidP="005649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A99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Dotácia na štipendiá študentov 3. stupňa (doktorandského) verejným vysokým školám sa poskytuje na základe </w:t>
      </w:r>
      <w:r w:rsidRPr="00941A99">
        <w:rPr>
          <w:rFonts w:ascii="Times New Roman" w:hAnsi="Times New Roman" w:cs="Times New Roman"/>
          <w:sz w:val="24"/>
          <w:szCs w:val="24"/>
        </w:rPr>
        <w:t xml:space="preserve">Dohody o spolupráci </w:t>
      </w:r>
      <w:r>
        <w:rPr>
          <w:rFonts w:ascii="Times New Roman" w:hAnsi="Times New Roman" w:cs="Times New Roman"/>
          <w:sz w:val="24"/>
          <w:szCs w:val="24"/>
        </w:rPr>
        <w:t xml:space="preserve">MŠVVaM a </w:t>
      </w:r>
      <w:r w:rsidRPr="00941A99">
        <w:rPr>
          <w:rFonts w:ascii="Times New Roman" w:hAnsi="Times New Roman" w:cs="Times New Roman"/>
          <w:sz w:val="24"/>
          <w:szCs w:val="24"/>
        </w:rPr>
        <w:t>CEZ ÚV SR: 829/2024 zo dňa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A9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2024, ktorá upravuje vykonávanie opatrení Akčného plánu Národnej stratégie výskumu, vývoja a inovácií, konkrétne opatrenie </w:t>
      </w:r>
      <w:r w:rsidRPr="00941A99">
        <w:rPr>
          <w:rFonts w:ascii="Times New Roman" w:hAnsi="Times New Roman" w:cs="Times New Roman"/>
          <w:sz w:val="24"/>
          <w:szCs w:val="24"/>
        </w:rPr>
        <w:t>č. 2.2.1.1  Poskytovanie štipendií pre doktorandov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C403B" w14:textId="77777777" w:rsidR="00941A99" w:rsidRDefault="00941A99" w:rsidP="005649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Výška dotácie na rok 2025 pre verejné vysoké školy je </w:t>
      </w:r>
      <w:r w:rsidRPr="00941A99">
        <w:rPr>
          <w:rFonts w:ascii="Times New Roman" w:hAnsi="Times New Roman" w:cs="Times New Roman"/>
          <w:sz w:val="24"/>
          <w:szCs w:val="24"/>
        </w:rPr>
        <w:t>2 605 295 €,</w:t>
      </w:r>
      <w:r>
        <w:rPr>
          <w:rFonts w:ascii="Times New Roman" w:hAnsi="Times New Roman" w:cs="Times New Roman"/>
          <w:sz w:val="24"/>
          <w:szCs w:val="24"/>
        </w:rPr>
        <w:t xml:space="preserve"> z tejto dotácie sa poskytne 50 štipendií pre študentov 3. stupňa (doktorandského), interná forma, výška jedného štipendia je 52 105,90 €. Dotácia je účelovo viazaná a verejná vysoká škola ju môže použiť výhradne na štipendiá podľa § 54, odsek 18 zákona č. 131/2002 Z. z. o vysokých školách.</w:t>
      </w:r>
      <w:r w:rsidR="00243F9E">
        <w:rPr>
          <w:rFonts w:ascii="Times New Roman" w:hAnsi="Times New Roman" w:cs="Times New Roman"/>
          <w:sz w:val="24"/>
          <w:szCs w:val="24"/>
        </w:rPr>
        <w:t xml:space="preserve"> Podmienkou získania dotácie je vypísanie prijímacieho konania (dotácia nemôže byť použitá na úhradu štipendií už prijatých študentov).</w:t>
      </w:r>
    </w:p>
    <w:p w14:paraId="2298EC54" w14:textId="77777777" w:rsidR="00941A99" w:rsidRDefault="00941A99" w:rsidP="005649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Na rozpis dotácie sa uplatní § 26aa, odsek 1, písmeno b)</w:t>
      </w:r>
      <w:r w:rsidR="005301DF">
        <w:rPr>
          <w:rFonts w:ascii="Times New Roman" w:hAnsi="Times New Roman" w:cs="Times New Roman"/>
          <w:sz w:val="24"/>
          <w:szCs w:val="24"/>
        </w:rPr>
        <w:t xml:space="preserve"> zákona č. 172/2005 Z. z. o organizácii štátnej podpory výskumu a vývoja, podľa ktorého sa výsledky periodického hodnotenia výskumnej, vývojovej alebo umeleckej a ďalšej tvorivej činnosti používajú aj na účely „</w:t>
      </w:r>
      <w:r w:rsidR="005301DF" w:rsidRPr="005301DF">
        <w:rPr>
          <w:rFonts w:ascii="Times New Roman" w:hAnsi="Times New Roman" w:cs="Times New Roman"/>
          <w:sz w:val="24"/>
          <w:szCs w:val="24"/>
        </w:rPr>
        <w:t>rozpisu dotácií verejným vysokým školám poskytovaným ministerstvom školstva</w:t>
      </w:r>
      <w:r w:rsidR="005301DF">
        <w:rPr>
          <w:rFonts w:ascii="Times New Roman" w:hAnsi="Times New Roman" w:cs="Times New Roman"/>
          <w:sz w:val="24"/>
          <w:szCs w:val="24"/>
        </w:rPr>
        <w:t>“.</w:t>
      </w:r>
    </w:p>
    <w:p w14:paraId="5FAF24A3" w14:textId="77777777" w:rsidR="005301DF" w:rsidRDefault="005301DF" w:rsidP="005649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Pri rozpise dotácie sa postupuje v súlade s prílohou 6, odsek 3, písmeno e)  Metodiky rozpisu štátnej dotácie na rok 2025 tak, že všetky výsledky periodického hodnotenia verejných vysokých škôl (profily kvality VER 2022) </w:t>
      </w:r>
      <w:r w:rsidR="00EB461F">
        <w:rPr>
          <w:rFonts w:ascii="Times New Roman" w:hAnsi="Times New Roman" w:cs="Times New Roman"/>
          <w:sz w:val="24"/>
          <w:szCs w:val="24"/>
        </w:rPr>
        <w:t xml:space="preserve">okrem nehodnotených pracovísk s počtom zamestnancov pod 5 </w:t>
      </w:r>
      <w:r>
        <w:rPr>
          <w:rFonts w:ascii="Times New Roman" w:hAnsi="Times New Roman" w:cs="Times New Roman"/>
          <w:sz w:val="24"/>
          <w:szCs w:val="24"/>
        </w:rPr>
        <w:t xml:space="preserve">sa vynásobia váhami tak, </w:t>
      </w:r>
      <w:r w:rsidRPr="005301DF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>percentuálny podiel svetovej</w:t>
      </w:r>
      <w:r w:rsidRPr="005301DF">
        <w:rPr>
          <w:rFonts w:ascii="Times New Roman" w:hAnsi="Times New Roman" w:cs="Times New Roman"/>
          <w:sz w:val="24"/>
          <w:szCs w:val="24"/>
        </w:rPr>
        <w:t xml:space="preserve"> kvalit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301DF">
        <w:rPr>
          <w:rFonts w:ascii="Times New Roman" w:hAnsi="Times New Roman" w:cs="Times New Roman"/>
          <w:sz w:val="24"/>
          <w:szCs w:val="24"/>
        </w:rPr>
        <w:t xml:space="preserve"> sa násobí váhou 8, </w:t>
      </w:r>
      <w:r>
        <w:rPr>
          <w:rFonts w:ascii="Times New Roman" w:hAnsi="Times New Roman" w:cs="Times New Roman"/>
          <w:sz w:val="24"/>
          <w:szCs w:val="24"/>
        </w:rPr>
        <w:t xml:space="preserve">percentuálny podiel </w:t>
      </w:r>
      <w:r w:rsidRPr="005301DF">
        <w:rPr>
          <w:rFonts w:ascii="Times New Roman" w:hAnsi="Times New Roman" w:cs="Times New Roman"/>
          <w:sz w:val="24"/>
          <w:szCs w:val="24"/>
        </w:rPr>
        <w:t>významn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301DF">
        <w:rPr>
          <w:rFonts w:ascii="Times New Roman" w:hAnsi="Times New Roman" w:cs="Times New Roman"/>
          <w:sz w:val="24"/>
          <w:szCs w:val="24"/>
        </w:rPr>
        <w:t xml:space="preserve"> medzinárodn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301DF">
        <w:rPr>
          <w:rFonts w:ascii="Times New Roman" w:hAnsi="Times New Roman" w:cs="Times New Roman"/>
          <w:sz w:val="24"/>
          <w:szCs w:val="24"/>
        </w:rPr>
        <w:t xml:space="preserve"> kvalit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301DF">
        <w:rPr>
          <w:rFonts w:ascii="Times New Roman" w:hAnsi="Times New Roman" w:cs="Times New Roman"/>
          <w:sz w:val="24"/>
          <w:szCs w:val="24"/>
        </w:rPr>
        <w:t xml:space="preserve"> sa násobí váhou 5, </w:t>
      </w:r>
      <w:r>
        <w:rPr>
          <w:rFonts w:ascii="Times New Roman" w:hAnsi="Times New Roman" w:cs="Times New Roman"/>
          <w:sz w:val="24"/>
          <w:szCs w:val="24"/>
        </w:rPr>
        <w:t xml:space="preserve">percentuálny podiel </w:t>
      </w:r>
      <w:r w:rsidRPr="005301DF">
        <w:rPr>
          <w:rFonts w:ascii="Times New Roman" w:hAnsi="Times New Roman" w:cs="Times New Roman"/>
          <w:sz w:val="24"/>
          <w:szCs w:val="24"/>
        </w:rPr>
        <w:t>medzinárodn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301DF">
        <w:rPr>
          <w:rFonts w:ascii="Times New Roman" w:hAnsi="Times New Roman" w:cs="Times New Roman"/>
          <w:sz w:val="24"/>
          <w:szCs w:val="24"/>
        </w:rPr>
        <w:t xml:space="preserve"> kvalit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301DF">
        <w:rPr>
          <w:rFonts w:ascii="Times New Roman" w:hAnsi="Times New Roman" w:cs="Times New Roman"/>
          <w:sz w:val="24"/>
          <w:szCs w:val="24"/>
        </w:rPr>
        <w:t xml:space="preserve"> sa násobí váhou 3, </w:t>
      </w:r>
      <w:r>
        <w:rPr>
          <w:rFonts w:ascii="Times New Roman" w:hAnsi="Times New Roman" w:cs="Times New Roman"/>
          <w:sz w:val="24"/>
          <w:szCs w:val="24"/>
        </w:rPr>
        <w:t xml:space="preserve">percentuálny podiel </w:t>
      </w:r>
      <w:r w:rsidRPr="005301DF">
        <w:rPr>
          <w:rFonts w:ascii="Times New Roman" w:hAnsi="Times New Roman" w:cs="Times New Roman"/>
          <w:sz w:val="24"/>
          <w:szCs w:val="24"/>
        </w:rPr>
        <w:t>národn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301DF">
        <w:rPr>
          <w:rFonts w:ascii="Times New Roman" w:hAnsi="Times New Roman" w:cs="Times New Roman"/>
          <w:sz w:val="24"/>
          <w:szCs w:val="24"/>
        </w:rPr>
        <w:t xml:space="preserve"> kvalit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301DF">
        <w:rPr>
          <w:rFonts w:ascii="Times New Roman" w:hAnsi="Times New Roman" w:cs="Times New Roman"/>
          <w:sz w:val="24"/>
          <w:szCs w:val="24"/>
        </w:rPr>
        <w:t xml:space="preserve"> sa násobí váhou 1 </w:t>
      </w:r>
      <w:r>
        <w:rPr>
          <w:rFonts w:ascii="Times New Roman" w:hAnsi="Times New Roman" w:cs="Times New Roman"/>
          <w:sz w:val="24"/>
          <w:szCs w:val="24"/>
        </w:rPr>
        <w:t xml:space="preserve">a percentuálny podiel </w:t>
      </w:r>
      <w:r w:rsidRPr="005301DF">
        <w:rPr>
          <w:rFonts w:ascii="Times New Roman" w:hAnsi="Times New Roman" w:cs="Times New Roman"/>
          <w:sz w:val="24"/>
          <w:szCs w:val="24"/>
        </w:rPr>
        <w:t>nezaraden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5301DF">
        <w:rPr>
          <w:rFonts w:ascii="Times New Roman" w:hAnsi="Times New Roman" w:cs="Times New Roman"/>
          <w:sz w:val="24"/>
          <w:szCs w:val="24"/>
        </w:rPr>
        <w:t xml:space="preserve"> výstup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5301DF">
        <w:rPr>
          <w:rFonts w:ascii="Times New Roman" w:hAnsi="Times New Roman" w:cs="Times New Roman"/>
          <w:sz w:val="24"/>
          <w:szCs w:val="24"/>
        </w:rPr>
        <w:t xml:space="preserve"> sa násob</w:t>
      </w:r>
      <w:r>
        <w:rPr>
          <w:rFonts w:ascii="Times New Roman" w:hAnsi="Times New Roman" w:cs="Times New Roman"/>
          <w:sz w:val="24"/>
          <w:szCs w:val="24"/>
        </w:rPr>
        <w:t xml:space="preserve">í váhou 0, a výsledky sa sčítajú, čím vznikne počet </w:t>
      </w:r>
      <w:r w:rsidR="00EB461F">
        <w:rPr>
          <w:rFonts w:ascii="Times New Roman" w:hAnsi="Times New Roman" w:cs="Times New Roman"/>
          <w:sz w:val="24"/>
          <w:szCs w:val="24"/>
        </w:rPr>
        <w:t>bodov.</w:t>
      </w:r>
    </w:p>
    <w:p w14:paraId="5D1D5E0D" w14:textId="77777777" w:rsidR="00EB461F" w:rsidRDefault="00EB461F" w:rsidP="005649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Všetky príslušné pracoviská verejných vysokých škôl sa usporiadajú zostupne podľa výsledkov bodového hodnotenia podľa odseku 4) od najvyššieho hodnotenia po najnižšie, a stanovuje sa hranica bodového hodnotenia pre prvých 50 pracovísk, ktorá vzhľadom na výšku dotácie a počet predstavuje v roku 2025 počet 332 bodov, teda dotácia na štipendium sa poskytne každému pracovisku, ktoré získalo 332 a viac bodov podľa odseku 4. Zoznam všetkých pracovísk a ich bodových hodnotení sa nachádza v prílohe 1.</w:t>
      </w:r>
    </w:p>
    <w:p w14:paraId="4AADF496" w14:textId="77777777" w:rsidR="00EB461F" w:rsidRDefault="00EB461F" w:rsidP="005649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(6) </w:t>
      </w:r>
      <w:r w:rsidR="00243F9E">
        <w:rPr>
          <w:rFonts w:ascii="Times New Roman" w:hAnsi="Times New Roman" w:cs="Times New Roman"/>
          <w:sz w:val="24"/>
          <w:szCs w:val="24"/>
        </w:rPr>
        <w:t>Verejná vysoká škola je povinná zabezpečiť prijímacie konanie tak, aby bola štátna dotácia poskytnutá výhradne tým súčastiam a pracoviskám a tým oblastiam výskumu, ktoré sú uvedené v prílohe 1.</w:t>
      </w:r>
    </w:p>
    <w:p w14:paraId="0E8CEC7F" w14:textId="77777777" w:rsidR="00243F9E" w:rsidRDefault="00243F9E" w:rsidP="005649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V prípade, že výsledky periodického hodnotenia za danú oblasť výskumu sú uvedené za celú inštitúciu (celú verejnú vysokú školu), alebo na príslušnej súčasti v danej oblasti výskumu poskytuje doktorandské štúdium viac pracovísk, rozhoduje o pridelení príslušného štipendia verejná vysoká škola.</w:t>
      </w:r>
    </w:p>
    <w:p w14:paraId="4F597AFC" w14:textId="77777777" w:rsidR="00243F9E" w:rsidRDefault="00243F9E" w:rsidP="005649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V prípade, že súčasť verejnej vysokej školy alebo pracovisko, uvedené v prílohe 1 ako prijímateľ štátnej dotácie, neposkytuje štúdium 3. stupňa v danej oblasti výskumu, je verejná vysoká škola povinná ponúknuť príslušnú časť dotácie inému svojmu pracovisku tak, že v prvej etape sa ponúkne príslušnej súčasti alebo fakulte </w:t>
      </w:r>
      <w:r w:rsidR="00F873D7">
        <w:rPr>
          <w:rFonts w:ascii="Times New Roman" w:hAnsi="Times New Roman" w:cs="Times New Roman"/>
          <w:sz w:val="24"/>
          <w:szCs w:val="24"/>
        </w:rPr>
        <w:t>dodatočné miesto v iných oblastiach výskumu, ktoré sú však uvedené ako príjemcovia v prílohe 1, a v druhej etape sa ponúkne dodatočné miesto inej fakulte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3D7">
        <w:rPr>
          <w:rFonts w:ascii="Times New Roman" w:hAnsi="Times New Roman" w:cs="Times New Roman"/>
          <w:sz w:val="24"/>
          <w:szCs w:val="24"/>
        </w:rPr>
        <w:t>alebo súčasti, pričom sa rešpektuje príslušná oblasť výskumu, a ak nie je, ponúkne sa inej fakulte alebo súčasti danej verejnej vysokej školy aj v inej oblasti výskumu.</w:t>
      </w:r>
    </w:p>
    <w:p w14:paraId="36CFEDE3" w14:textId="77777777" w:rsidR="00F873D7" w:rsidRDefault="00F873D7" w:rsidP="005649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Ak príslušné doktorandské miesta a štipendiá na danej verejnej vysokej škole nie sú rozdelené ani uplatnením postupu podľa odseku 8, môže verejná vysoká škola ponúknuť príslušnú časť štátnej dotácie fakultám a súčastiam v tých vedných oblastiach, ktoré dosiahli náhradnú bodovú hodnotu aspoň 300 bodov podľa prílohy č. 1.</w:t>
      </w:r>
    </w:p>
    <w:p w14:paraId="61E5FD39" w14:textId="6B6F3666" w:rsidR="00F873D7" w:rsidRPr="00941A99" w:rsidRDefault="00F873D7" w:rsidP="005649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(10) Verejná vysoká škola, ktorá získala najmenej 3 miesta, je povinná pri zachovaní kvality na prijímacom konaní </w:t>
      </w:r>
      <w:r w:rsidR="005649BC">
        <w:rPr>
          <w:rFonts w:ascii="Times New Roman" w:hAnsi="Times New Roman" w:cs="Times New Roman"/>
          <w:sz w:val="24"/>
          <w:szCs w:val="24"/>
        </w:rPr>
        <w:t>udeliť štipendium</w:t>
      </w:r>
      <w:r>
        <w:rPr>
          <w:rFonts w:ascii="Times New Roman" w:hAnsi="Times New Roman" w:cs="Times New Roman"/>
          <w:sz w:val="24"/>
          <w:szCs w:val="24"/>
        </w:rPr>
        <w:t xml:space="preserve"> 1 uchádzač</w:t>
      </w:r>
      <w:r w:rsidR="007452CE">
        <w:rPr>
          <w:rFonts w:ascii="Times New Roman" w:hAnsi="Times New Roman" w:cs="Times New Roman"/>
          <w:sz w:val="24"/>
          <w:szCs w:val="24"/>
        </w:rPr>
        <w:t>ovi</w:t>
      </w:r>
      <w:r>
        <w:rPr>
          <w:rFonts w:ascii="Times New Roman" w:hAnsi="Times New Roman" w:cs="Times New Roman"/>
          <w:sz w:val="24"/>
          <w:szCs w:val="24"/>
        </w:rPr>
        <w:t xml:space="preserve">, ktorý nie je občanom Slovenskej republiky, pokiaľ </w:t>
      </w:r>
      <w:r w:rsidR="007452CE">
        <w:rPr>
          <w:rFonts w:ascii="Times New Roman" w:hAnsi="Times New Roman" w:cs="Times New Roman"/>
          <w:sz w:val="24"/>
          <w:szCs w:val="24"/>
        </w:rPr>
        <w:t>je v prijímacom konaní úspešný</w:t>
      </w:r>
      <w:r>
        <w:rPr>
          <w:rFonts w:ascii="Times New Roman" w:hAnsi="Times New Roman" w:cs="Times New Roman"/>
          <w:sz w:val="24"/>
          <w:szCs w:val="24"/>
        </w:rPr>
        <w:t>. Verejná vysoká škola, ktorá získala najmenej 8 miest, je povinná pri zachovaní kvality na prijímacom konaní u</w:t>
      </w:r>
      <w:r w:rsidR="007452CE">
        <w:rPr>
          <w:rFonts w:ascii="Times New Roman" w:hAnsi="Times New Roman" w:cs="Times New Roman"/>
          <w:sz w:val="24"/>
          <w:szCs w:val="24"/>
        </w:rPr>
        <w:t xml:space="preserve">deliť štipendium </w:t>
      </w:r>
      <w:r>
        <w:rPr>
          <w:rFonts w:ascii="Times New Roman" w:hAnsi="Times New Roman" w:cs="Times New Roman"/>
          <w:sz w:val="24"/>
          <w:szCs w:val="24"/>
        </w:rPr>
        <w:t>2 uchádzačo</w:t>
      </w:r>
      <w:r w:rsidR="007452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ktorí nie sú občanmi Slovenskej republiky, pokiaľ s</w:t>
      </w:r>
      <w:r w:rsidR="007452CE">
        <w:rPr>
          <w:rFonts w:ascii="Times New Roman" w:hAnsi="Times New Roman" w:cs="Times New Roman"/>
          <w:sz w:val="24"/>
          <w:szCs w:val="24"/>
        </w:rPr>
        <w:t>ú v prijímacom konaní úspešní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873D7" w:rsidRPr="0094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99"/>
    <w:rsid w:val="00243F9E"/>
    <w:rsid w:val="005301DF"/>
    <w:rsid w:val="005649BC"/>
    <w:rsid w:val="005A342F"/>
    <w:rsid w:val="005F3DD3"/>
    <w:rsid w:val="007452CE"/>
    <w:rsid w:val="00941A99"/>
    <w:rsid w:val="00D63FAC"/>
    <w:rsid w:val="00EB461F"/>
    <w:rsid w:val="00F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0D86"/>
  <w15:chartTrackingRefBased/>
  <w15:docId w15:val="{AB2A2059-F63E-4A29-ABD9-58084DAB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3770</Characters>
  <Application>Microsoft Office Word</Application>
  <DocSecurity>4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Kanovský Martin</dc:creator>
  <cp:keywords/>
  <dc:description/>
  <cp:lastModifiedBy>Káčerík Michal</cp:lastModifiedBy>
  <cp:revision>2</cp:revision>
  <dcterms:created xsi:type="dcterms:W3CDTF">2025-05-07T11:48:00Z</dcterms:created>
  <dcterms:modified xsi:type="dcterms:W3CDTF">2025-05-07T11:48:00Z</dcterms:modified>
</cp:coreProperties>
</file>