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DC69F74" w:rsidR="00B87C18" w:rsidRPr="006A565C" w:rsidRDefault="000E2615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59.2pt;z-index:251658240" arcsize="23802f" fillcolor="#d6e3bc [1302]"/>
        </w:pict>
      </w:r>
      <w:r w:rsidR="008B3D80" w:rsidRPr="006A565C">
        <w:rPr>
          <w:b/>
          <w:sz w:val="28"/>
          <w:szCs w:val="28"/>
          <w:lang w:val="en-GB"/>
        </w:rPr>
        <w:t>Theory of Change Project</w:t>
      </w:r>
      <w:r w:rsidR="000561C9" w:rsidRPr="006A565C">
        <w:rPr>
          <w:b/>
          <w:sz w:val="28"/>
          <w:szCs w:val="28"/>
          <w:lang w:val="en-GB"/>
        </w:rPr>
        <w:t xml:space="preserve"> NP</w:t>
      </w:r>
      <w:r w:rsidR="00F22219" w:rsidRPr="006A565C">
        <w:rPr>
          <w:b/>
          <w:sz w:val="28"/>
          <w:szCs w:val="28"/>
          <w:lang w:val="en-GB"/>
        </w:rPr>
        <w:t xml:space="preserve"> </w:t>
      </w:r>
      <w:r w:rsidR="009F3317" w:rsidRPr="006A565C">
        <w:rPr>
          <w:b/>
          <w:sz w:val="28"/>
          <w:szCs w:val="28"/>
          <w:lang w:val="en-GB"/>
        </w:rPr>
        <w:t>31</w:t>
      </w:r>
      <w:r w:rsidR="008B3D80" w:rsidRPr="006A565C">
        <w:rPr>
          <w:b/>
          <w:sz w:val="28"/>
          <w:szCs w:val="28"/>
          <w:lang w:val="en-GB"/>
        </w:rPr>
        <w:t xml:space="preserve"> Measure 4.2 OPE</w:t>
      </w:r>
    </w:p>
    <w:p w14:paraId="54264823" w14:textId="77777777" w:rsidR="000561C9" w:rsidRPr="006A565C" w:rsidRDefault="000E2615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48;mso-width-relative:margin;mso-height-relative:margin" filled="f" stroked="f">
            <v:textbox style="mso-next-textbox:#_x0000_s1191">
              <w:txbxContent>
                <w:p w14:paraId="55ED577F" w14:textId="641826B5" w:rsidR="00FF2CDE" w:rsidRPr="006A565C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A565C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8E09CF" w:rsidRPr="006A565C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6A565C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6A565C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9F3317" w:rsidRPr="006A565C">
                    <w:rPr>
                      <w:b/>
                      <w:bCs/>
                      <w:lang w:val="en-GB"/>
                    </w:rPr>
                    <w:t>31</w:t>
                  </w:r>
                </w:p>
                <w:p w14:paraId="0D429781" w14:textId="489EF4BC" w:rsidR="00DD7C0B" w:rsidRPr="006A565C" w:rsidRDefault="008E09CF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A565C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6A565C">
                    <w:rPr>
                      <w:b/>
                      <w:bCs/>
                      <w:lang w:val="en-GB"/>
                    </w:rPr>
                    <w:t>:</w:t>
                  </w:r>
                  <w:r w:rsidR="00DD7C0B" w:rsidRPr="006A565C">
                    <w:rPr>
                      <w:b/>
                      <w:bCs/>
                      <w:lang w:val="en-GB"/>
                    </w:rPr>
                    <w:t xml:space="preserve"> </w:t>
                  </w:r>
                  <w:r w:rsidR="00104393" w:rsidRPr="006A565C">
                    <w:rPr>
                      <w:lang w:val="en-GB"/>
                    </w:rPr>
                    <w:t>Profes</w:t>
                  </w:r>
                  <w:r w:rsidRPr="006A565C">
                    <w:rPr>
                      <w:lang w:val="en-GB"/>
                    </w:rPr>
                    <w:t>sional and career development of teaching staff</w:t>
                  </w:r>
                </w:p>
                <w:p w14:paraId="7F00D6B3" w14:textId="55670D39" w:rsidR="00140D68" w:rsidRPr="006A565C" w:rsidRDefault="008E09CF" w:rsidP="00140D68">
                  <w:pPr>
                    <w:spacing w:after="0" w:line="240" w:lineRule="auto"/>
                    <w:rPr>
                      <w:lang w:val="en-GB"/>
                    </w:rPr>
                  </w:pPr>
                  <w:r w:rsidRPr="006A565C">
                    <w:rPr>
                      <w:b/>
                      <w:lang w:val="en-GB"/>
                    </w:rPr>
                    <w:t>Target grou</w:t>
                  </w:r>
                  <w:r w:rsidR="00FA6BF6" w:rsidRPr="006A565C">
                    <w:rPr>
                      <w:b/>
                      <w:lang w:val="en-GB"/>
                    </w:rPr>
                    <w:t>p</w:t>
                  </w:r>
                  <w:r w:rsidR="000154C1" w:rsidRPr="006A565C">
                    <w:rPr>
                      <w:b/>
                      <w:lang w:val="en-GB"/>
                    </w:rPr>
                    <w:t xml:space="preserve">: </w:t>
                  </w:r>
                  <w:r w:rsidR="00FA6BF6" w:rsidRPr="006A565C">
                    <w:rPr>
                      <w:lang w:val="en-GB"/>
                    </w:rPr>
                    <w:t>Teaching and specialised staff at schools and school facilities</w:t>
                  </w:r>
                </w:p>
                <w:p w14:paraId="4EBAE6B6" w14:textId="5E397F2C" w:rsidR="000154C1" w:rsidRPr="006A565C" w:rsidRDefault="000154C1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51.3pt;z-index:251658241;mso-width-relative:margin;mso-height-relative:margin" filled="f" stroked="f">
            <v:textbox style="mso-next-textbox:#_x0000_s1180">
              <w:txbxContent>
                <w:p w14:paraId="53B1E443" w14:textId="2CF47163" w:rsidR="00FF2CDE" w:rsidRPr="006A565C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A565C">
                    <w:rPr>
                      <w:b/>
                      <w:bCs/>
                      <w:lang w:val="en-GB"/>
                    </w:rPr>
                    <w:t>Model a</w:t>
                  </w:r>
                  <w:r w:rsidR="008B3D80" w:rsidRPr="006A565C">
                    <w:rPr>
                      <w:b/>
                      <w:bCs/>
                      <w:lang w:val="en-GB"/>
                    </w:rPr>
                    <w:t>ction in project</w:t>
                  </w:r>
                  <w:r w:rsidR="00815D12" w:rsidRPr="006A565C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9F3317" w:rsidRPr="006A565C">
                    <w:rPr>
                      <w:b/>
                      <w:bCs/>
                      <w:lang w:val="en-GB"/>
                    </w:rPr>
                    <w:t>31</w:t>
                  </w:r>
                </w:p>
                <w:p w14:paraId="6A8EBD92" w14:textId="02ABB86A" w:rsidR="00FF2CDE" w:rsidRPr="006A565C" w:rsidRDefault="008B3D80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6A565C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6A565C">
                    <w:rPr>
                      <w:b/>
                      <w:bCs/>
                      <w:lang w:val="en-GB"/>
                    </w:rPr>
                    <w:t xml:space="preserve">: </w:t>
                  </w:r>
                  <w:r w:rsidRPr="006A565C">
                    <w:rPr>
                      <w:lang w:val="en-GB"/>
                    </w:rPr>
                    <w:t>Professional and career development of teaching staff</w:t>
                  </w:r>
                </w:p>
                <w:p w14:paraId="34B78B20" w14:textId="587CD980" w:rsidR="001011DE" w:rsidRPr="006A565C" w:rsidRDefault="008B3D80" w:rsidP="001011DE">
                  <w:pPr>
                    <w:spacing w:after="0" w:line="240" w:lineRule="auto"/>
                    <w:rPr>
                      <w:lang w:val="en-GB"/>
                    </w:rPr>
                  </w:pPr>
                  <w:r w:rsidRPr="006A565C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6A565C">
                    <w:rPr>
                      <w:b/>
                      <w:bCs/>
                      <w:lang w:val="en-GB"/>
                    </w:rPr>
                    <w:t xml:space="preserve">: </w:t>
                  </w:r>
                  <w:r w:rsidRPr="006A565C">
                    <w:rPr>
                      <w:lang w:val="en-GB"/>
                    </w:rPr>
                    <w:t>The Methodology and Pedagogy Centre</w:t>
                  </w:r>
                </w:p>
                <w:p w14:paraId="010B8513" w14:textId="00611435" w:rsidR="000154C1" w:rsidRPr="006A565C" w:rsidRDefault="000154C1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</w:p>
                <w:p w14:paraId="4E938EF5" w14:textId="77777777" w:rsidR="006D202E" w:rsidRPr="006A565C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58.6pt;z-index:251658247" arcsize="21360f" fillcolor="#c6d9f1 [671]"/>
        </w:pict>
      </w:r>
    </w:p>
    <w:p w14:paraId="5BAA5B87" w14:textId="77777777" w:rsidR="000561C9" w:rsidRPr="006A565C" w:rsidRDefault="000561C9" w:rsidP="000561C9">
      <w:pPr>
        <w:rPr>
          <w:lang w:val="en-GB"/>
        </w:rPr>
      </w:pP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  <w:r w:rsidR="00045590" w:rsidRPr="006A565C">
        <w:rPr>
          <w:lang w:val="en-GB"/>
        </w:rPr>
        <w:tab/>
      </w:r>
    </w:p>
    <w:p w14:paraId="07B646F6" w14:textId="7EAC874E" w:rsidR="00DD7C0B" w:rsidRPr="006A565C" w:rsidRDefault="00DD7C0B">
      <w:pPr>
        <w:rPr>
          <w:lang w:val="en-GB"/>
        </w:rPr>
      </w:pPr>
    </w:p>
    <w:p w14:paraId="329FAAB5" w14:textId="1EE98C1A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15141C18">
          <v:shape id="_x0000_s1458" type="#_x0000_t202" style="position:absolute;margin-left:123.4pt;margin-top:24.85pt;width:130.7pt;height:34.4pt;z-index:251658263;visibility:visible;mso-width-relative:margin;mso-height-relative:margin">
            <v:textbox style="mso-next-textbox:#_x0000_s1458">
              <w:txbxContent>
                <w:p w14:paraId="5E763382" w14:textId="77777777" w:rsidR="00D772EA" w:rsidRPr="00515D09" w:rsidRDefault="00D772EA" w:rsidP="00D772EA">
                  <w:pPr>
                    <w:rPr>
                      <w:rFonts w:cstheme="minorHAnsi"/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rFonts w:eastAsia="Times New Roman" w:cstheme="minorHAnsi"/>
                      <w:sz w:val="14"/>
                      <w:szCs w:val="14"/>
                      <w:lang w:val="en-GB" w:eastAsia="sk-SK"/>
                    </w:rPr>
                    <w:t>Developed methodology for creation, innovation and implementation of professional standards</w:t>
                  </w:r>
                </w:p>
                <w:p w14:paraId="3FE27F95" w14:textId="77777777" w:rsidR="002B053F" w:rsidRPr="00D772EA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BD2EDB4">
          <v:roundrect id="AutoShape 16" o:spid="_x0000_s1454" style="position:absolute;margin-left:896.7pt;margin-top:3.7pt;width:108.8pt;height:602.05pt;z-index:251658271;visibility:visible" arcsize="5364f" fillcolor="#b2a1c7 [1943]"/>
        </w:pict>
      </w:r>
      <w:r>
        <w:rPr>
          <w:lang w:val="en-GB" w:eastAsia="cs-CZ"/>
        </w:rPr>
        <w:pict w14:anchorId="15F600B0">
          <v:roundrect id="_x0000_s1451" style="position:absolute;margin-left:521.45pt;margin-top:3.7pt;width:367pt;height:604.75pt;z-index:251658267" arcsize="2473f" filled="f" strokecolor="#0070c0" strokeweight="2.25pt"/>
        </w:pict>
      </w:r>
      <w:r>
        <w:rPr>
          <w:lang w:val="en-GB" w:eastAsia="cs-CZ"/>
        </w:rPr>
        <w:pict w14:anchorId="198521CD">
          <v:roundrect id="AutoShape 15" o:spid="_x0000_s1450" style="position:absolute;margin-left:736.1pt;margin-top:10.75pt;width:146.45pt;height:581.05pt;z-index:251658266;visibility:visible" arcsize="3856f" fillcolor="#c6d9f1 [671]">
            <v:textbox style="mso-next-textbox:#AutoShape 15">
              <w:txbxContent>
                <w:p w14:paraId="6E3FB2C4" w14:textId="77777777" w:rsidR="002B053F" w:rsidRDefault="002B053F" w:rsidP="002B053F"/>
                <w:p w14:paraId="1CB9F122" w14:textId="77777777" w:rsidR="002B053F" w:rsidRPr="00B46CF7" w:rsidRDefault="002B053F" w:rsidP="002B053F"/>
              </w:txbxContent>
            </v:textbox>
          </v:roundrect>
        </w:pict>
      </w:r>
      <w:r>
        <w:rPr>
          <w:lang w:val="en-GB" w:eastAsia="cs-CZ"/>
        </w:rPr>
        <w:pict w14:anchorId="236E825A">
          <v:roundrect id="_x0000_s1456" style="position:absolute;margin-left:1.55pt;margin-top:9.75pt;width:107.3pt;height:584.6pt;z-index:251658279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618B781B">
          <v:roundrect id="_x0000_s1449" style="position:absolute;margin-left:528.25pt;margin-top:10.15pt;width:199.7pt;height:581.65pt;z-index:251658265;visibility:visible" arcsize="4333f" fillcolor="#d8d8d8 [2732]">
            <v:textbox style="mso-next-textbox:#_x0000_s1449">
              <w:txbxContent>
                <w:p w14:paraId="2464566E" w14:textId="77777777" w:rsidR="002B053F" w:rsidRDefault="002B053F" w:rsidP="002B053F"/>
                <w:p w14:paraId="385492D4" w14:textId="77777777" w:rsidR="002B053F" w:rsidRPr="00B46CF7" w:rsidRDefault="002B053F" w:rsidP="002B053F"/>
              </w:txbxContent>
            </v:textbox>
          </v:roundrect>
        </w:pict>
      </w:r>
      <w:r>
        <w:rPr>
          <w:lang w:val="en-GB" w:eastAsia="cs-CZ"/>
        </w:rPr>
        <w:pict w14:anchorId="3E8B939A">
          <v:roundrect id="AutoShape 34" o:spid="_x0000_s1444" style="position:absolute;margin-left:266.55pt;margin-top:9pt;width:202.9pt;height:585.8pt;z-index:251658257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0BAA5516">
          <v:roundrect id="_x0000_s1446" style="position:absolute;margin-left:114.6pt;margin-top:9pt;width:147.4pt;height:585.8pt;z-index:251658261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208EF42D">
          <v:roundrect id="_x0000_s1448" style="position:absolute;margin-left:-4.85pt;margin-top:3.7pt;width:481.9pt;height:604.75pt;z-index:251658264" arcsize="1775f" filled="f" strokecolor="#00b050" strokeweight="2.25pt"/>
        </w:pict>
      </w:r>
      <w:r>
        <w:rPr>
          <w:lang w:val="en-GB" w:eastAsia="cs-CZ"/>
        </w:rPr>
        <w:pict w14:anchorId="273A2B41">
          <v:shape id="_x0000_s1447" type="#_x0000_t202" style="position:absolute;margin-left:129.25pt;margin-top:10.75pt;width:117.6pt;height:20pt;z-index:25165826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447">
              <w:txbxContent>
                <w:p w14:paraId="1F9192D4" w14:textId="764199E0" w:rsidR="002B053F" w:rsidRPr="008541E8" w:rsidRDefault="0097300D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D9A2C55">
          <v:shape id="_x0000_s1457" type="#_x0000_t202" style="position:absolute;margin-left:9.5pt;margin-top:11.9pt;width:90.25pt;height:20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457">
              <w:txbxContent>
                <w:p w14:paraId="2EBA9141" w14:textId="53001813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97300D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EA3C346">
          <v:shape id="Text Box 36" o:spid="_x0000_s1445" type="#_x0000_t202" style="position:absolute;margin-left:292.6pt;margin-top:10.75pt;width:153.5pt;height:20pt;z-index:25165825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466333F8" w14:textId="29324A9A" w:rsidR="002B053F" w:rsidRPr="008541E8" w:rsidRDefault="0097300D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B871ACA">
          <v:shape id="Text Box 38" o:spid="_x0000_s1452" type="#_x0000_t202" style="position:absolute;margin-left:534.35pt;margin-top:13.45pt;width:189.5pt;height:30.7pt;z-index:2516582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66CD8443" w14:textId="71A76B8E" w:rsidR="002B053F" w:rsidRDefault="00FA6BF6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557F001" w14:textId="77777777" w:rsidR="002B053F" w:rsidRPr="00777CD5" w:rsidRDefault="002B053F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499F4542" w14:textId="77777777" w:rsidR="002B053F" w:rsidRPr="00B048AA" w:rsidRDefault="002B053F" w:rsidP="002B053F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91B805D">
          <v:shape id="_x0000_s1453" type="#_x0000_t202" style="position:absolute;margin-left:736.1pt;margin-top:13.6pt;width:146.45pt;height:41.5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453">
              <w:txbxContent>
                <w:p w14:paraId="307E04FB" w14:textId="682B2A3A" w:rsidR="002B053F" w:rsidRPr="00596D9C" w:rsidRDefault="00FA6BF6" w:rsidP="002B053F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2B053F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F18467B">
          <v:shape id="Text Box 64" o:spid="_x0000_s1455" type="#_x0000_t202" style="position:absolute;margin-left:902.65pt;margin-top:10.75pt;width:99.65pt;height:34.6pt;z-index:25165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0EC1BB95" w14:textId="4E6C38EA" w:rsidR="002B053F" w:rsidRDefault="00FA6BF6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4.2 OBJECTIVES</w:t>
                  </w:r>
                </w:p>
                <w:p w14:paraId="394609C9" w14:textId="77777777" w:rsidR="002B053F" w:rsidRPr="008541E8" w:rsidRDefault="002B053F" w:rsidP="002B053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3264A544" w14:textId="49A6CBE9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266474D4">
          <v:shape id="_x0000_s1461" type="#_x0000_t202" style="position:absolute;margin-left:4.6pt;margin-top:9.8pt;width:96.4pt;height:114.1pt;z-index:251658281;visibility:visible;mso-width-relative:margin;mso-height-relative:margin">
            <v:textbox style="mso-next-textbox:#_x0000_s1461">
              <w:txbxContent>
                <w:p w14:paraId="15BB1D57" w14:textId="07BEC42B" w:rsidR="00FE2E42" w:rsidRPr="006A565C" w:rsidRDefault="002B053F" w:rsidP="000E2615">
                  <w:pPr>
                    <w:spacing w:after="0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6A565C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 </w:t>
                  </w:r>
                  <w:r w:rsidR="00FE2E42" w:rsidRPr="006A565C">
                    <w:rPr>
                      <w:bCs/>
                      <w:sz w:val="14"/>
                      <w:szCs w:val="14"/>
                      <w:lang w:val="en-GB"/>
                    </w:rPr>
                    <w:t>Development, innovation and implementation of professional standards and tools for evaluation of professional competences development for categories, career levels and positions of teaching and speciali</w:t>
                  </w:r>
                  <w:r w:rsidR="000E2615">
                    <w:rPr>
                      <w:bCs/>
                      <w:sz w:val="14"/>
                      <w:szCs w:val="14"/>
                      <w:lang w:val="en-GB"/>
                    </w:rPr>
                    <w:t>s</w:t>
                  </w:r>
                  <w:r w:rsidR="00FE2E42" w:rsidRPr="006A565C">
                    <w:rPr>
                      <w:bCs/>
                      <w:sz w:val="14"/>
                      <w:szCs w:val="14"/>
                      <w:lang w:val="en-GB"/>
                    </w:rPr>
                    <w:t>e</w:t>
                  </w:r>
                  <w:r w:rsidR="000E2615">
                    <w:rPr>
                      <w:bCs/>
                      <w:sz w:val="14"/>
                      <w:szCs w:val="14"/>
                      <w:lang w:val="en-GB"/>
                    </w:rPr>
                    <w:t>d</w:t>
                  </w:r>
                  <w:r w:rsidR="00FE2E42" w:rsidRPr="006A565C">
                    <w:rPr>
                      <w:bCs/>
                      <w:sz w:val="14"/>
                      <w:szCs w:val="14"/>
                      <w:lang w:val="en-GB"/>
                    </w:rPr>
                    <w:t xml:space="preserve"> staff at schools and school facilities</w:t>
                  </w:r>
                </w:p>
                <w:p w14:paraId="6F455888" w14:textId="466142DC" w:rsidR="002B053F" w:rsidRPr="006A565C" w:rsidRDefault="002B053F" w:rsidP="002B053F">
                  <w:pPr>
                    <w:spacing w:after="0"/>
                    <w:jc w:val="center"/>
                    <w:rPr>
                      <w:rFonts w:cstheme="minorHAnsi"/>
                      <w:bCs/>
                      <w:sz w:val="14"/>
                      <w:szCs w:val="14"/>
                      <w:lang w:val="en-GB"/>
                    </w:rPr>
                  </w:pPr>
                </w:p>
                <w:p w14:paraId="52625EB4" w14:textId="77777777" w:rsidR="002B053F" w:rsidRPr="006A565C" w:rsidRDefault="002B053F" w:rsidP="002B053F">
                  <w:pPr>
                    <w:spacing w:after="0" w:line="192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6E2A40E">
          <v:shape id="_x0000_s1460" type="#_x0000_t202" style="position:absolute;margin-left:557.8pt;margin-top:22.65pt;width:138.05pt;height:48.55pt;z-index:251658277;visibility:visible;mso-width-relative:margin;mso-height-relative:margin">
            <v:textbox style="mso-next-textbox:#_x0000_s1460">
              <w:txbxContent>
                <w:p w14:paraId="1EAE9BE1" w14:textId="77777777" w:rsidR="00F37C05" w:rsidRPr="00515D09" w:rsidRDefault="00F37C05" w:rsidP="00F37C05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Implementation of professional standards into all career levels and positions of teaching and specialised staff at schools and school facilities</w:t>
                  </w:r>
                </w:p>
                <w:p w14:paraId="535014CB" w14:textId="77777777" w:rsidR="002B053F" w:rsidRPr="00F37C05" w:rsidRDefault="002B053F" w:rsidP="002B053F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423A9353" w14:textId="77777777" w:rsidR="002B053F" w:rsidRPr="00B048AA" w:rsidRDefault="002B053F" w:rsidP="002B053F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154963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63" type="#_x0000_t32" style="position:absolute;margin-left:254.7pt;margin-top:16.25pt;width:16.5pt;height:45.95pt;z-index:251658285" o:connectortype="straight">
            <v:stroke endarrow="block"/>
          </v:shape>
        </w:pict>
      </w:r>
      <w:r>
        <w:rPr>
          <w:lang w:val="en-GB" w:eastAsia="cs-CZ"/>
        </w:rPr>
        <w:pict w14:anchorId="3F868336">
          <v:shape id="_x0000_s1462" type="#_x0000_t32" style="position:absolute;margin-left:100.65pt;margin-top:19.1pt;width:22.35pt;height:47.3pt;flip:y;z-index:251658284" o:connectortype="straight">
            <v:stroke endarrow="block"/>
          </v:shape>
        </w:pict>
      </w:r>
    </w:p>
    <w:p w14:paraId="5A24EE6E" w14:textId="29105070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351438D6">
          <v:shape id="_x0000_s1465" type="#_x0000_t32" style="position:absolute;margin-left:695.25pt;margin-top:15.25pt;width:55.95pt;height:51.4pt;z-index:251658298" o:connectortype="straight">
            <v:stroke endarrow="block"/>
          </v:shape>
        </w:pict>
      </w:r>
      <w:r>
        <w:rPr>
          <w:lang w:val="en-GB" w:eastAsia="cs-CZ"/>
        </w:rPr>
        <w:pict w14:anchorId="63D53E7C">
          <v:shape id="_x0000_s1464" type="#_x0000_t32" style="position:absolute;margin-left:455.1pt;margin-top:11.65pt;width:101.75pt;height:23.75pt;flip:y;z-index:251658297" o:connectortype="straight">
            <v:stroke endarrow="block"/>
          </v:shape>
        </w:pict>
      </w:r>
      <w:r>
        <w:rPr>
          <w:lang w:val="en-GB" w:eastAsia="cs-CZ"/>
        </w:rPr>
        <w:pict w14:anchorId="06CB0599">
          <v:shape id="_x0000_s1468" type="#_x0000_t202" style="position:absolute;margin-left:271.2pt;margin-top:22.15pt;width:185.5pt;height:27.3pt;z-index:251658311;visibility:visible;mso-width-relative:margin;mso-height-relative:margin">
            <v:textbox style="mso-next-textbox:#_x0000_s1468">
              <w:txbxContent>
                <w:p w14:paraId="0B1BB0C4" w14:textId="77777777" w:rsidR="00186EF6" w:rsidRPr="00515D09" w:rsidRDefault="00186EF6" w:rsidP="00186EF6">
                  <w:pPr>
                    <w:rPr>
                      <w:sz w:val="14"/>
                      <w:szCs w:val="14"/>
                      <w:lang w:val="en-GB"/>
                    </w:rPr>
                  </w:pPr>
                  <w:r>
                    <w:rPr>
                      <w:sz w:val="14"/>
                      <w:szCs w:val="14"/>
                      <w:lang w:val="en-GB"/>
                    </w:rPr>
                    <w:t>Implementation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 of professional standards at schools and school facilities</w:t>
                  </w:r>
                </w:p>
                <w:p w14:paraId="7831D5E3" w14:textId="77777777" w:rsidR="002B053F" w:rsidRPr="00186EF6" w:rsidRDefault="002B053F" w:rsidP="002B05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5A27D4C">
          <v:shape id="_x0000_s1466" type="#_x0000_t202" style="position:absolute;margin-left:122.55pt;margin-top:8.35pt;width:131.55pt;height:37.4pt;z-index:251658306;visibility:visible;mso-width-relative:margin;mso-height-relative:margin">
            <v:textbox style="mso-next-textbox:#_x0000_s1466">
              <w:txbxContent>
                <w:p w14:paraId="5E9B28CA" w14:textId="77777777" w:rsidR="00A41BC7" w:rsidRPr="00515D09" w:rsidRDefault="00A41BC7" w:rsidP="00A41BC7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Tools of development assessment of professional competences of teaching and specialised staff</w:t>
                  </w:r>
                </w:p>
                <w:p w14:paraId="2AE75A21" w14:textId="55978400" w:rsidR="002B053F" w:rsidRPr="00A41BC7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087976CA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5ADA7B9">
          <v:shape id="_x0000_s1467" type="#_x0000_t32" style="position:absolute;margin-left:100.65pt;margin-top:24.8pt;width:23.15pt;height:15.5pt;flip:y;z-index:251658308" o:connectortype="straight">
            <v:stroke endarrow="block"/>
          </v:shape>
        </w:pict>
      </w:r>
    </w:p>
    <w:p w14:paraId="55DBCBCD" w14:textId="454F72CB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3952D2C0">
          <v:shape id="_x0000_s1470" type="#_x0000_t202" style="position:absolute;margin-left:123.15pt;margin-top:20.3pt;width:131.55pt;height:26.25pt;z-index:251658305;visibility:visible;mso-width-relative:margin;mso-height-relative:margin">
            <v:textbox style="mso-next-textbox:#_x0000_s1470">
              <w:txbxContent>
                <w:p w14:paraId="6EF10F0F" w14:textId="77777777" w:rsidR="005C0509" w:rsidRPr="00515D09" w:rsidRDefault="005C0509" w:rsidP="005C050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Catalogue of professional standards and tools of development assessment</w:t>
                  </w:r>
                </w:p>
                <w:p w14:paraId="366EFA9B" w14:textId="77777777" w:rsidR="002B053F" w:rsidRPr="005C0509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FBCB261">
          <v:shape id="_x0000_s1459" type="#_x0000_t202" style="position:absolute;margin-left:908.7pt;margin-top:11.3pt;width:85.05pt;height:45.85pt;z-index:251658273;mso-width-relative:margin;mso-height-relative:margin" fillcolor="white [3212]">
            <v:textbox style="mso-next-textbox:#_x0000_s1459">
              <w:txbxContent>
                <w:p w14:paraId="5C32C05A" w14:textId="4399DB2A" w:rsidR="002B053F" w:rsidRPr="005D2D27" w:rsidRDefault="005D2D27" w:rsidP="005D2D27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  <w:r w:rsidRPr="005D2D27">
                    <w:rPr>
                      <w:sz w:val="14"/>
                      <w:szCs w:val="14"/>
                      <w:lang w:val="en-GB"/>
                    </w:rPr>
                    <w:t>Adapt higher education to the needs of a knowledge-based society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0892C4E">
          <v:shape id="_x0000_s1474" type="#_x0000_t32" style="position:absolute;margin-left:254.1pt;margin-top:11.3pt;width:17.1pt;height:23.4pt;flip:y;z-index:251658315" o:connectortype="straight">
            <v:stroke endarrow="block"/>
          </v:shape>
        </w:pict>
      </w:r>
      <w:r>
        <w:rPr>
          <w:lang w:val="en-GB" w:eastAsia="cs-CZ"/>
        </w:rPr>
        <w:pict w14:anchorId="5975A74B">
          <v:shape id="_x0000_s1473" type="#_x0000_t32" style="position:absolute;margin-left:254.1pt;margin-top:1.8pt;width:18.2pt;height:49.65pt;z-index:251658313" o:connectortype="straight">
            <v:stroke endarrow="block"/>
          </v:shape>
        </w:pict>
      </w:r>
      <w:r>
        <w:rPr>
          <w:lang w:val="en-GB" w:eastAsia="cs-CZ"/>
        </w:rPr>
        <w:pict w14:anchorId="119FC4F0">
          <v:shape id="_x0000_s1472" type="#_x0000_t32" style="position:absolute;margin-left:101pt;margin-top:15.2pt;width:20.65pt;height:54.7pt;z-index:251658310" o:connectortype="straight">
            <v:stroke endarrow="block"/>
          </v:shape>
        </w:pict>
      </w:r>
      <w:r>
        <w:rPr>
          <w:lang w:val="en-GB" w:eastAsia="cs-CZ"/>
        </w:rPr>
        <w:pict w14:anchorId="396BE5FE">
          <v:shape id="_x0000_s1471" type="#_x0000_t32" style="position:absolute;margin-left:101.25pt;margin-top:14.4pt;width:23.4pt;height:16.65pt;z-index:251658309" o:connectortype="straight">
            <v:stroke endarrow="block"/>
          </v:shape>
        </w:pict>
      </w:r>
    </w:p>
    <w:p w14:paraId="6C264924" w14:textId="197E1A0B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4B105ADA">
          <v:shape id="_x0000_s1480" type="#_x0000_t202" style="position:absolute;margin-left:121.65pt;margin-top:21.15pt;width:131.55pt;height:46.1pt;z-index:251658307;visibility:visible;mso-width-relative:margin;mso-height-relative:margin">
            <v:textbox style="mso-next-textbox:#_x0000_s1480">
              <w:txbxContent>
                <w:p w14:paraId="194AEE89" w14:textId="77777777" w:rsidR="001839AB" w:rsidRPr="00515D09" w:rsidRDefault="001839AB" w:rsidP="001839AB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Conducted 7 conferences and 7 professional seminars, published Collection of lectures from the conferences</w:t>
                  </w:r>
                </w:p>
                <w:p w14:paraId="40A7DE0E" w14:textId="77777777" w:rsidR="002B053F" w:rsidRPr="001839AB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47894AF">
          <v:shape id="_x0000_s1478" type="#_x0000_t202" style="position:absolute;margin-left:750.6pt;margin-top:2.1pt;width:116.15pt;height:38.85pt;z-index:251658320;mso-width-relative:margin;mso-height-relative:margin" fillcolor="white [3212]">
            <v:textbox style="mso-next-textbox:#_x0000_s1478">
              <w:txbxContent>
                <w:p w14:paraId="39CF8AEC" w14:textId="77777777" w:rsidR="00305F1A" w:rsidRPr="00515D09" w:rsidRDefault="00305F1A" w:rsidP="00305F1A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Created conditions for increase of quality at school and school facilities</w:t>
                  </w:r>
                </w:p>
                <w:p w14:paraId="02954018" w14:textId="77777777" w:rsidR="002B053F" w:rsidRPr="00305F1A" w:rsidRDefault="002B053F" w:rsidP="002B053F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D529B52">
          <v:shape id="_x0000_s1549" type="#_x0000_t32" style="position:absolute;margin-left:866.75pt;margin-top:12.9pt;width:40.25pt;height:372.35pt;flip:y;z-index:251662451" o:connectortype="straight">
            <v:stroke endarrow="block"/>
          </v:shape>
        </w:pict>
      </w:r>
      <w:r>
        <w:rPr>
          <w:lang w:val="en-GB"/>
        </w:rPr>
        <w:pict w14:anchorId="370A0130">
          <v:shape id="_x0000_s1545" type="#_x0000_t32" style="position:absolute;margin-left:867.35pt;margin-top:12.25pt;width:40.65pt;height:215.65pt;flip:y;z-index:251659379" o:connectortype="straight">
            <v:stroke endarrow="block"/>
          </v:shape>
        </w:pict>
      </w:r>
      <w:r>
        <w:rPr>
          <w:lang w:val="en-GB"/>
        </w:rPr>
        <w:pict w14:anchorId="2B54F6D5">
          <v:shape id="_x0000_s1546" type="#_x0000_t32" style="position:absolute;margin-left:866.75pt;margin-top:10.2pt;width:42.55pt;height:5.6pt;flip:y;z-index:251660403" o:connectortype="straight">
            <v:stroke endarrow="block"/>
          </v:shape>
        </w:pict>
      </w:r>
      <w:r>
        <w:rPr>
          <w:lang w:val="en-GB"/>
        </w:rPr>
        <w:pict w14:anchorId="7B631DBB">
          <v:shape id="_x0000_s1475" type="#_x0000_t32" style="position:absolute;margin-left:695.45pt;margin-top:15.8pt;width:56.9pt;height:53.5pt;flip:y;z-index:251658299" o:connectortype="straight">
            <v:stroke endarrow="block"/>
          </v:shape>
        </w:pict>
      </w:r>
      <w:r>
        <w:rPr>
          <w:lang w:val="en-GB" w:eastAsia="cs-CZ"/>
        </w:rPr>
        <w:pict w14:anchorId="40ECB9E4">
          <v:shape id="_x0000_s1477" type="#_x0000_t32" style="position:absolute;margin-left:254.1pt;margin-top:9.3pt;width:18.2pt;height:16.75pt;z-index:251658314" o:connectortype="straight">
            <v:stroke endarrow="block"/>
          </v:shape>
        </w:pict>
      </w:r>
      <w:r>
        <w:rPr>
          <w:lang w:val="en-GB" w:eastAsia="cs-CZ"/>
        </w:rPr>
        <w:pict w14:anchorId="54A44222">
          <v:shape id="_x0000_s1476" type="#_x0000_t202" style="position:absolute;margin-left:272.3pt;margin-top:11.25pt;width:185.5pt;height:29.7pt;z-index:251658312;visibility:visible;mso-width-relative:margin;mso-height-relative:margin">
            <v:textbox style="mso-next-textbox:#_x0000_s1476">
              <w:txbxContent>
                <w:p w14:paraId="59C0C7CE" w14:textId="77777777" w:rsidR="00DA6115" w:rsidRPr="00515D09" w:rsidRDefault="00DA6115" w:rsidP="00DA611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Application of tools of development assessment of staff at schools’ professional competences </w:t>
                  </w:r>
                </w:p>
                <w:p w14:paraId="32C89111" w14:textId="40A8858A" w:rsidR="002B053F" w:rsidRPr="00DA6115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5372036E" w14:textId="77777777" w:rsidR="002B053F" w:rsidRPr="00611FA8" w:rsidRDefault="002B053F" w:rsidP="002B053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13D0E9D5" w14:textId="7A012890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4D7A4100">
          <v:shape id="_x0000_s1479" type="#_x0000_t202" style="position:absolute;margin-left:557.2pt;margin-top:22.15pt;width:138.05pt;height:46.65pt;z-index:251658287;visibility:visible;mso-width-relative:margin;mso-height-relative:margin">
            <v:textbox style="mso-next-textbox:#_x0000_s1479">
              <w:txbxContent>
                <w:p w14:paraId="3ACF87B0" w14:textId="77777777" w:rsidR="0085502E" w:rsidRPr="00515D09" w:rsidRDefault="0085502E" w:rsidP="0085502E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Tools of development assessment of professional competences as tools for quality maintenance of teaching and specialised staff</w:t>
                  </w:r>
                </w:p>
                <w:p w14:paraId="7A71A275" w14:textId="77777777" w:rsidR="002B053F" w:rsidRPr="0085502E" w:rsidRDefault="002B053F" w:rsidP="002B053F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C89F82E">
          <v:shape id="_x0000_s1482" type="#_x0000_t32" style="position:absolute;margin-left:253.2pt;margin-top:.6pt;width:19.1pt;height:17.7pt;flip:y;z-index:251658353" o:connectortype="straight">
            <v:stroke endarrow="block"/>
          </v:shape>
        </w:pict>
      </w:r>
      <w:r>
        <w:rPr>
          <w:lang w:val="en-GB" w:eastAsia="cs-CZ"/>
        </w:rPr>
        <w:pict w14:anchorId="1402D0C9">
          <v:shape id="_x0000_s1481" type="#_x0000_t32" style="position:absolute;margin-left:457.8pt;margin-top:.6pt;width:99.4pt;height:41.2pt;z-index:251658348" o:connectortype="straight">
            <v:stroke endarrow="block"/>
          </v:shape>
        </w:pict>
      </w:r>
    </w:p>
    <w:p w14:paraId="50A75EAE" w14:textId="0D91D980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6CB76B65">
          <v:shape id="_x0000_s1485" type="#_x0000_t202" style="position:absolute;margin-left:121.05pt;margin-top:15.6pt;width:132.15pt;height:46.1pt;z-index:251658316;visibility:visible;mso-width-relative:margin;mso-height-relative:margin">
            <v:textbox style="mso-next-textbox:#_x0000_s1485">
              <w:txbxContent>
                <w:p w14:paraId="3725738F" w14:textId="77777777" w:rsidR="00345EAA" w:rsidRPr="00515D09" w:rsidRDefault="00345EAA" w:rsidP="00345EA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Developed methodology for analysis of educational needs of teaching and specialised staff at schools and school facilities</w:t>
                  </w:r>
                </w:p>
                <w:p w14:paraId="644456CA" w14:textId="77777777" w:rsidR="002B053F" w:rsidRPr="00345EAA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61C74BD">
          <v:shape id="_x0000_s1486" type="#_x0000_t32" style="position:absolute;margin-left:461.05pt;margin-top:15.6pt;width:95.8pt;height:42.2pt;flip:y;z-index:251658351" o:connectortype="straight">
            <v:stroke endarrow="block"/>
          </v:shape>
        </w:pict>
      </w:r>
      <w:r>
        <w:rPr>
          <w:lang w:val="en-GB" w:eastAsia="cs-CZ"/>
        </w:rPr>
        <w:pict w14:anchorId="53A001BE">
          <v:shape id="_x0000_s1484" type="#_x0000_t202" style="position:absolute;margin-left:4.85pt;margin-top:19.85pt;width:96.4pt;height:45.65pt;z-index:251658282;visibility:visible;mso-width-relative:margin;mso-height-relative:margin">
            <v:textbox style="mso-next-textbox:#_x0000_s1484">
              <w:txbxContent>
                <w:p w14:paraId="291940D8" w14:textId="77777777" w:rsidR="00512EAE" w:rsidRPr="006A565C" w:rsidRDefault="00512EAE" w:rsidP="000E2615">
                  <w:pPr>
                    <w:spacing w:after="0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6A565C">
                    <w:rPr>
                      <w:bCs/>
                      <w:sz w:val="14"/>
                      <w:szCs w:val="14"/>
                      <w:lang w:val="en-GB"/>
                    </w:rPr>
                    <w:t>Analysis of target groups (schools and school facilities teaching and specialised staff) educational needs</w:t>
                  </w:r>
                </w:p>
                <w:p w14:paraId="37FD9FB0" w14:textId="77777777" w:rsidR="002B053F" w:rsidRPr="006A565C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3FE80BEF" w14:textId="77777777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262D26C4">
          <v:shape id="_x0000_s1490" type="#_x0000_t32" style="position:absolute;margin-left:253.2pt;margin-top:7.45pt;width:22.95pt;height:24.9pt;z-index:251658295" o:connectortype="straight">
            <v:stroke endarrow="block"/>
          </v:shape>
        </w:pict>
      </w:r>
      <w:r>
        <w:rPr>
          <w:lang w:val="en-GB" w:eastAsia="cs-CZ"/>
        </w:rPr>
        <w:pict w14:anchorId="2D34F68F">
          <v:shape id="_x0000_s1487" type="#_x0000_t202" style="position:absolute;margin-left:275.55pt;margin-top:17.5pt;width:185.5pt;height:28.7pt;z-index:251658259;visibility:visible;mso-width-relative:margin;mso-height-relative:margin">
            <v:textbox style="mso-next-textbox:#_x0000_s1487">
              <w:txbxContent>
                <w:p w14:paraId="476AD7EB" w14:textId="77777777" w:rsidR="009C41D4" w:rsidRPr="00515D09" w:rsidRDefault="009C41D4" w:rsidP="009C41D4">
                  <w:pPr>
                    <w:rPr>
                      <w:b/>
                      <w:bCs/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Definition of educational needs of teaching and specialised staff at schools and school facilities</w:t>
                  </w:r>
                </w:p>
                <w:p w14:paraId="1DC95D79" w14:textId="77777777" w:rsidR="002B053F" w:rsidRPr="009C41D4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3E39F1E">
          <v:shape id="_x0000_s1489" type="#_x0000_t32" style="position:absolute;margin-left:100.65pt;margin-top:17.5pt;width:20.4pt;height:31.55pt;z-index:251658294" o:connectortype="straight">
            <v:stroke endarrow="block"/>
          </v:shape>
        </w:pict>
      </w:r>
      <w:r>
        <w:rPr>
          <w:lang w:val="en-GB" w:eastAsia="cs-CZ"/>
        </w:rPr>
        <w:pict w14:anchorId="2E5C3391">
          <v:shape id="_x0000_s1488" type="#_x0000_t32" style="position:absolute;margin-left:101pt;margin-top:2pt;width:22.8pt;height:15.9pt;flip:y;z-index:251658289" o:connectortype="straight">
            <v:stroke endarrow="block"/>
          </v:shape>
        </w:pict>
      </w:r>
    </w:p>
    <w:p w14:paraId="441E97AE" w14:textId="0C1F8FB2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05380EC6">
          <v:shape id="_x0000_s1491" type="#_x0000_t202" style="position:absolute;margin-left:121.65pt;margin-top:6.9pt;width:131.55pt;height:46.5pt;z-index:251658293;visibility:visible;mso-width-relative:margin;mso-height-relative:margin">
            <v:textbox style="mso-next-textbox:#_x0000_s1491">
              <w:txbxContent>
                <w:p w14:paraId="242F65C4" w14:textId="77777777" w:rsidR="00D54BE3" w:rsidRPr="00515D09" w:rsidRDefault="00D54BE3" w:rsidP="00D54BE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Developed methodology for survey of the educational needs of teaching and specialised staff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at schools and school facilities</w:t>
                  </w:r>
                </w:p>
                <w:p w14:paraId="78BA799B" w14:textId="77777777" w:rsidR="002B053F" w:rsidRPr="00D54BE3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C6FC033">
          <v:shape id="_x0000_s1483" type="#_x0000_t202" style="position:absolute;margin-left:909.3pt;margin-top:5.4pt;width:85.05pt;height:48pt;z-index:251658274;mso-width-relative:margin;mso-height-relative:margin" fillcolor="white [3212]">
            <v:textbox style="mso-next-textbox:#_x0000_s1483">
              <w:txbxContent>
                <w:p w14:paraId="7F955780" w14:textId="77777777" w:rsidR="007B1F09" w:rsidRPr="007B1F09" w:rsidRDefault="007B1F09" w:rsidP="007B1F09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  <w:r w:rsidRPr="007B1F09">
                    <w:rPr>
                      <w:sz w:val="14"/>
                      <w:szCs w:val="14"/>
                      <w:lang w:val="en-GB"/>
                    </w:rPr>
                    <w:t>Increase the quality of and develop human resources in research &amp; development</w:t>
                  </w:r>
                </w:p>
                <w:p w14:paraId="17E406D2" w14:textId="6F8F627B" w:rsidR="002B053F" w:rsidRPr="007B1F09" w:rsidRDefault="002B053F" w:rsidP="002B053F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B1B6680">
          <v:shape id="_x0000_s1493" type="#_x0000_t32" style="position:absolute;margin-left:252.6pt;margin-top:6.05pt;width:22.95pt;height:16.45pt;flip:y;z-index:251658302" o:connectortype="straight">
            <v:stroke endarrow="block"/>
          </v:shape>
        </w:pict>
      </w:r>
    </w:p>
    <w:p w14:paraId="64ADCF77" w14:textId="551CA42B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337D8B3A">
          <v:shape id="_x0000_s1494" type="#_x0000_t202" style="position:absolute;margin-left:5.2pt;margin-top:4.45pt;width:96.4pt;height:91.8pt;z-index:251658283;visibility:visible;mso-width-relative:margin;mso-height-relative:margin">
            <v:textbox style="mso-next-textbox:#_x0000_s1494">
              <w:txbxContent>
                <w:p w14:paraId="43347C62" w14:textId="77777777" w:rsidR="0048749F" w:rsidRPr="00264396" w:rsidRDefault="0048749F" w:rsidP="000E261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4396">
                    <w:rPr>
                      <w:sz w:val="14"/>
                      <w:szCs w:val="14"/>
                      <w:lang w:val="en-GB"/>
                    </w:rPr>
                    <w:t xml:space="preserve">Development and accreditation of continuing education programmes for 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all categories of </w:t>
                  </w:r>
                  <w:r w:rsidRPr="00264396">
                    <w:rPr>
                      <w:sz w:val="14"/>
                      <w:szCs w:val="14"/>
                      <w:lang w:val="en-GB"/>
                    </w:rPr>
                    <w:t>teaching and specialised staff according to accreditation system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 in line with professional standards</w:t>
                  </w:r>
                </w:p>
                <w:p w14:paraId="0C83EE7D" w14:textId="77777777" w:rsidR="002B053F" w:rsidRPr="0048749F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AFCFF97" w14:textId="4231C554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08983829">
          <v:shape id="_x0000_s1498" type="#_x0000_t32" style="position:absolute;margin-left:101.6pt;margin-top:17.5pt;width:21.4pt;height:15.3pt;flip:y;z-index:251658290" o:connectortype="straight">
            <v:stroke endarrow="block"/>
          </v:shape>
        </w:pict>
      </w:r>
      <w:r>
        <w:rPr>
          <w:lang w:val="en-GB" w:eastAsia="cs-CZ"/>
        </w:rPr>
        <w:pict w14:anchorId="529B8657">
          <v:shape id="_x0000_s1495" type="#_x0000_t202" style="position:absolute;margin-left:123.4pt;margin-top:6.1pt;width:131.55pt;height:27.3pt;z-index:251658317;visibility:visible;mso-width-relative:margin;mso-height-relative:margin">
            <v:textbox style="mso-next-textbox:#_x0000_s1495">
              <w:txbxContent>
                <w:p w14:paraId="151FD519" w14:textId="77777777" w:rsidR="00427C8C" w:rsidRPr="00515D09" w:rsidRDefault="00427C8C" w:rsidP="00427C8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Manual for development of continuing education programmes</w:t>
                  </w:r>
                </w:p>
                <w:p w14:paraId="12B7FC61" w14:textId="77777777" w:rsidR="002B053F" w:rsidRPr="00427C8C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87A2226">
          <v:shape id="_x0000_s1497" type="#_x0000_t202" style="position:absolute;margin-left:558.65pt;margin-top:8.05pt;width:138.05pt;height:40.65pt;z-index:251658278;visibility:visible;mso-width-relative:margin;mso-height-relative:margin">
            <v:textbox style="mso-next-textbox:#_x0000_s1497">
              <w:txbxContent>
                <w:p w14:paraId="3C47AF8C" w14:textId="77777777" w:rsidR="0076262D" w:rsidRPr="00515D09" w:rsidRDefault="0076262D" w:rsidP="0076262D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Raised awareness of teaching and specialised staff about the education and training opportunities</w:t>
                  </w:r>
                </w:p>
                <w:p w14:paraId="6E1F7447" w14:textId="77777777" w:rsidR="002B053F" w:rsidRPr="0076262D" w:rsidRDefault="002B053F" w:rsidP="002B053F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252FED1">
          <v:shape id="_x0000_s1502" type="#_x0000_t32" style="position:absolute;margin-left:695.25pt;margin-top:24.2pt;width:55.35pt;height:49.15pt;z-index:251658321" o:connectortype="straight">
            <v:stroke endarrow="block"/>
          </v:shape>
        </w:pict>
      </w:r>
      <w:r>
        <w:rPr>
          <w:lang w:val="en-GB"/>
        </w:rPr>
        <w:pict w14:anchorId="75069474">
          <v:shape id="_x0000_s1501" type="#_x0000_t32" style="position:absolute;margin-left:461.05pt;margin-top:24.2pt;width:98.1pt;height:0;z-index:251658304" o:connectortype="straight">
            <v:stroke endarrow="block"/>
          </v:shape>
        </w:pict>
      </w:r>
      <w:r>
        <w:rPr>
          <w:lang w:val="en-GB" w:eastAsia="cs-CZ"/>
        </w:rPr>
        <w:pict w14:anchorId="207CD6F6">
          <v:shape id="_x0000_s1499" type="#_x0000_t32" style="position:absolute;margin-left:253.3pt;margin-top:9pt;width:24.15pt;height:16.2pt;z-index:251658291" o:connectortype="straight">
            <v:stroke endarrow="block"/>
          </v:shape>
        </w:pict>
      </w:r>
      <w:r>
        <w:rPr>
          <w:lang w:val="en-GB"/>
        </w:rPr>
        <w:pict w14:anchorId="704F55F5">
          <v:shape id="_x0000_s1500" type="#_x0000_t32" style="position:absolute;margin-left:251.8pt;margin-top:25.2pt;width:25.65pt;height:15.15pt;flip:y;z-index:251658292" o:connectortype="straight">
            <v:stroke endarrow="block"/>
          </v:shape>
        </w:pict>
      </w:r>
      <w:r>
        <w:rPr>
          <w:lang w:val="en-GB" w:eastAsia="cs-CZ"/>
        </w:rPr>
        <w:pict w14:anchorId="2EA199DB">
          <v:shape id="_x0000_s1496" type="#_x0000_t202" style="position:absolute;margin-left:276.15pt;margin-top:9.8pt;width:185.5pt;height:27.55pt;z-index:251658260;visibility:visible;mso-width-relative:margin;mso-height-relative:margin">
            <v:textbox style="mso-next-textbox:#_x0000_s1496">
              <w:txbxContent>
                <w:p w14:paraId="1A9EFFB8" w14:textId="4981A078" w:rsidR="002979AF" w:rsidRPr="00515D09" w:rsidRDefault="002979AF" w:rsidP="002979A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4 catalogues of continuing education programmes offer</w:t>
                  </w:r>
                </w:p>
                <w:p w14:paraId="47BCC1A0" w14:textId="013EDDFA" w:rsidR="002B053F" w:rsidRPr="002979AF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2F5CFE74" w14:textId="77777777" w:rsidR="002B053F" w:rsidRPr="00DD7C0B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56E62B41" w14:textId="244A3731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52AF28F4">
          <v:shape id="_x0000_s1504" type="#_x0000_t32" style="position:absolute;margin-left:102.15pt;margin-top:7.95pt;width:18.1pt;height:15.3pt;z-index:251658319" o:connectortype="straight">
            <v:stroke endarrow="block"/>
          </v:shape>
        </w:pict>
      </w:r>
      <w:r>
        <w:rPr>
          <w:lang w:val="en-GB" w:eastAsia="cs-CZ"/>
        </w:rPr>
        <w:pict w14:anchorId="24C2EAFD">
          <v:shape id="_x0000_s1503" type="#_x0000_t202" style="position:absolute;margin-left:120.25pt;margin-top:11.9pt;width:131.55pt;height:27.3pt;z-index:251658318;visibility:visible;mso-width-relative:margin;mso-height-relative:margin">
            <v:textbox style="mso-next-textbox:#_x0000_s1503">
              <w:txbxContent>
                <w:p w14:paraId="1A470CBF" w14:textId="77777777" w:rsidR="0003149D" w:rsidRPr="00515D09" w:rsidRDefault="0003149D" w:rsidP="0003149D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625 accredited training programmes</w:t>
                  </w:r>
                </w:p>
                <w:p w14:paraId="487F8E20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290A23B">
          <v:shape id="_x0000_s1506" type="#_x0000_t202" style="position:absolute;margin-left:908.7pt;margin-top:23.25pt;width:85.05pt;height:82.5pt;z-index:251658275;mso-width-relative:margin;mso-height-relative:margin" fillcolor="white [3212]">
            <v:textbox style="mso-next-textbox:#_x0000_s1506">
              <w:txbxContent>
                <w:p w14:paraId="65E88125" w14:textId="77777777" w:rsidR="00DE7484" w:rsidRPr="00DE7484" w:rsidRDefault="00DE7484" w:rsidP="00DE7484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  <w:r w:rsidRPr="00DE7484">
                    <w:rPr>
                      <w:sz w:val="14"/>
                      <w:szCs w:val="14"/>
                      <w:lang w:val="en-GB"/>
                    </w:rPr>
                    <w:t>Support the cooperation between HEIs, research &amp; development organisations and the private sector on the national and international level</w:t>
                  </w:r>
                </w:p>
                <w:p w14:paraId="5E2578D5" w14:textId="650E670E" w:rsidR="002B053F" w:rsidRPr="00DE7484" w:rsidRDefault="002B053F" w:rsidP="002B053F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57164FED" w14:textId="6FEAD739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1117A138">
          <v:shape id="_x0000_s1505" type="#_x0000_t202" style="position:absolute;margin-left:751.2pt;margin-top:16.65pt;width:116.15pt;height:28.65pt;z-index:251658270;mso-width-relative:margin;mso-height-relative:margin" fillcolor="white [3212]">
            <v:textbox style="mso-next-textbox:#_x0000_s1505">
              <w:txbxContent>
                <w:p w14:paraId="67462E11" w14:textId="77777777" w:rsidR="002866C4" w:rsidRPr="003929BD" w:rsidRDefault="002866C4" w:rsidP="002866C4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3929BD">
                    <w:rPr>
                      <w:sz w:val="14"/>
                      <w:szCs w:val="14"/>
                      <w:lang w:val="en-GB"/>
                    </w:rPr>
                    <w:t>Developed effective system for continuing education system</w:t>
                  </w:r>
                </w:p>
                <w:p w14:paraId="1B9FD7C6" w14:textId="77777777" w:rsidR="002B053F" w:rsidRPr="002866C4" w:rsidRDefault="002B053F" w:rsidP="002B053F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0FDBBBA">
          <v:shape id="_x0000_s1508" type="#_x0000_t32" style="position:absolute;margin-left:695.85pt;margin-top:23pt;width:54.75pt;height:21.7pt;flip:y;z-index:251658323" o:connectortype="straight">
            <v:stroke endarrow="block"/>
          </v:shape>
        </w:pict>
      </w:r>
      <w:r>
        <w:rPr>
          <w:lang w:val="en-GB"/>
        </w:rPr>
        <w:pict w14:anchorId="763EE2B0">
          <v:shape id="_x0000_s1547" type="#_x0000_t32" style="position:absolute;margin-left:867.35pt;margin-top:24.35pt;width:41.35pt;height:159.95pt;z-index:251661427" o:connectortype="straight">
            <v:stroke endarrow="block"/>
          </v:shape>
        </w:pict>
      </w:r>
      <w:r>
        <w:rPr>
          <w:lang w:val="en-GB"/>
        </w:rPr>
        <w:pict w14:anchorId="5D2D6161">
          <v:shape id="_x0000_s1507" type="#_x0000_t32" style="position:absolute;margin-left:695.85pt;margin-top:24.35pt;width:55.35pt;height:60.75pt;flip:y;z-index:251658322" o:connectortype="straight">
            <v:stroke endarrow="block"/>
          </v:shape>
        </w:pict>
      </w:r>
    </w:p>
    <w:p w14:paraId="0E0525D8" w14:textId="32AC4593" w:rsidR="002B053F" w:rsidRPr="006A565C" w:rsidRDefault="000E2615" w:rsidP="002B053F">
      <w:pPr>
        <w:rPr>
          <w:lang w:val="en-GB"/>
        </w:rPr>
      </w:pPr>
      <w:r>
        <w:rPr>
          <w:lang w:val="en-GB"/>
        </w:rPr>
        <w:pict w14:anchorId="0C803A62">
          <v:shape id="_x0000_s1511" type="#_x0000_t202" style="position:absolute;margin-left:5.2pt;margin-top:5.45pt;width:96.4pt;height:76.55pt;z-index:251658324;visibility:visible;mso-width-relative:margin;mso-height-relative:margin">
            <v:textbox style="mso-next-textbox:#_x0000_s1511">
              <w:txbxContent>
                <w:p w14:paraId="736B7FC6" w14:textId="77777777" w:rsidR="004C005C" w:rsidRPr="00396C06" w:rsidRDefault="004C005C" w:rsidP="000E261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396C06">
                    <w:rPr>
                      <w:sz w:val="14"/>
                      <w:szCs w:val="14"/>
                      <w:lang w:val="en-GB"/>
                    </w:rPr>
                    <w:t>Development of teaching sources, methodology and specialised publication including their digital form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 for teaching and specialised staff at schools and school facilities</w:t>
                  </w:r>
                </w:p>
                <w:p w14:paraId="7006467B" w14:textId="77777777" w:rsidR="002B053F" w:rsidRPr="004C005C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1AC96D1">
          <v:shape id="_x0000_s1510" type="#_x0000_t32" style="position:absolute;margin-left:807.55pt;margin-top:20.9pt;width:0;height:119.25pt;z-index:251658303" o:connectortype="straight">
            <v:stroke endarrow="block"/>
          </v:shape>
        </w:pict>
      </w:r>
      <w:r>
        <w:rPr>
          <w:lang w:val="en-GB" w:eastAsia="cs-CZ"/>
        </w:rPr>
        <w:pict w14:anchorId="25227A30">
          <v:shape id="_x0000_s1517" type="#_x0000_t32" style="position:absolute;margin-left:461.95pt;margin-top:19.85pt;width:95.25pt;height:1.05pt;z-index:251658350" o:connectortype="straight">
            <v:stroke endarrow="block"/>
          </v:shape>
        </w:pict>
      </w:r>
      <w:r>
        <w:rPr>
          <w:lang w:val="en-GB"/>
        </w:rPr>
        <w:pict w14:anchorId="36B647FF">
          <v:shape id="_x0000_s1516" type="#_x0000_t202" style="position:absolute;margin-left:557.4pt;margin-top:5.45pt;width:138.05pt;height:28.85pt;z-index:251658346;visibility:visible;mso-width-relative:margin;mso-height-relative:margin">
            <v:textbox style="mso-next-textbox:#_x0000_s1516">
              <w:txbxContent>
                <w:p w14:paraId="202C92E1" w14:textId="22C19E7B" w:rsidR="00DA5871" w:rsidRPr="00515D09" w:rsidRDefault="00DA5871" w:rsidP="00DA5871">
                  <w:pPr>
                    <w:spacing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Standardisation of qualitative requirements for teaching </w:t>
                  </w:r>
                  <w:r>
                    <w:rPr>
                      <w:sz w:val="14"/>
                      <w:szCs w:val="14"/>
                      <w:lang w:val="en-GB"/>
                    </w:rPr>
                    <w:t>re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sources</w:t>
                  </w:r>
                </w:p>
                <w:p w14:paraId="3C71C0D4" w14:textId="77777777" w:rsidR="002B053F" w:rsidRPr="00DA5871" w:rsidRDefault="002B053F" w:rsidP="002B053F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09F4E332">
          <v:shape id="_x0000_s1515" type="#_x0000_t32" style="position:absolute;margin-left:256.2pt;margin-top:21.5pt;width:19.35pt;height:0;z-index:251658342" o:connectortype="straight">
            <v:stroke endarrow="block"/>
          </v:shape>
        </w:pict>
      </w:r>
      <w:r>
        <w:rPr>
          <w:lang w:val="en-GB" w:eastAsia="cs-CZ"/>
        </w:rPr>
        <w:pict w14:anchorId="12BCBBAD">
          <v:shape id="_x0000_s1514" type="#_x0000_t202" style="position:absolute;margin-left:276.45pt;margin-top:5.45pt;width:185.5pt;height:28.75pt;z-index:251658332;visibility:visible;mso-width-relative:margin;mso-height-relative:margin">
            <v:textbox style="mso-next-textbox:#_x0000_s1514">
              <w:txbxContent>
                <w:p w14:paraId="7AF40FFD" w14:textId="77777777" w:rsidR="0070504F" w:rsidRPr="00515D09" w:rsidRDefault="0070504F" w:rsidP="0070504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Use of manual for development of teaching </w:t>
                  </w:r>
                  <w:r>
                    <w:rPr>
                      <w:sz w:val="14"/>
                      <w:szCs w:val="14"/>
                      <w:lang w:val="en-GB"/>
                    </w:rPr>
                    <w:t>re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sources </w:t>
                  </w:r>
                  <w:r>
                    <w:rPr>
                      <w:sz w:val="14"/>
                      <w:szCs w:val="14"/>
                      <w:lang w:val="en-GB"/>
                    </w:rPr>
                    <w:t>to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 develop</w:t>
                  </w:r>
                  <w:r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continuing education programmes</w:t>
                  </w:r>
                </w:p>
                <w:p w14:paraId="46FB6ADB" w14:textId="77777777" w:rsidR="002B053F" w:rsidRPr="0070504F" w:rsidRDefault="002B053F" w:rsidP="002B05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D788C66">
          <v:shape id="_x0000_s1512" type="#_x0000_t202" style="position:absolute;margin-left:123.8pt;margin-top:11.4pt;width:131.55pt;height:18.75pt;z-index:251658328;visibility:visible;mso-width-relative:margin;mso-height-relative:margin">
            <v:textbox style="mso-next-textbox:#_x0000_s1512">
              <w:txbxContent>
                <w:p w14:paraId="451EECB8" w14:textId="77777777" w:rsidR="002A36CF" w:rsidRPr="00515D09" w:rsidRDefault="002A36CF" w:rsidP="002A36C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Manual for development of teaching </w:t>
                  </w:r>
                  <w:r>
                    <w:rPr>
                      <w:sz w:val="14"/>
                      <w:szCs w:val="14"/>
                      <w:lang w:val="en-GB"/>
                    </w:rPr>
                    <w:t>re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sources</w:t>
                  </w:r>
                </w:p>
                <w:p w14:paraId="304A78E7" w14:textId="77777777" w:rsidR="002B053F" w:rsidRPr="002A36CF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4AF19DE">
          <v:shape id="_x0000_s1513" type="#_x0000_t32" style="position:absolute;margin-left:102.15pt;margin-top:21.5pt;width:21.25pt;height:14.35pt;flip:y;z-index:251658330" o:connectortype="straight">
            <v:stroke endarrow="block"/>
          </v:shape>
        </w:pict>
      </w:r>
    </w:p>
    <w:p w14:paraId="768994C6" w14:textId="7952C0E3" w:rsidR="002B053F" w:rsidRPr="006A565C" w:rsidRDefault="000E2615" w:rsidP="002B053F">
      <w:pPr>
        <w:rPr>
          <w:lang w:val="en-GB"/>
        </w:rPr>
      </w:pPr>
      <w:r>
        <w:rPr>
          <w:lang w:val="en-GB"/>
        </w:rPr>
        <w:pict w14:anchorId="2E4C882F">
          <v:shape id="_x0000_s1518" type="#_x0000_t202" style="position:absolute;margin-left:557.4pt;margin-top:15.2pt;width:138.05pt;height:41.35pt;z-index:251658288;visibility:visible;mso-width-relative:margin;mso-height-relative:margin">
            <v:textbox style="mso-next-textbox:#_x0000_s1518">
              <w:txbxContent>
                <w:p w14:paraId="1CAE8376" w14:textId="77777777" w:rsidR="009100EA" w:rsidRPr="00515D09" w:rsidRDefault="009100EA" w:rsidP="009100EA">
                  <w:pPr>
                    <w:spacing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Successful implementation of accredited programmes into continuing education system</w:t>
                  </w:r>
                </w:p>
                <w:p w14:paraId="6C897040" w14:textId="77777777" w:rsidR="002B053F" w:rsidRPr="009100EA" w:rsidRDefault="002B053F" w:rsidP="002B053F">
                  <w:pPr>
                    <w:spacing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1150F6">
          <v:shape id="_x0000_s1521" type="#_x0000_t202" style="position:absolute;margin-left:276.15pt;margin-top:14.2pt;width:185.5pt;height:28.45pt;z-index:251658333;visibility:visible;mso-width-relative:margin;mso-height-relative:margin">
            <v:textbox style="mso-next-textbox:#_x0000_s1521">
              <w:txbxContent>
                <w:p w14:paraId="47350C63" w14:textId="77777777" w:rsidR="00071048" w:rsidRPr="00515D09" w:rsidRDefault="00071048" w:rsidP="00071048">
                  <w:pPr>
                    <w:rPr>
                      <w:sz w:val="18"/>
                      <w:szCs w:val="18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Available teaching </w:t>
                  </w:r>
                  <w:r>
                    <w:rPr>
                      <w:sz w:val="14"/>
                      <w:szCs w:val="14"/>
                      <w:lang w:val="en-GB"/>
                    </w:rPr>
                    <w:t>re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sources in electronic form on the MPC website and on the training portal as well as in publishe</w:t>
                  </w:r>
                  <w:r>
                    <w:rPr>
                      <w:sz w:val="14"/>
                      <w:szCs w:val="14"/>
                      <w:lang w:val="en-GB"/>
                    </w:rPr>
                    <w:t>d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 form</w:t>
                  </w:r>
                </w:p>
                <w:p w14:paraId="08F4C5E5" w14:textId="77777777" w:rsidR="002B053F" w:rsidRPr="00071048" w:rsidRDefault="002B053F" w:rsidP="002B05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85BB7B2">
          <v:shape id="_x0000_s1519" type="#_x0000_t202" style="position:absolute;margin-left:123pt;margin-top:13.55pt;width:131.55pt;height:28.1pt;z-index:251658329;visibility:visible;mso-width-relative:margin;mso-height-relative:margin">
            <v:textbox style="mso-next-textbox:#_x0000_s1519">
              <w:txbxContent>
                <w:p w14:paraId="312C27FF" w14:textId="77777777" w:rsidR="003F3412" w:rsidRPr="00515D09" w:rsidRDefault="003F3412" w:rsidP="003F3412">
                  <w:pPr>
                    <w:rPr>
                      <w:sz w:val="18"/>
                      <w:szCs w:val="18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Teaching </w:t>
                  </w:r>
                  <w:r>
                    <w:rPr>
                      <w:sz w:val="14"/>
                      <w:szCs w:val="14"/>
                      <w:lang w:val="en-GB"/>
                    </w:rPr>
                    <w:t>re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sources for 625 training programmes</w:t>
                  </w:r>
                </w:p>
                <w:p w14:paraId="2CA6A77D" w14:textId="77777777" w:rsidR="002B053F" w:rsidRPr="006C16A7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1A308B3">
          <v:shape id="_x0000_s1520" type="#_x0000_t32" style="position:absolute;margin-left:102.15pt;margin-top:11pt;width:21.65pt;height:17.3pt;z-index:251658331" o:connectortype="straight">
            <v:stroke endarrow="block"/>
          </v:shape>
        </w:pict>
      </w:r>
    </w:p>
    <w:p w14:paraId="171D70CF" w14:textId="4D1C8E0E" w:rsidR="002B053F" w:rsidRPr="006A565C" w:rsidRDefault="000E2615" w:rsidP="002B053F">
      <w:pPr>
        <w:rPr>
          <w:lang w:val="en-GB"/>
        </w:rPr>
      </w:pPr>
      <w:r>
        <w:rPr>
          <w:lang w:val="en-GB"/>
        </w:rPr>
        <w:pict w14:anchorId="5691771E">
          <v:shape id="_x0000_s1522" type="#_x0000_t32" style="position:absolute;margin-left:461.95pt;margin-top:2.55pt;width:94.9pt;height:1.4pt;z-index:251658296" o:connectortype="straight">
            <v:stroke endarrow="block"/>
          </v:shape>
        </w:pict>
      </w:r>
      <w:r>
        <w:rPr>
          <w:lang w:val="en-GB" w:eastAsia="cs-CZ"/>
        </w:rPr>
        <w:pict w14:anchorId="2593ADAA">
          <v:shape id="_x0000_s1523" type="#_x0000_t32" style="position:absolute;margin-left:254.95pt;margin-top:2.55pt;width:20.6pt;height:.3pt;z-index:251658343" o:connectortype="straight">
            <v:stroke endarrow="block"/>
          </v:shape>
        </w:pict>
      </w:r>
    </w:p>
    <w:p w14:paraId="5F7D78DC" w14:textId="24DC0FB6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73662C72">
          <v:shape id="_x0000_s1524" type="#_x0000_t202" style="position:absolute;margin-left:5.75pt;margin-top:14.9pt;width:96.4pt;height:60pt;z-index:251658325;visibility:visible;mso-width-relative:margin;mso-height-relative:margin">
            <v:textbox style="mso-next-textbox:#_x0000_s1524">
              <w:txbxContent>
                <w:p w14:paraId="3FD4EEEA" w14:textId="77777777" w:rsidR="005E292E" w:rsidRPr="00406864" w:rsidRDefault="005E292E" w:rsidP="000E261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406864">
                    <w:rPr>
                      <w:sz w:val="14"/>
                      <w:szCs w:val="14"/>
                      <w:lang w:val="en-GB"/>
                    </w:rPr>
                    <w:t>Educational activities focused on development of teaching and specialised staff key competences and education strategies</w:t>
                  </w:r>
                </w:p>
                <w:p w14:paraId="0B1DE58E" w14:textId="77777777" w:rsidR="002B053F" w:rsidRPr="005E292E" w:rsidRDefault="002B053F" w:rsidP="002B053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4540785">
          <v:shape id="_x0000_s1531" type="#_x0000_t202" style="position:absolute;margin-left:909.3pt;margin-top:9.5pt;width:85.05pt;height:140.9pt;z-index:251658276;mso-width-relative:margin;mso-height-relative:margin" fillcolor="white [3212]">
            <v:textbox style="mso-next-textbox:#_x0000_s1531">
              <w:txbxContent>
                <w:p w14:paraId="5725797C" w14:textId="77777777" w:rsidR="00394B06" w:rsidRPr="00394B06" w:rsidRDefault="00394B06" w:rsidP="00394B06">
                  <w:pPr>
                    <w:spacing w:after="0" w:line="240" w:lineRule="auto"/>
                    <w:jc w:val="center"/>
                    <w:rPr>
                      <w:sz w:val="14"/>
                      <w:szCs w:val="14"/>
                      <w:lang w:val="en-GB"/>
                    </w:rPr>
                  </w:pPr>
                  <w:bookmarkStart w:id="0" w:name="_Hlk37237946"/>
                  <w:r w:rsidRPr="00394B06">
                    <w:rPr>
                      <w:sz w:val="14"/>
                      <w:szCs w:val="14"/>
                      <w:lang w:val="en-GB"/>
                    </w:rPr>
                    <w:t>Increase quality of continuing education programmes and institutions</w:t>
                  </w:r>
                  <w:bookmarkEnd w:id="0"/>
                  <w:r w:rsidRPr="00394B06">
                    <w:rPr>
                      <w:sz w:val="14"/>
                      <w:szCs w:val="14"/>
                      <w:lang w:val="en-GB"/>
                    </w:rPr>
                    <w:t>, including development of compatibility and permeability system between formal, non-formal and informal education sectors and increase the share of economically active inhabitants participating in continuing education programmes</w:t>
                  </w:r>
                </w:p>
                <w:p w14:paraId="643380B7" w14:textId="09845FB5" w:rsidR="002B053F" w:rsidRPr="00394B06" w:rsidRDefault="002B053F" w:rsidP="002B053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D7A1E96">
          <v:shape id="_x0000_s1525" type="#_x0000_t202" style="position:absolute;margin-left:122.55pt;margin-top:8.45pt;width:131.55pt;height:46.95pt;z-index:251658334;visibility:visible;mso-width-relative:margin;mso-height-relative:margin">
            <v:textbox style="mso-next-textbox:#_x0000_s1525">
              <w:txbxContent>
                <w:p w14:paraId="79E2C1CC" w14:textId="77777777" w:rsidR="00C0608F" w:rsidRPr="00515D09" w:rsidRDefault="00C0608F" w:rsidP="00C0608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Continuing education guaranteed through events: lectures, seminars, creative workshops, exercises, courses, summer schools</w:t>
                  </w:r>
                </w:p>
                <w:p w14:paraId="52149F7F" w14:textId="77777777" w:rsidR="002B053F" w:rsidRPr="00C0608F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0F43370">
          <v:shape id="_x0000_s1526" type="#_x0000_t202" style="position:absolute;margin-left:276.15pt;margin-top:17.95pt;width:185.5pt;height:28.75pt;z-index:251658338;visibility:visible;mso-width-relative:margin;mso-height-relative:margin">
            <v:textbox style="mso-next-textbox:#_x0000_s1526">
              <w:txbxContent>
                <w:p w14:paraId="509FFCB4" w14:textId="77777777" w:rsidR="00553EDC" w:rsidRPr="00515D09" w:rsidRDefault="00553EDC" w:rsidP="00553ED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Participants of the training programme acquired certificate of its completion</w:t>
                  </w:r>
                </w:p>
                <w:p w14:paraId="7F984747" w14:textId="77777777" w:rsidR="002B053F" w:rsidRPr="00553EDC" w:rsidRDefault="002B053F" w:rsidP="002B05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6B926A95" w14:textId="6AD12858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31C40CAC">
          <v:shape id="_x0000_s1529" type="#_x0000_t32" style="position:absolute;margin-left:462.45pt;margin-top:6.6pt;width:94.4pt;height:39.35pt;z-index:251658349" o:connectortype="straight">
            <v:stroke endarrow="block"/>
          </v:shape>
        </w:pict>
      </w:r>
      <w:r>
        <w:rPr>
          <w:lang w:val="en-GB" w:eastAsia="cs-CZ"/>
        </w:rPr>
        <w:pict w14:anchorId="4926F4AE">
          <v:shape id="_x0000_s1530" type="#_x0000_t202" style="position:absolute;margin-left:557.4pt;margin-top:25.35pt;width:138.05pt;height:40.85pt;z-index:251658354;visibility:visible;mso-width-relative:margin;mso-height-relative:margin">
            <v:textbox style="mso-next-textbox:#_x0000_s1530">
              <w:txbxContent>
                <w:p w14:paraId="157E6446" w14:textId="3C786250" w:rsidR="00AF6C55" w:rsidRPr="00515D09" w:rsidRDefault="00AF6C55" w:rsidP="00AF6C55">
                  <w:pPr>
                    <w:spacing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Improved/ renewed level of key competences of teaching and specialised staff and educational strategies at schools and school facilities</w:t>
                  </w:r>
                </w:p>
                <w:p w14:paraId="2C552F67" w14:textId="77777777" w:rsidR="002B053F" w:rsidRPr="00AF6C55" w:rsidRDefault="002B053F" w:rsidP="002B053F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6859B03">
          <v:shape id="_x0000_s1528" type="#_x0000_t32" style="position:absolute;margin-left:254.55pt;margin-top:5.15pt;width:22.05pt;height:.35pt;z-index:251658341" o:connectortype="straight">
            <v:stroke endarrow="block"/>
          </v:shape>
        </w:pict>
      </w:r>
      <w:r>
        <w:rPr>
          <w:lang w:val="en-GB"/>
        </w:rPr>
        <w:pict w14:anchorId="7E98C031">
          <v:shape id="_x0000_s1527" type="#_x0000_t32" style="position:absolute;margin-left:102.15pt;margin-top:5.15pt;width:21.25pt;height:0;z-index:251658337" o:connectortype="straight">
            <v:stroke endarrow="block"/>
          </v:shape>
        </w:pict>
      </w:r>
    </w:p>
    <w:p w14:paraId="6B0FCE16" w14:textId="007B948E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607AC3C4">
          <v:shape id="_x0000_s1532" type="#_x0000_t202" style="position:absolute;margin-left:751.2pt;margin-top:12.95pt;width:115pt;height:42.25pt;z-index:251658286;mso-width-relative:margin;mso-height-relative:margin" fillcolor="white [3212]">
            <v:textbox style="mso-next-textbox:#_x0000_s1532">
              <w:txbxContent>
                <w:p w14:paraId="0D0390A1" w14:textId="77777777" w:rsidR="00ED59A9" w:rsidRPr="003929BD" w:rsidRDefault="00ED59A9" w:rsidP="00ED59A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3929BD">
                    <w:rPr>
                      <w:sz w:val="14"/>
                      <w:szCs w:val="14"/>
                      <w:lang w:val="en-GB"/>
                    </w:rPr>
                    <w:t>More effective educational process at schools and school facilities</w:t>
                  </w:r>
                </w:p>
                <w:p w14:paraId="6AE2007B" w14:textId="77777777" w:rsidR="002B053F" w:rsidRPr="00ED59A9" w:rsidRDefault="002B053F" w:rsidP="002B053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01246B1">
          <v:shape id="_x0000_s1536" type="#_x0000_t32" style="position:absolute;margin-left:457.8pt;margin-top:24pt;width:99.05pt;height:36.35pt;flip:y;z-index:251658355" o:connectortype="straight">
            <v:stroke endarrow="block"/>
          </v:shape>
        </w:pict>
      </w:r>
      <w:r>
        <w:rPr>
          <w:lang w:val="en-GB" w:eastAsia="cs-CZ"/>
        </w:rPr>
        <w:pict w14:anchorId="45120C9D">
          <v:shape id="_x0000_s1535" type="#_x0000_t32" style="position:absolute;margin-left:695.25pt;margin-top:22.75pt;width:55.95pt;height:5.85pt;z-index:251658352" o:connectortype="straight">
            <v:stroke endarrow="block"/>
          </v:shape>
        </w:pict>
      </w:r>
    </w:p>
    <w:p w14:paraId="58621ADA" w14:textId="65B51794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396FE129">
          <v:shape id="_x0000_s1543" type="#_x0000_t202" style="position:absolute;margin-left:273.3pt;margin-top:22.75pt;width:184.5pt;height:25.25pt;z-index:251658340;visibility:visible;mso-width-relative:margin;mso-height-relative:margin">
            <v:textbox style="mso-next-textbox:#_x0000_s1543">
              <w:txbxContent>
                <w:p w14:paraId="5994F6D9" w14:textId="77777777" w:rsidR="001434AA" w:rsidRPr="00515D09" w:rsidRDefault="001434AA" w:rsidP="001434A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>Teaching and specialised staff at schools are trained in attendance and distance form</w:t>
                  </w:r>
                </w:p>
                <w:p w14:paraId="09D602F7" w14:textId="77777777" w:rsidR="002B053F" w:rsidRPr="001434AA" w:rsidRDefault="002B053F" w:rsidP="002B05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41DA230">
          <v:shape id="_x0000_s1542" type="#_x0000_t202" style="position:absolute;margin-left:120.25pt;margin-top:15.3pt;width:131.55pt;height:36.05pt;z-index:251658336;visibility:visible;mso-width-relative:margin;mso-height-relative:margin">
            <v:textbox style="mso-next-textbox:#_x0000_s1542">
              <w:txbxContent>
                <w:p w14:paraId="358A33B2" w14:textId="77777777" w:rsidR="00890B18" w:rsidRPr="00515D09" w:rsidRDefault="00890B18" w:rsidP="00890B18">
                  <w:pPr>
                    <w:rPr>
                      <w:sz w:val="18"/>
                      <w:szCs w:val="18"/>
                      <w:lang w:val="en-GB"/>
                    </w:rPr>
                  </w:pPr>
                  <w:r w:rsidRPr="00515D09">
                    <w:rPr>
                      <w:sz w:val="14"/>
                      <w:szCs w:val="14"/>
                      <w:lang w:val="en-GB"/>
                    </w:rPr>
                    <w:t xml:space="preserve">Built classrooms for continuing education </w:t>
                  </w:r>
                  <w:r>
                    <w:rPr>
                      <w:sz w:val="14"/>
                      <w:szCs w:val="14"/>
                      <w:lang w:val="en-GB"/>
                    </w:rPr>
                    <w:t>equipp</w:t>
                  </w:r>
                  <w:r w:rsidRPr="00515D09">
                    <w:rPr>
                      <w:sz w:val="14"/>
                      <w:szCs w:val="14"/>
                      <w:lang w:val="en-GB"/>
                    </w:rPr>
                    <w:t>ed with computer and didactic technology</w:t>
                  </w:r>
                </w:p>
                <w:p w14:paraId="723C8356" w14:textId="42CEC73C" w:rsidR="002B053F" w:rsidRPr="00890B18" w:rsidRDefault="002B053F" w:rsidP="002B053F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FE3B911">
          <v:shape id="_x0000_s1541" type="#_x0000_t202" style="position:absolute;margin-left:6.2pt;margin-top:20.3pt;width:96.4pt;height:27.7pt;z-index:251658327;visibility:visible;mso-width-relative:margin;mso-height-relative:margin">
            <v:textbox style="mso-next-textbox:#_x0000_s1541">
              <w:txbxContent>
                <w:p w14:paraId="6DAFB2C4" w14:textId="77777777" w:rsidR="00FC1CF2" w:rsidRPr="00FC1CF2" w:rsidRDefault="00FC1CF2" w:rsidP="00FC1CF2">
                  <w:pPr>
                    <w:rPr>
                      <w:sz w:val="14"/>
                      <w:szCs w:val="14"/>
                      <w:lang w:val="sk-SK"/>
                    </w:rPr>
                  </w:pPr>
                  <w:r w:rsidRPr="00FC1CF2">
                    <w:rPr>
                      <w:sz w:val="14"/>
                      <w:szCs w:val="14"/>
                      <w:lang w:val="en-GB"/>
                    </w:rPr>
                    <w:t>Facilities and equipment for professional activities</w:t>
                  </w:r>
                </w:p>
                <w:p w14:paraId="64F8AA07" w14:textId="77777777" w:rsidR="002B053F" w:rsidRPr="00507643" w:rsidRDefault="002B053F" w:rsidP="002B053F">
                  <w:pPr>
                    <w:rPr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46ACF696" w14:textId="75059939" w:rsidR="002B053F" w:rsidRPr="006A565C" w:rsidRDefault="000E2615" w:rsidP="002B053F">
      <w:pPr>
        <w:rPr>
          <w:lang w:val="en-GB"/>
        </w:rPr>
      </w:pPr>
      <w:r>
        <w:rPr>
          <w:lang w:val="en-GB" w:eastAsia="cs-CZ"/>
        </w:rPr>
        <w:pict w14:anchorId="7E98C031">
          <v:shape id="_x0000_s1551" type="#_x0000_t32" style="position:absolute;margin-left:102.6pt;margin-top:9.45pt;width:17.65pt;height:.05pt;z-index:251663475" o:connectortype="straight">
            <v:stroke endarrow="block"/>
          </v:shape>
        </w:pict>
      </w:r>
      <w:r>
        <w:rPr>
          <w:lang w:val="en-GB" w:eastAsia="cs-CZ"/>
        </w:rPr>
        <w:pict w14:anchorId="7E98C031">
          <v:shape id="_x0000_s1552" type="#_x0000_t32" style="position:absolute;margin-left:252.6pt;margin-top:8.65pt;width:21.25pt;height:0;z-index:251664499" o:connectortype="straight">
            <v:stroke endarrow="block"/>
          </v:shape>
        </w:pict>
      </w:r>
    </w:p>
    <w:p w14:paraId="747CA6B7" w14:textId="7C51B5B7" w:rsidR="002B053F" w:rsidRPr="006A565C" w:rsidRDefault="002B053F" w:rsidP="002B053F">
      <w:pPr>
        <w:rPr>
          <w:lang w:val="en-GB"/>
        </w:rPr>
      </w:pPr>
    </w:p>
    <w:p w14:paraId="09CA6B99" w14:textId="77777777" w:rsidR="00DD7C0B" w:rsidRPr="006A565C" w:rsidRDefault="00DD7C0B">
      <w:pPr>
        <w:rPr>
          <w:lang w:val="en-GB"/>
        </w:rPr>
      </w:pPr>
    </w:p>
    <w:p w14:paraId="322E2C92" w14:textId="2309D495" w:rsidR="00DD7C0B" w:rsidRPr="006A565C" w:rsidRDefault="00DD7C0B">
      <w:pPr>
        <w:rPr>
          <w:lang w:val="en-GB"/>
        </w:rPr>
      </w:pPr>
    </w:p>
    <w:p w14:paraId="3070B861" w14:textId="2EF36D88" w:rsidR="00B90147" w:rsidRPr="006A565C" w:rsidRDefault="000E2615">
      <w:pPr>
        <w:rPr>
          <w:lang w:val="en-GB"/>
        </w:rPr>
      </w:pPr>
      <w:r>
        <w:rPr>
          <w:lang w:val="en-GB" w:eastAsia="cs-CZ"/>
        </w:rPr>
        <w:lastRenderedPageBreak/>
        <w:pict w14:anchorId="25EB7858">
          <v:roundrect id="_x0000_s1249" style="position:absolute;margin-left:521.45pt;margin-top:3pt;width:506.3pt;height:182.85pt;z-index:25165824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82.85pt;z-index:251658242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3pt;width:377.85pt;height:182.85pt;z-index:251658245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363B4E48" w:rsidR="00FF2CDE" w:rsidRPr="00DD7C0B" w:rsidRDefault="00ED16D7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</w:t>
                  </w:r>
                  <w:r w:rsidR="000E2615">
                    <w:rPr>
                      <w:b/>
                      <w:sz w:val="20"/>
                      <w:szCs w:val="20"/>
                      <w:lang w:val="sk-SK"/>
                    </w:rPr>
                    <w:t>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5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64470B3A" w:rsidR="00FF2CDE" w:rsidRPr="00F66DB9" w:rsidRDefault="0096456C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4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618C3B9F" w:rsidR="00FF2CDE" w:rsidRPr="008541E8" w:rsidRDefault="00F70D79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7C56A471" w:rsidR="00B90147" w:rsidRPr="006A565C" w:rsidRDefault="000E2615">
      <w:pPr>
        <w:rPr>
          <w:lang w:val="en-GB"/>
        </w:rPr>
      </w:pPr>
      <w:r>
        <w:rPr>
          <w:lang w:val="en-GB" w:eastAsia="cs-CZ"/>
        </w:rPr>
        <w:pict w14:anchorId="22B80FCC">
          <v:shape id="_x0000_s1251" type="#_x0000_t202" style="position:absolute;margin-left:528.25pt;margin-top:6.8pt;width:493.1pt;height:145.85pt;z-index:25165825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545"/>
                  </w:tblGrid>
                  <w:tr w:rsidR="00E70A99" w:rsidRPr="00D015DE" w14:paraId="29266F50" w14:textId="77777777" w:rsidTr="004260D0">
                    <w:tc>
                      <w:tcPr>
                        <w:tcW w:w="578" w:type="dxa"/>
                      </w:tcPr>
                      <w:p w14:paraId="1C6CEF3D" w14:textId="14869D78" w:rsidR="00E70A99" w:rsidRPr="00D015DE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96456C" w:rsidRPr="00D015DE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3F0F520E" w:rsidR="00E70A99" w:rsidRPr="00D015DE" w:rsidRDefault="004260D0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11564900" w:rsidR="00E70A99" w:rsidRPr="00D015DE" w:rsidRDefault="000E2615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49E67514" w14:textId="6ADE8E9D" w:rsidR="00E70A99" w:rsidRPr="00D015DE" w:rsidRDefault="004260D0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Achieved (based on the final monito</w:t>
                        </w:r>
                        <w:r w:rsidR="00D015DE">
                          <w:rPr>
                            <w:sz w:val="18"/>
                            <w:szCs w:val="18"/>
                            <w:lang w:val="en-GB"/>
                          </w:rPr>
                          <w:t>r</w:t>
                        </w: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ing report</w:t>
                        </w:r>
                      </w:p>
                    </w:tc>
                  </w:tr>
                  <w:tr w:rsidR="006E1BED" w:rsidRPr="00D015DE" w14:paraId="426F2A86" w14:textId="77777777" w:rsidTr="00D015DE">
                    <w:tc>
                      <w:tcPr>
                        <w:tcW w:w="578" w:type="dxa"/>
                      </w:tcPr>
                      <w:p w14:paraId="42890AE2" w14:textId="5F5E207B" w:rsidR="006E1BED" w:rsidRPr="00D015DE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05D6D0BB" w:rsidR="006E1BED" w:rsidRPr="00D015DE" w:rsidRDefault="00E66BB6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newly developed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49B073C9" w:rsidR="006E1BED" w:rsidRPr="00D015DE" w:rsidRDefault="0052403E" w:rsidP="006E1BED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625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5392D12A" w14:textId="0A22563D" w:rsidR="006E1BED" w:rsidRPr="00D015DE" w:rsidRDefault="007428C5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616</w:t>
                        </w:r>
                      </w:p>
                    </w:tc>
                  </w:tr>
                  <w:tr w:rsidR="006E1BED" w:rsidRPr="00D015DE" w14:paraId="47B145A6" w14:textId="77777777" w:rsidTr="004260D0">
                    <w:tc>
                      <w:tcPr>
                        <w:tcW w:w="578" w:type="dxa"/>
                      </w:tcPr>
                      <w:p w14:paraId="3DBF3098" w14:textId="391109B7" w:rsidR="006E1BED" w:rsidRPr="00D015DE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07F17951" w:rsidR="006E1BED" w:rsidRPr="00D015DE" w:rsidRDefault="00D0337F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newly developed / innovated training programmes focused on acquisition and development of ICT knowledge and skills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BC4F3EF" w:rsidR="006E1BED" w:rsidRPr="00D015DE" w:rsidRDefault="0052403E" w:rsidP="006E1BED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30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5BC6667" w14:textId="2858010D" w:rsidR="006E1BED" w:rsidRPr="00D015DE" w:rsidRDefault="0052403E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8</w:t>
                        </w:r>
                        <w:r w:rsidR="007428C5"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5</w:t>
                        </w:r>
                      </w:p>
                    </w:tc>
                  </w:tr>
                  <w:tr w:rsidR="006E1BED" w:rsidRPr="00D015DE" w14:paraId="70279DDF" w14:textId="77777777" w:rsidTr="004260D0">
                    <w:tc>
                      <w:tcPr>
                        <w:tcW w:w="578" w:type="dxa"/>
                      </w:tcPr>
                      <w:p w14:paraId="76C9CF09" w14:textId="5DAE950F" w:rsidR="006E1BED" w:rsidRPr="00D015DE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19FFAD5B" w:rsidR="006E1BED" w:rsidRPr="00D015DE" w:rsidRDefault="00B201D5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employees participating in the project educational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0B3AC2A4" w:rsidR="006E1BED" w:rsidRPr="00D015DE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2000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5D8259C" w14:textId="69FA6D12" w:rsidR="006E1BED" w:rsidRPr="00D015DE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9 214</w:t>
                        </w:r>
                      </w:p>
                    </w:tc>
                  </w:tr>
                  <w:tr w:rsidR="006E1BED" w:rsidRPr="00D015DE" w14:paraId="31606050" w14:textId="77777777" w:rsidTr="004260D0">
                    <w:tc>
                      <w:tcPr>
                        <w:tcW w:w="578" w:type="dxa"/>
                      </w:tcPr>
                      <w:p w14:paraId="3AE069CD" w14:textId="0D9949A7" w:rsidR="006E1BED" w:rsidRPr="00D015DE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483BB638" w:rsidR="006E1BED" w:rsidRPr="00D015DE" w:rsidRDefault="00A642FE" w:rsidP="006E1BED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implemented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73740BA" w:rsidR="006E1BED" w:rsidRPr="00D015DE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6A3FEC7D" w14:textId="2DBAFCB5" w:rsidR="006E1BED" w:rsidRPr="00D015DE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  <w:tr w:rsidR="006E1BED" w:rsidRPr="00D015DE" w14:paraId="20FCB574" w14:textId="77777777" w:rsidTr="004260D0">
                    <w:tc>
                      <w:tcPr>
                        <w:tcW w:w="578" w:type="dxa"/>
                      </w:tcPr>
                      <w:p w14:paraId="595B9BED" w14:textId="4CAB400B" w:rsidR="006E1BED" w:rsidRPr="00D015DE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27126017" w:rsidR="006E1BED" w:rsidRPr="00D015DE" w:rsidRDefault="00651BCB" w:rsidP="006E1BED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Number of newly developed / innovated training programmes used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5E361881" w:rsidR="006E1BED" w:rsidRPr="00D015DE" w:rsidRDefault="005B1578" w:rsidP="006E1BE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80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CF07D1E" w14:textId="0D9B1088" w:rsidR="006E1BED" w:rsidRPr="00D015DE" w:rsidRDefault="005B1578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77</w:t>
                        </w:r>
                      </w:p>
                    </w:tc>
                  </w:tr>
                  <w:tr w:rsidR="006E1BED" w:rsidRPr="00D015DE" w14:paraId="4F954052" w14:textId="77777777" w:rsidTr="004260D0">
                    <w:tc>
                      <w:tcPr>
                        <w:tcW w:w="578" w:type="dxa"/>
                      </w:tcPr>
                      <w:p w14:paraId="19C9D68B" w14:textId="60C4BE8F" w:rsidR="006E1BED" w:rsidRPr="00D015DE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28195924" w:rsidR="006E1BED" w:rsidRPr="00D015DE" w:rsidRDefault="00D60427" w:rsidP="006E1BED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Number of employees using the project outcomes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40109A01" w:rsidR="006E1BED" w:rsidRPr="00D015DE" w:rsidRDefault="005B1578" w:rsidP="006E1BED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sz w:val="18"/>
                            <w:szCs w:val="18"/>
                            <w:lang w:val="en-GB"/>
                          </w:rPr>
                          <w:t>700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4FB78C7C" w14:textId="0BF3BEA9" w:rsidR="006E1BED" w:rsidRPr="00D015DE" w:rsidRDefault="002D278F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D015D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3 637</w:t>
                        </w:r>
                      </w:p>
                    </w:tc>
                  </w:tr>
                </w:tbl>
                <w:p w14:paraId="401CE722" w14:textId="77777777" w:rsidR="00FF2CDE" w:rsidRPr="00D015DE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1.15pt;margin-top:10.95pt;width:118.1pt;height:144.75pt;z-index:251658244;visibility:visible;mso-width-relative:margin;mso-height-relative:margin">
            <v:textbox style="mso-next-textbox:#Text Box 71">
              <w:txbxContent>
                <w:p w14:paraId="6453C968" w14:textId="10E99168" w:rsidR="00FF2CDE" w:rsidRPr="00D015DE" w:rsidRDefault="00F70D79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5F3925"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</w:t>
                  </w:r>
                  <w:r w:rsidR="00FD00F2" w:rsidRPr="00D015DE">
                    <w:rPr>
                      <w:bCs/>
                      <w:sz w:val="18"/>
                      <w:szCs w:val="18"/>
                      <w:lang w:val="en-GB"/>
                    </w:rPr>
                    <w:t>5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FD00F2" w:rsidRPr="00D015DE">
                    <w:rPr>
                      <w:bCs/>
                      <w:sz w:val="18"/>
                      <w:szCs w:val="18"/>
                      <w:lang w:val="en-GB"/>
                    </w:rPr>
                    <w:t>232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FD00F2" w:rsidRPr="00D015DE">
                    <w:rPr>
                      <w:bCs/>
                      <w:sz w:val="18"/>
                      <w:szCs w:val="18"/>
                      <w:lang w:val="en-GB"/>
                    </w:rPr>
                    <w:t>830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FD00F2" w:rsidRPr="00D015DE">
                    <w:rPr>
                      <w:bCs/>
                      <w:sz w:val="18"/>
                      <w:szCs w:val="18"/>
                      <w:lang w:val="en-GB"/>
                    </w:rPr>
                    <w:t>82</w:t>
                  </w:r>
                  <w:r w:rsidR="005F3925" w:rsidRPr="00D015DE">
                    <w:rPr>
                      <w:bCs/>
                      <w:sz w:val="18"/>
                      <w:szCs w:val="18"/>
                      <w:lang w:val="en-GB"/>
                    </w:rPr>
                    <w:t xml:space="preserve"> EUR</w:t>
                  </w:r>
                </w:p>
                <w:p w14:paraId="493F2668" w14:textId="77777777" w:rsidR="009667D5" w:rsidRPr="00D015DE" w:rsidRDefault="009667D5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</w:p>
                <w:p w14:paraId="6391146E" w14:textId="77777777" w:rsidR="00F70D79" w:rsidRPr="00D015DE" w:rsidRDefault="00F70D79" w:rsidP="00F70D79">
                  <w:pPr>
                    <w:contextualSpacing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D015DE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D015DE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</w:p>
                <w:p w14:paraId="316BB02E" w14:textId="3D582C3D" w:rsidR="00FD00F2" w:rsidRPr="00D015DE" w:rsidRDefault="00FD00F2" w:rsidP="00F70D7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3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439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454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44 EUR</w:t>
                  </w:r>
                  <w:r w:rsidR="009667D5" w:rsidRPr="00D015DE">
                    <w:rPr>
                      <w:bCs/>
                      <w:sz w:val="18"/>
                      <w:szCs w:val="18"/>
                      <w:lang w:val="en-GB"/>
                    </w:rPr>
                    <w:t xml:space="preserve"> (</w:t>
                  </w: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65</w:t>
                  </w:r>
                  <w:r w:rsidR="000E2615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D015DE">
                    <w:rPr>
                      <w:bCs/>
                      <w:sz w:val="18"/>
                      <w:szCs w:val="18"/>
                      <w:lang w:val="en-GB"/>
                    </w:rPr>
                    <w:t>73</w:t>
                  </w:r>
                  <w:r w:rsidR="0001455E" w:rsidRPr="00D015DE">
                    <w:rPr>
                      <w:bCs/>
                      <w:sz w:val="18"/>
                      <w:szCs w:val="18"/>
                      <w:lang w:val="en-GB"/>
                    </w:rPr>
                    <w:t>%</w:t>
                  </w:r>
                  <w:r w:rsidR="009667D5" w:rsidRPr="00D015DE">
                    <w:rPr>
                      <w:bCs/>
                      <w:sz w:val="18"/>
                      <w:szCs w:val="18"/>
                      <w:lang w:val="en-GB"/>
                    </w:rPr>
                    <w:t>)</w:t>
                  </w:r>
                  <w:r w:rsidR="0001455E" w:rsidRPr="00D015DE">
                    <w:rPr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="00F70D79" w:rsidRPr="00D015DE">
                    <w:rPr>
                      <w:bCs/>
                      <w:sz w:val="18"/>
                      <w:szCs w:val="18"/>
                      <w:lang w:val="en-GB"/>
                    </w:rPr>
                    <w:t xml:space="preserve">based </w:t>
                  </w:r>
                  <w:r w:rsidR="00115FAF">
                    <w:rPr>
                      <w:bCs/>
                      <w:sz w:val="18"/>
                      <w:szCs w:val="18"/>
                      <w:lang w:val="en-GB"/>
                    </w:rPr>
                    <w:t>o</w:t>
                  </w:r>
                  <w:r w:rsidR="00F70D79" w:rsidRPr="00D015DE">
                    <w:rPr>
                      <w:bCs/>
                      <w:sz w:val="18"/>
                      <w:szCs w:val="18"/>
                      <w:lang w:val="en-GB"/>
                    </w:rPr>
                    <w:t>n the follow-up monitoring report</w:t>
                  </w:r>
                </w:p>
                <w:p w14:paraId="23E826D6" w14:textId="4D6D8986" w:rsidR="00FF2CDE" w:rsidRPr="00D015DE" w:rsidRDefault="00F70D79" w:rsidP="00F70D79">
                  <w:pP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C271C1" w:rsidRPr="00D015D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 </w:t>
                  </w:r>
                  <w:r w:rsidR="00C271C1" w:rsidRPr="00D015DE">
                    <w:rPr>
                      <w:bCs/>
                      <w:sz w:val="18"/>
                      <w:szCs w:val="18"/>
                      <w:lang w:val="en-GB"/>
                    </w:rPr>
                    <w:t>10/2009 – 10/2015</w:t>
                  </w:r>
                </w:p>
                <w:p w14:paraId="1C26B04B" w14:textId="77777777" w:rsidR="00FF2CDE" w:rsidRPr="00D015DE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43.45pt;z-index:25165825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33D81C0" w14:textId="4E6E2476" w:rsidR="006458E5" w:rsidRPr="003929BD" w:rsidRDefault="006458E5" w:rsidP="006458E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3929BD">
                    <w:rPr>
                      <w:sz w:val="16"/>
                      <w:szCs w:val="16"/>
                      <w:lang w:val="en-GB"/>
                    </w:rPr>
                    <w:t>Need to define professional qualification of teaching and specialised staff at schools and develop new accredited programmes cont</w:t>
                  </w:r>
                  <w:r>
                    <w:rPr>
                      <w:sz w:val="16"/>
                      <w:szCs w:val="16"/>
                      <w:lang w:val="en-GB"/>
                    </w:rPr>
                    <w:t>r</w:t>
                  </w:r>
                  <w:r w:rsidRPr="003929BD">
                    <w:rPr>
                      <w:sz w:val="16"/>
                      <w:szCs w:val="16"/>
                      <w:lang w:val="en-GB"/>
                    </w:rPr>
                    <w:t>ibuting to development of quality continuing education for teaching and specialised staff</w:t>
                  </w:r>
                </w:p>
                <w:p w14:paraId="14141D38" w14:textId="19A79E3C" w:rsidR="00BC51E7" w:rsidRPr="00627C80" w:rsidRDefault="00BC51E7" w:rsidP="00BC51E7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sk-SK"/>
                    </w:rPr>
                  </w:pPr>
                </w:p>
                <w:p w14:paraId="4FC5FCDE" w14:textId="09A5372C" w:rsidR="007B5509" w:rsidRPr="00627C80" w:rsidRDefault="007B5509" w:rsidP="006953C6">
                  <w:pPr>
                    <w:pStyle w:val="Odsekzoznamu"/>
                    <w:rPr>
                      <w:sz w:val="16"/>
                      <w:szCs w:val="16"/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Pr="006A565C" w:rsidRDefault="00B90147">
      <w:pPr>
        <w:rPr>
          <w:lang w:val="en-GB"/>
        </w:rPr>
      </w:pPr>
    </w:p>
    <w:p w14:paraId="60A9DA20" w14:textId="1477FB1D" w:rsidR="00B90147" w:rsidRPr="006A565C" w:rsidRDefault="000E2615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60.1pt;margin-top:10.55pt;width:324.7pt;height:21.35pt;z-index:2516582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181439D5" w:rsidR="00DD7C0B" w:rsidRPr="00DD7C0B" w:rsidRDefault="006458E5" w:rsidP="006458E5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</w:txbxContent>
            </v:textbox>
          </v:shape>
        </w:pict>
      </w:r>
    </w:p>
    <w:p w14:paraId="6F21D6A3" w14:textId="6B0EDFEE" w:rsidR="004E5EF6" w:rsidRPr="006A565C" w:rsidRDefault="000E2615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8pt;margin-top:6.5pt;width:347.3pt;height:51.55pt;z-index:25165825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2732CFA" w14:textId="27379663" w:rsidR="00BC51E7" w:rsidRDefault="00C43E12" w:rsidP="00C43E12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C43E12">
                    <w:rPr>
                      <w:bCs/>
                      <w:sz w:val="16"/>
                      <w:szCs w:val="16"/>
                      <w:lang w:val="en-GB"/>
                    </w:rPr>
                    <w:t>Interest of teaching and specialised staff in continuing education</w:t>
                  </w:r>
                </w:p>
                <w:p w14:paraId="0AEDF507" w14:textId="77777777" w:rsidR="00F005CD" w:rsidRPr="00F005CD" w:rsidRDefault="00F005CD" w:rsidP="00F005CD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F005CD">
                    <w:rPr>
                      <w:bCs/>
                      <w:sz w:val="16"/>
                      <w:szCs w:val="16"/>
                      <w:lang w:val="en-GB"/>
                    </w:rPr>
                    <w:t>Act on teaching and specialised staff from 24 June 2009 (the project includes created professional standards that were partly developed also for the use in this Act)</w:t>
                  </w:r>
                </w:p>
                <w:p w14:paraId="1A912364" w14:textId="77777777" w:rsidR="00F005CD" w:rsidRPr="00F005CD" w:rsidRDefault="00F005CD" w:rsidP="00F005CD">
                  <w:pPr>
                    <w:spacing w:after="0"/>
                    <w:ind w:left="360"/>
                    <w:rPr>
                      <w:bCs/>
                      <w:sz w:val="16"/>
                      <w:szCs w:val="16"/>
                      <w:lang w:val="en-GB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  <w:r w:rsidR="000561C9" w:rsidRPr="006A565C">
        <w:rPr>
          <w:lang w:val="en-GB"/>
        </w:rPr>
        <w:tab/>
      </w:r>
    </w:p>
    <w:p w14:paraId="00342354" w14:textId="67E8DA62" w:rsidR="00B87C18" w:rsidRPr="006A565C" w:rsidRDefault="00B87C18">
      <w:pPr>
        <w:rPr>
          <w:lang w:val="en-GB"/>
        </w:rPr>
      </w:pPr>
    </w:p>
    <w:p w14:paraId="6B3C0795" w14:textId="15DADF4A" w:rsidR="00B90147" w:rsidRPr="006A565C" w:rsidRDefault="00B90147">
      <w:pPr>
        <w:rPr>
          <w:lang w:val="en-GB"/>
        </w:rPr>
      </w:pPr>
    </w:p>
    <w:p w14:paraId="78FBD690" w14:textId="2BA2689C" w:rsidR="00F66DB9" w:rsidRPr="006A565C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37EF03DA" w:rsidR="005C11A0" w:rsidRPr="006A565C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4D8B8E65" w:rsidR="005C11A0" w:rsidRPr="006A565C" w:rsidRDefault="005C11A0">
      <w:pPr>
        <w:rPr>
          <w:lang w:val="en-GB"/>
        </w:rPr>
      </w:pPr>
    </w:p>
    <w:p w14:paraId="3B93A37D" w14:textId="64D3CF56" w:rsidR="005C11A0" w:rsidRPr="006A565C" w:rsidRDefault="005C11A0">
      <w:pPr>
        <w:rPr>
          <w:lang w:val="en-GB"/>
        </w:rPr>
      </w:pPr>
    </w:p>
    <w:p w14:paraId="29F3D89D" w14:textId="0DCD9BF9" w:rsidR="005C11A0" w:rsidRPr="006A565C" w:rsidRDefault="005C11A0">
      <w:pPr>
        <w:rPr>
          <w:lang w:val="en-GB"/>
        </w:rPr>
      </w:pPr>
    </w:p>
    <w:p w14:paraId="0AC9CF96" w14:textId="77777777" w:rsidR="005C11A0" w:rsidRPr="006A565C" w:rsidRDefault="005C11A0">
      <w:pPr>
        <w:rPr>
          <w:lang w:val="en-GB"/>
        </w:rPr>
      </w:pPr>
    </w:p>
    <w:p w14:paraId="7B2D6B14" w14:textId="77777777" w:rsidR="005C11A0" w:rsidRPr="006A565C" w:rsidRDefault="005C11A0">
      <w:pPr>
        <w:rPr>
          <w:lang w:val="en-GB"/>
        </w:rPr>
      </w:pPr>
    </w:p>
    <w:p w14:paraId="1871EA4F" w14:textId="4D1E2BFE" w:rsidR="005C11A0" w:rsidRPr="006A565C" w:rsidRDefault="005C11A0">
      <w:pPr>
        <w:rPr>
          <w:lang w:val="en-GB"/>
        </w:rPr>
      </w:pPr>
    </w:p>
    <w:p w14:paraId="65369EE8" w14:textId="77777777" w:rsidR="005C11A0" w:rsidRPr="006A565C" w:rsidRDefault="005C11A0">
      <w:pPr>
        <w:rPr>
          <w:lang w:val="en-GB"/>
        </w:rPr>
      </w:pPr>
    </w:p>
    <w:p w14:paraId="7B7B0BAF" w14:textId="77777777" w:rsidR="005C11A0" w:rsidRPr="006A565C" w:rsidRDefault="005C11A0">
      <w:pPr>
        <w:rPr>
          <w:lang w:val="en-GB"/>
        </w:rPr>
      </w:pPr>
    </w:p>
    <w:p w14:paraId="3A7C3DDF" w14:textId="77777777" w:rsidR="005C11A0" w:rsidRPr="006A565C" w:rsidRDefault="005C11A0">
      <w:pPr>
        <w:rPr>
          <w:lang w:val="en-GB"/>
        </w:rPr>
      </w:pPr>
    </w:p>
    <w:p w14:paraId="4B5E733F" w14:textId="77777777" w:rsidR="005C11A0" w:rsidRPr="006A565C" w:rsidRDefault="005C11A0">
      <w:pPr>
        <w:rPr>
          <w:lang w:val="en-GB"/>
        </w:rPr>
      </w:pPr>
    </w:p>
    <w:p w14:paraId="01780C8F" w14:textId="77777777" w:rsidR="005C11A0" w:rsidRPr="006A565C" w:rsidRDefault="005C11A0">
      <w:pPr>
        <w:rPr>
          <w:lang w:val="en-GB"/>
        </w:rPr>
      </w:pPr>
    </w:p>
    <w:p w14:paraId="44FC3F75" w14:textId="77777777" w:rsidR="005C11A0" w:rsidRPr="006A565C" w:rsidRDefault="005C11A0">
      <w:pPr>
        <w:rPr>
          <w:lang w:val="en-GB"/>
        </w:rPr>
      </w:pPr>
    </w:p>
    <w:sectPr w:rsidR="005C11A0" w:rsidRPr="006A565C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77AB1"/>
    <w:multiLevelType w:val="hybridMultilevel"/>
    <w:tmpl w:val="455897F0"/>
    <w:lvl w:ilvl="0" w:tplc="258E0F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246AC"/>
    <w:multiLevelType w:val="hybridMultilevel"/>
    <w:tmpl w:val="6708343C"/>
    <w:lvl w:ilvl="0" w:tplc="68727A6E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5AD"/>
    <w:rsid w:val="000052A3"/>
    <w:rsid w:val="0001455E"/>
    <w:rsid w:val="000154C1"/>
    <w:rsid w:val="000204D8"/>
    <w:rsid w:val="00020C0B"/>
    <w:rsid w:val="000232B6"/>
    <w:rsid w:val="00023765"/>
    <w:rsid w:val="00024B85"/>
    <w:rsid w:val="0003149D"/>
    <w:rsid w:val="00044FF1"/>
    <w:rsid w:val="00045590"/>
    <w:rsid w:val="000561C9"/>
    <w:rsid w:val="00071048"/>
    <w:rsid w:val="00077CCA"/>
    <w:rsid w:val="0008015C"/>
    <w:rsid w:val="00084B87"/>
    <w:rsid w:val="000854BA"/>
    <w:rsid w:val="00087A54"/>
    <w:rsid w:val="00087C4C"/>
    <w:rsid w:val="000A164B"/>
    <w:rsid w:val="000A32DA"/>
    <w:rsid w:val="000A4134"/>
    <w:rsid w:val="000A6A5B"/>
    <w:rsid w:val="000A6C02"/>
    <w:rsid w:val="000B71D0"/>
    <w:rsid w:val="000C21BE"/>
    <w:rsid w:val="000D1E29"/>
    <w:rsid w:val="000D5D15"/>
    <w:rsid w:val="000E2615"/>
    <w:rsid w:val="000E6408"/>
    <w:rsid w:val="000F1F9E"/>
    <w:rsid w:val="000F6285"/>
    <w:rsid w:val="001011DE"/>
    <w:rsid w:val="00104393"/>
    <w:rsid w:val="00111C6C"/>
    <w:rsid w:val="00115FAF"/>
    <w:rsid w:val="00121304"/>
    <w:rsid w:val="00130A25"/>
    <w:rsid w:val="001375B4"/>
    <w:rsid w:val="00140D68"/>
    <w:rsid w:val="001434AA"/>
    <w:rsid w:val="00143F59"/>
    <w:rsid w:val="001824B8"/>
    <w:rsid w:val="001839AB"/>
    <w:rsid w:val="00186EF6"/>
    <w:rsid w:val="001A0E51"/>
    <w:rsid w:val="001A214E"/>
    <w:rsid w:val="001B4862"/>
    <w:rsid w:val="001C2F6C"/>
    <w:rsid w:val="001C49F4"/>
    <w:rsid w:val="001D3550"/>
    <w:rsid w:val="001E0CF5"/>
    <w:rsid w:val="001E6D00"/>
    <w:rsid w:val="001F1C13"/>
    <w:rsid w:val="001F3F69"/>
    <w:rsid w:val="001F4C1A"/>
    <w:rsid w:val="00202AC6"/>
    <w:rsid w:val="00204663"/>
    <w:rsid w:val="00221855"/>
    <w:rsid w:val="002226C7"/>
    <w:rsid w:val="00231123"/>
    <w:rsid w:val="0023220D"/>
    <w:rsid w:val="00233EDB"/>
    <w:rsid w:val="00240C00"/>
    <w:rsid w:val="0024335C"/>
    <w:rsid w:val="002617CF"/>
    <w:rsid w:val="00261FA4"/>
    <w:rsid w:val="00265928"/>
    <w:rsid w:val="00267277"/>
    <w:rsid w:val="00276AAA"/>
    <w:rsid w:val="00277EDC"/>
    <w:rsid w:val="00283AE4"/>
    <w:rsid w:val="002847D3"/>
    <w:rsid w:val="0028505A"/>
    <w:rsid w:val="002866C4"/>
    <w:rsid w:val="00291D74"/>
    <w:rsid w:val="00295410"/>
    <w:rsid w:val="00296676"/>
    <w:rsid w:val="002979AF"/>
    <w:rsid w:val="002A1BE3"/>
    <w:rsid w:val="002A36CF"/>
    <w:rsid w:val="002B053F"/>
    <w:rsid w:val="002B09E6"/>
    <w:rsid w:val="002B555D"/>
    <w:rsid w:val="002C2ECE"/>
    <w:rsid w:val="002D078E"/>
    <w:rsid w:val="002D0860"/>
    <w:rsid w:val="002D2763"/>
    <w:rsid w:val="002D278F"/>
    <w:rsid w:val="002E15EC"/>
    <w:rsid w:val="002E3447"/>
    <w:rsid w:val="002E3885"/>
    <w:rsid w:val="002F5CAE"/>
    <w:rsid w:val="00305F1A"/>
    <w:rsid w:val="00312820"/>
    <w:rsid w:val="00315BD8"/>
    <w:rsid w:val="00317BB3"/>
    <w:rsid w:val="0032194E"/>
    <w:rsid w:val="003424F3"/>
    <w:rsid w:val="003447C9"/>
    <w:rsid w:val="00345EAA"/>
    <w:rsid w:val="0035019F"/>
    <w:rsid w:val="00354F06"/>
    <w:rsid w:val="0035714D"/>
    <w:rsid w:val="0035782C"/>
    <w:rsid w:val="003602F2"/>
    <w:rsid w:val="003652D4"/>
    <w:rsid w:val="0036771B"/>
    <w:rsid w:val="0037700E"/>
    <w:rsid w:val="003836B5"/>
    <w:rsid w:val="00394B06"/>
    <w:rsid w:val="003A31F9"/>
    <w:rsid w:val="003A6653"/>
    <w:rsid w:val="003B415A"/>
    <w:rsid w:val="003B4450"/>
    <w:rsid w:val="003B5028"/>
    <w:rsid w:val="003C2751"/>
    <w:rsid w:val="003C3DC7"/>
    <w:rsid w:val="003C61E5"/>
    <w:rsid w:val="003D01DC"/>
    <w:rsid w:val="003E0D08"/>
    <w:rsid w:val="003E0E21"/>
    <w:rsid w:val="003F3412"/>
    <w:rsid w:val="00414C58"/>
    <w:rsid w:val="00420B01"/>
    <w:rsid w:val="00424A0C"/>
    <w:rsid w:val="004260D0"/>
    <w:rsid w:val="00426164"/>
    <w:rsid w:val="00427C8C"/>
    <w:rsid w:val="00430024"/>
    <w:rsid w:val="00437D58"/>
    <w:rsid w:val="004428C2"/>
    <w:rsid w:val="00443F4C"/>
    <w:rsid w:val="0044765F"/>
    <w:rsid w:val="0045115C"/>
    <w:rsid w:val="00454840"/>
    <w:rsid w:val="00456B51"/>
    <w:rsid w:val="004858FA"/>
    <w:rsid w:val="0048749F"/>
    <w:rsid w:val="0049707A"/>
    <w:rsid w:val="004A1957"/>
    <w:rsid w:val="004A1D71"/>
    <w:rsid w:val="004A3A76"/>
    <w:rsid w:val="004B259E"/>
    <w:rsid w:val="004B45F6"/>
    <w:rsid w:val="004C005C"/>
    <w:rsid w:val="004C741A"/>
    <w:rsid w:val="004D4FF6"/>
    <w:rsid w:val="004E3D01"/>
    <w:rsid w:val="004E5EF6"/>
    <w:rsid w:val="004E617D"/>
    <w:rsid w:val="004F7F2F"/>
    <w:rsid w:val="00504E90"/>
    <w:rsid w:val="00507643"/>
    <w:rsid w:val="00512EAE"/>
    <w:rsid w:val="005227F0"/>
    <w:rsid w:val="0052403E"/>
    <w:rsid w:val="005254BF"/>
    <w:rsid w:val="00537ADB"/>
    <w:rsid w:val="005412F8"/>
    <w:rsid w:val="00553EDC"/>
    <w:rsid w:val="00560003"/>
    <w:rsid w:val="00571F09"/>
    <w:rsid w:val="00590090"/>
    <w:rsid w:val="00594066"/>
    <w:rsid w:val="005B1578"/>
    <w:rsid w:val="005B1A07"/>
    <w:rsid w:val="005C0509"/>
    <w:rsid w:val="005C11A0"/>
    <w:rsid w:val="005C3D1B"/>
    <w:rsid w:val="005C53EA"/>
    <w:rsid w:val="005C6350"/>
    <w:rsid w:val="005D2D27"/>
    <w:rsid w:val="005D55B3"/>
    <w:rsid w:val="005D7FBF"/>
    <w:rsid w:val="005E292E"/>
    <w:rsid w:val="005F3925"/>
    <w:rsid w:val="005F4890"/>
    <w:rsid w:val="005F5896"/>
    <w:rsid w:val="00603F8E"/>
    <w:rsid w:val="00611FA8"/>
    <w:rsid w:val="00615FD4"/>
    <w:rsid w:val="00617E36"/>
    <w:rsid w:val="00627C80"/>
    <w:rsid w:val="00634AF8"/>
    <w:rsid w:val="006458E5"/>
    <w:rsid w:val="00651BCB"/>
    <w:rsid w:val="0065348A"/>
    <w:rsid w:val="006834C2"/>
    <w:rsid w:val="00683BA4"/>
    <w:rsid w:val="00694208"/>
    <w:rsid w:val="006953C6"/>
    <w:rsid w:val="00696F08"/>
    <w:rsid w:val="006A3DEE"/>
    <w:rsid w:val="006A4E09"/>
    <w:rsid w:val="006A565C"/>
    <w:rsid w:val="006A5836"/>
    <w:rsid w:val="006A60D3"/>
    <w:rsid w:val="006B069E"/>
    <w:rsid w:val="006B3786"/>
    <w:rsid w:val="006B71AC"/>
    <w:rsid w:val="006C16A7"/>
    <w:rsid w:val="006C26CE"/>
    <w:rsid w:val="006C4A58"/>
    <w:rsid w:val="006C6CC8"/>
    <w:rsid w:val="006C7BEE"/>
    <w:rsid w:val="006D202E"/>
    <w:rsid w:val="006D2462"/>
    <w:rsid w:val="006D32CB"/>
    <w:rsid w:val="006D3748"/>
    <w:rsid w:val="006D4A73"/>
    <w:rsid w:val="006E1BED"/>
    <w:rsid w:val="006E3A92"/>
    <w:rsid w:val="006E7953"/>
    <w:rsid w:val="0070504F"/>
    <w:rsid w:val="0070653B"/>
    <w:rsid w:val="00714094"/>
    <w:rsid w:val="007236B3"/>
    <w:rsid w:val="00724A93"/>
    <w:rsid w:val="007401EC"/>
    <w:rsid w:val="00741234"/>
    <w:rsid w:val="007428C5"/>
    <w:rsid w:val="00750CF3"/>
    <w:rsid w:val="00751DFF"/>
    <w:rsid w:val="0076262D"/>
    <w:rsid w:val="00764471"/>
    <w:rsid w:val="00764E64"/>
    <w:rsid w:val="0077007A"/>
    <w:rsid w:val="00776042"/>
    <w:rsid w:val="00777CD5"/>
    <w:rsid w:val="007979C4"/>
    <w:rsid w:val="007A3A83"/>
    <w:rsid w:val="007A4628"/>
    <w:rsid w:val="007A6892"/>
    <w:rsid w:val="007B0C1E"/>
    <w:rsid w:val="007B1F09"/>
    <w:rsid w:val="007B5509"/>
    <w:rsid w:val="007C1735"/>
    <w:rsid w:val="007C3591"/>
    <w:rsid w:val="007C36DF"/>
    <w:rsid w:val="007C7F80"/>
    <w:rsid w:val="007D1D05"/>
    <w:rsid w:val="007E0966"/>
    <w:rsid w:val="007E5C9F"/>
    <w:rsid w:val="007F0984"/>
    <w:rsid w:val="0080082F"/>
    <w:rsid w:val="008110C3"/>
    <w:rsid w:val="00815D12"/>
    <w:rsid w:val="00816868"/>
    <w:rsid w:val="00817C2B"/>
    <w:rsid w:val="00846AC2"/>
    <w:rsid w:val="008547C7"/>
    <w:rsid w:val="0085502E"/>
    <w:rsid w:val="00856C0D"/>
    <w:rsid w:val="00857188"/>
    <w:rsid w:val="00860F0E"/>
    <w:rsid w:val="008738B1"/>
    <w:rsid w:val="0088544D"/>
    <w:rsid w:val="00885B38"/>
    <w:rsid w:val="00887037"/>
    <w:rsid w:val="00890B18"/>
    <w:rsid w:val="008B082E"/>
    <w:rsid w:val="008B3D80"/>
    <w:rsid w:val="008B70D5"/>
    <w:rsid w:val="008C0162"/>
    <w:rsid w:val="008C6877"/>
    <w:rsid w:val="008D3956"/>
    <w:rsid w:val="008E0610"/>
    <w:rsid w:val="008E09CF"/>
    <w:rsid w:val="008E19F7"/>
    <w:rsid w:val="008E4CA8"/>
    <w:rsid w:val="008E517A"/>
    <w:rsid w:val="008E6282"/>
    <w:rsid w:val="008E701F"/>
    <w:rsid w:val="00900D04"/>
    <w:rsid w:val="00904F09"/>
    <w:rsid w:val="009100EA"/>
    <w:rsid w:val="00921193"/>
    <w:rsid w:val="00924958"/>
    <w:rsid w:val="00931BB8"/>
    <w:rsid w:val="00936E57"/>
    <w:rsid w:val="00937D90"/>
    <w:rsid w:val="00945CBC"/>
    <w:rsid w:val="0095049D"/>
    <w:rsid w:val="00952F6F"/>
    <w:rsid w:val="00960567"/>
    <w:rsid w:val="0096456C"/>
    <w:rsid w:val="00964F4C"/>
    <w:rsid w:val="009667D5"/>
    <w:rsid w:val="009705A6"/>
    <w:rsid w:val="0097300D"/>
    <w:rsid w:val="00977AB1"/>
    <w:rsid w:val="00992F3A"/>
    <w:rsid w:val="00993975"/>
    <w:rsid w:val="009A06F7"/>
    <w:rsid w:val="009A7A04"/>
    <w:rsid w:val="009B253D"/>
    <w:rsid w:val="009B49A4"/>
    <w:rsid w:val="009C2DDB"/>
    <w:rsid w:val="009C41D4"/>
    <w:rsid w:val="009C4DB1"/>
    <w:rsid w:val="009C58B4"/>
    <w:rsid w:val="009D4205"/>
    <w:rsid w:val="009E193B"/>
    <w:rsid w:val="009E3944"/>
    <w:rsid w:val="009E53E2"/>
    <w:rsid w:val="009F3317"/>
    <w:rsid w:val="009F7460"/>
    <w:rsid w:val="00A157EE"/>
    <w:rsid w:val="00A27ED6"/>
    <w:rsid w:val="00A316B8"/>
    <w:rsid w:val="00A362E5"/>
    <w:rsid w:val="00A37006"/>
    <w:rsid w:val="00A37196"/>
    <w:rsid w:val="00A41BC7"/>
    <w:rsid w:val="00A642FE"/>
    <w:rsid w:val="00A70267"/>
    <w:rsid w:val="00A72573"/>
    <w:rsid w:val="00A852DF"/>
    <w:rsid w:val="00A95A1A"/>
    <w:rsid w:val="00A95D10"/>
    <w:rsid w:val="00AD2036"/>
    <w:rsid w:val="00AE18F1"/>
    <w:rsid w:val="00AE6ED1"/>
    <w:rsid w:val="00AF4352"/>
    <w:rsid w:val="00AF6C55"/>
    <w:rsid w:val="00B048AA"/>
    <w:rsid w:val="00B152E4"/>
    <w:rsid w:val="00B201D5"/>
    <w:rsid w:val="00B203C3"/>
    <w:rsid w:val="00B226BE"/>
    <w:rsid w:val="00B24252"/>
    <w:rsid w:val="00B33FEC"/>
    <w:rsid w:val="00B44CFC"/>
    <w:rsid w:val="00B46EBE"/>
    <w:rsid w:val="00B50458"/>
    <w:rsid w:val="00B61380"/>
    <w:rsid w:val="00B62554"/>
    <w:rsid w:val="00B721DC"/>
    <w:rsid w:val="00B77466"/>
    <w:rsid w:val="00B80F0B"/>
    <w:rsid w:val="00B81A52"/>
    <w:rsid w:val="00B87C18"/>
    <w:rsid w:val="00B90147"/>
    <w:rsid w:val="00B93A4E"/>
    <w:rsid w:val="00BA70BD"/>
    <w:rsid w:val="00BB454D"/>
    <w:rsid w:val="00BC51E7"/>
    <w:rsid w:val="00BE2A94"/>
    <w:rsid w:val="00BF264F"/>
    <w:rsid w:val="00BF3A13"/>
    <w:rsid w:val="00BF60D0"/>
    <w:rsid w:val="00BF6F6F"/>
    <w:rsid w:val="00BF7044"/>
    <w:rsid w:val="00C01295"/>
    <w:rsid w:val="00C0608F"/>
    <w:rsid w:val="00C137DD"/>
    <w:rsid w:val="00C15683"/>
    <w:rsid w:val="00C243F9"/>
    <w:rsid w:val="00C249E1"/>
    <w:rsid w:val="00C271C1"/>
    <w:rsid w:val="00C30BCB"/>
    <w:rsid w:val="00C3570A"/>
    <w:rsid w:val="00C35DC5"/>
    <w:rsid w:val="00C37CAC"/>
    <w:rsid w:val="00C43E12"/>
    <w:rsid w:val="00C44A13"/>
    <w:rsid w:val="00C52F05"/>
    <w:rsid w:val="00C75FCA"/>
    <w:rsid w:val="00C90030"/>
    <w:rsid w:val="00C92A4E"/>
    <w:rsid w:val="00CA338E"/>
    <w:rsid w:val="00CB471D"/>
    <w:rsid w:val="00CB74DE"/>
    <w:rsid w:val="00CB7B9E"/>
    <w:rsid w:val="00CD05DB"/>
    <w:rsid w:val="00CD6527"/>
    <w:rsid w:val="00CE3E12"/>
    <w:rsid w:val="00CE6D72"/>
    <w:rsid w:val="00CE760A"/>
    <w:rsid w:val="00CF01DB"/>
    <w:rsid w:val="00D015DE"/>
    <w:rsid w:val="00D0337F"/>
    <w:rsid w:val="00D10ADE"/>
    <w:rsid w:val="00D1790D"/>
    <w:rsid w:val="00D205E3"/>
    <w:rsid w:val="00D220C4"/>
    <w:rsid w:val="00D222E3"/>
    <w:rsid w:val="00D22F02"/>
    <w:rsid w:val="00D37CF6"/>
    <w:rsid w:val="00D406C5"/>
    <w:rsid w:val="00D54154"/>
    <w:rsid w:val="00D54BE3"/>
    <w:rsid w:val="00D55511"/>
    <w:rsid w:val="00D60427"/>
    <w:rsid w:val="00D61103"/>
    <w:rsid w:val="00D61FF7"/>
    <w:rsid w:val="00D74EFC"/>
    <w:rsid w:val="00D772EA"/>
    <w:rsid w:val="00D85845"/>
    <w:rsid w:val="00D871D8"/>
    <w:rsid w:val="00D93761"/>
    <w:rsid w:val="00DA136E"/>
    <w:rsid w:val="00DA35ED"/>
    <w:rsid w:val="00DA5871"/>
    <w:rsid w:val="00DA6115"/>
    <w:rsid w:val="00DA7ACD"/>
    <w:rsid w:val="00DB1AA8"/>
    <w:rsid w:val="00DB1D73"/>
    <w:rsid w:val="00DB7B73"/>
    <w:rsid w:val="00DC1BC8"/>
    <w:rsid w:val="00DC3C3A"/>
    <w:rsid w:val="00DC62A2"/>
    <w:rsid w:val="00DD09D3"/>
    <w:rsid w:val="00DD7C0B"/>
    <w:rsid w:val="00DE1EB6"/>
    <w:rsid w:val="00DE40BF"/>
    <w:rsid w:val="00DE4CFD"/>
    <w:rsid w:val="00DE7484"/>
    <w:rsid w:val="00DF1465"/>
    <w:rsid w:val="00E21AC6"/>
    <w:rsid w:val="00E23DAF"/>
    <w:rsid w:val="00E24C14"/>
    <w:rsid w:val="00E3193E"/>
    <w:rsid w:val="00E337C9"/>
    <w:rsid w:val="00E37A29"/>
    <w:rsid w:val="00E45117"/>
    <w:rsid w:val="00E51750"/>
    <w:rsid w:val="00E64A25"/>
    <w:rsid w:val="00E669BA"/>
    <w:rsid w:val="00E66BB6"/>
    <w:rsid w:val="00E70A99"/>
    <w:rsid w:val="00E77179"/>
    <w:rsid w:val="00E80138"/>
    <w:rsid w:val="00E90A09"/>
    <w:rsid w:val="00E95DD2"/>
    <w:rsid w:val="00EA22E8"/>
    <w:rsid w:val="00EB2F19"/>
    <w:rsid w:val="00EB72CB"/>
    <w:rsid w:val="00EB7EA2"/>
    <w:rsid w:val="00EC5A04"/>
    <w:rsid w:val="00ED1133"/>
    <w:rsid w:val="00ED16D7"/>
    <w:rsid w:val="00ED59A9"/>
    <w:rsid w:val="00EF112E"/>
    <w:rsid w:val="00EF1482"/>
    <w:rsid w:val="00F005CD"/>
    <w:rsid w:val="00F05B69"/>
    <w:rsid w:val="00F05E16"/>
    <w:rsid w:val="00F13EFE"/>
    <w:rsid w:val="00F175B4"/>
    <w:rsid w:val="00F22219"/>
    <w:rsid w:val="00F27204"/>
    <w:rsid w:val="00F37816"/>
    <w:rsid w:val="00F37C05"/>
    <w:rsid w:val="00F40761"/>
    <w:rsid w:val="00F40A55"/>
    <w:rsid w:val="00F41E71"/>
    <w:rsid w:val="00F470F3"/>
    <w:rsid w:val="00F473B8"/>
    <w:rsid w:val="00F479EE"/>
    <w:rsid w:val="00F57554"/>
    <w:rsid w:val="00F61CA7"/>
    <w:rsid w:val="00F66DB9"/>
    <w:rsid w:val="00F70B4B"/>
    <w:rsid w:val="00F70D79"/>
    <w:rsid w:val="00F861D6"/>
    <w:rsid w:val="00F9535C"/>
    <w:rsid w:val="00FA2B75"/>
    <w:rsid w:val="00FA6BF6"/>
    <w:rsid w:val="00FC1CF2"/>
    <w:rsid w:val="00FC3F68"/>
    <w:rsid w:val="00FC5481"/>
    <w:rsid w:val="00FD00F2"/>
    <w:rsid w:val="00FD0BCC"/>
    <w:rsid w:val="00FD6741"/>
    <w:rsid w:val="00FE0220"/>
    <w:rsid w:val="00FE2E42"/>
    <w:rsid w:val="00FE3C82"/>
    <w:rsid w:val="00FF2CDE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4"/>
    <o:shapelayout v:ext="edit">
      <o:idmap v:ext="edit" data="1"/>
      <o:rules v:ext="edit">
        <o:r id="V:Rule45" type="connector" idref="#_x0000_s1502"/>
        <o:r id="V:Rule46" type="connector" idref="#_x0000_s1477"/>
        <o:r id="V:Rule47" type="connector" idref="#_x0000_s1465"/>
        <o:r id="V:Rule48" type="connector" idref="#_x0000_s1467"/>
        <o:r id="V:Rule49" type="connector" idref="#_x0000_s1489"/>
        <o:r id="V:Rule50" type="connector" idref="#_x0000_s1549"/>
        <o:r id="V:Rule51" type="connector" idref="#_x0000_s1499"/>
        <o:r id="V:Rule52" type="connector" idref="#_x0000_s1501"/>
        <o:r id="V:Rule53" type="connector" idref="#_x0000_s1481"/>
        <o:r id="V:Rule54" type="connector" idref="#_x0000_s1522"/>
        <o:r id="V:Rule55" type="connector" idref="#_x0000_s1552"/>
        <o:r id="V:Rule56" type="connector" idref="#_x0000_s1510"/>
        <o:r id="V:Rule57" type="connector" idref="#_x0000_s1471"/>
        <o:r id="V:Rule58" type="connector" idref="#_x0000_s1513"/>
        <o:r id="V:Rule59" type="connector" idref="#_x0000_s1463"/>
        <o:r id="V:Rule60" type="connector" idref="#_x0000_s1472"/>
        <o:r id="V:Rule61" type="connector" idref="#_x0000_s1474"/>
        <o:r id="V:Rule62" type="connector" idref="#_x0000_s1520"/>
        <o:r id="V:Rule63" type="connector" idref="#_x0000_s1523"/>
        <o:r id="V:Rule64" type="connector" idref="#_x0000_s1527"/>
        <o:r id="V:Rule65" type="connector" idref="#_x0000_s1500"/>
        <o:r id="V:Rule66" type="connector" idref="#_x0000_s1528"/>
        <o:r id="V:Rule67" type="connector" idref="#_x0000_s1462"/>
        <o:r id="V:Rule68" type="connector" idref="#_x0000_s1546"/>
        <o:r id="V:Rule69" type="connector" idref="#_x0000_s1507"/>
        <o:r id="V:Rule70" type="connector" idref="#_x0000_s1488"/>
        <o:r id="V:Rule71" type="connector" idref="#_x0000_s1517"/>
        <o:r id="V:Rule72" type="connector" idref="#_x0000_s1551"/>
        <o:r id="V:Rule73" type="connector" idref="#_x0000_s1475"/>
        <o:r id="V:Rule74" type="connector" idref="#_x0000_s1536"/>
        <o:r id="V:Rule75" type="connector" idref="#_x0000_s1508"/>
        <o:r id="V:Rule76" type="connector" idref="#_x0000_s1482"/>
        <o:r id="V:Rule77" type="connector" idref="#_x0000_s1498"/>
        <o:r id="V:Rule78" type="connector" idref="#_x0000_s1535"/>
        <o:r id="V:Rule79" type="connector" idref="#_x0000_s1473"/>
        <o:r id="V:Rule80" type="connector" idref="#_x0000_s1504"/>
        <o:r id="V:Rule81" type="connector" idref="#_x0000_s1545"/>
        <o:r id="V:Rule82" type="connector" idref="#_x0000_s1490"/>
        <o:r id="V:Rule83" type="connector" idref="#_x0000_s1547"/>
        <o:r id="V:Rule84" type="connector" idref="#_x0000_s1493"/>
        <o:r id="V:Rule85" type="connector" idref="#_x0000_s1515"/>
        <o:r id="V:Rule86" type="connector" idref="#_x0000_s1529"/>
        <o:r id="V:Rule87" type="connector" idref="#_x0000_s1486"/>
        <o:r id="V:Rule88" type="connector" idref="#_x0000_s1464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E7889-3EA2-4ACD-8762-D438300AC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901427-9E1A-4240-B9F2-24BAA8CE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318</cp:revision>
  <cp:lastPrinted>2020-05-05T07:27:00Z</cp:lastPrinted>
  <dcterms:created xsi:type="dcterms:W3CDTF">2020-01-28T08:45:00Z</dcterms:created>
  <dcterms:modified xsi:type="dcterms:W3CDTF">2020-05-05T07:27:00Z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