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14142"/>
      </w:tblGrid>
      <w:tr w:rsidR="005E51A4" w:rsidRPr="005E51A4" w14:paraId="11ED337A" w14:textId="77777777" w:rsidTr="000B2B8D">
        <w:tc>
          <w:tcPr>
            <w:tcW w:w="14142" w:type="dxa"/>
            <w:shd w:val="clear" w:color="auto" w:fill="00B0F0"/>
          </w:tcPr>
          <w:p w14:paraId="11ED3379" w14:textId="77777777" w:rsidR="005E51A4" w:rsidRPr="004528EC" w:rsidRDefault="005E51A4" w:rsidP="000B2B8D">
            <w:pPr>
              <w:pBdr>
                <w:bottom w:val="single" w:sz="8" w:space="4" w:color="4F81BD" w:themeColor="accent1"/>
              </w:pBdr>
              <w:shd w:val="clear" w:color="auto" w:fill="00B0F0"/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4528EC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4528EC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11ED337B" w14:textId="77777777"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14:paraId="11ED337D" w14:textId="77777777" w:rsidTr="004528EC">
        <w:tc>
          <w:tcPr>
            <w:tcW w:w="14142" w:type="dxa"/>
            <w:gridSpan w:val="8"/>
            <w:shd w:val="clear" w:color="auto" w:fill="00B0F0"/>
          </w:tcPr>
          <w:p w14:paraId="11ED337C" w14:textId="77777777"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14:paraId="11ED338A" w14:textId="77777777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11ED337E" w14:textId="77777777"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11ED337F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11ED3380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1ED3381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11ED3382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1ED3383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1ED3384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11ED3385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1ED3386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11ED3387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ED3388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11ED3389" w14:textId="77777777"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14:paraId="11ED3393" w14:textId="77777777" w:rsidTr="00854A2E">
        <w:tc>
          <w:tcPr>
            <w:tcW w:w="1304" w:type="dxa"/>
          </w:tcPr>
          <w:p w14:paraId="11ED338B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11ED338C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11ED338D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11ED338E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11ED338F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1ED3390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1ED3391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11ED3392" w14:textId="77777777"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14:paraId="11ED339C" w14:textId="77777777" w:rsidTr="00854A2E">
        <w:tc>
          <w:tcPr>
            <w:tcW w:w="1304" w:type="dxa"/>
          </w:tcPr>
          <w:p w14:paraId="11ED3394" w14:textId="77777777"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14:paraId="11ED3395" w14:textId="77777777" w:rsidR="00854A2E" w:rsidRPr="005E51A4" w:rsidRDefault="00854A2E" w:rsidP="005E51A4">
            <w:bookmarkStart w:id="0" w:name="_GoBack"/>
            <w:bookmarkEnd w:id="0"/>
          </w:p>
        </w:tc>
        <w:tc>
          <w:tcPr>
            <w:tcW w:w="1706" w:type="dxa"/>
          </w:tcPr>
          <w:p w14:paraId="11ED3396" w14:textId="77777777" w:rsidR="00854A2E" w:rsidRPr="005E51A4" w:rsidRDefault="00854A2E" w:rsidP="005E51A4"/>
        </w:tc>
        <w:tc>
          <w:tcPr>
            <w:tcW w:w="1417" w:type="dxa"/>
          </w:tcPr>
          <w:p w14:paraId="11ED3397" w14:textId="77777777" w:rsidR="00854A2E" w:rsidRPr="005E51A4" w:rsidRDefault="00854A2E" w:rsidP="005E51A4"/>
        </w:tc>
        <w:tc>
          <w:tcPr>
            <w:tcW w:w="1701" w:type="dxa"/>
          </w:tcPr>
          <w:p w14:paraId="11ED3398" w14:textId="77777777" w:rsidR="00854A2E" w:rsidRPr="005E51A4" w:rsidRDefault="00854A2E" w:rsidP="005E51A4"/>
        </w:tc>
        <w:tc>
          <w:tcPr>
            <w:tcW w:w="1843" w:type="dxa"/>
          </w:tcPr>
          <w:p w14:paraId="11ED3399" w14:textId="77777777" w:rsidR="00854A2E" w:rsidRPr="005E51A4" w:rsidRDefault="00854A2E" w:rsidP="005E51A4"/>
        </w:tc>
        <w:tc>
          <w:tcPr>
            <w:tcW w:w="1843" w:type="dxa"/>
          </w:tcPr>
          <w:p w14:paraId="11ED339A" w14:textId="77777777" w:rsidR="00854A2E" w:rsidRPr="005E51A4" w:rsidRDefault="00854A2E" w:rsidP="005E51A4"/>
        </w:tc>
        <w:tc>
          <w:tcPr>
            <w:tcW w:w="2835" w:type="dxa"/>
          </w:tcPr>
          <w:p w14:paraId="11ED339B" w14:textId="77777777" w:rsidR="00854A2E" w:rsidRPr="005E51A4" w:rsidRDefault="00854A2E" w:rsidP="005E51A4"/>
        </w:tc>
      </w:tr>
      <w:tr w:rsidR="00854A2E" w:rsidRPr="005E51A4" w14:paraId="11ED339F" w14:textId="77777777" w:rsidTr="00854A2E">
        <w:tc>
          <w:tcPr>
            <w:tcW w:w="1304" w:type="dxa"/>
          </w:tcPr>
          <w:p w14:paraId="11ED339D" w14:textId="77777777"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14:paraId="11ED339E" w14:textId="77777777" w:rsidR="00854A2E" w:rsidRPr="005E51A4" w:rsidRDefault="00854A2E" w:rsidP="005E51A4"/>
        </w:tc>
      </w:tr>
    </w:tbl>
    <w:p w14:paraId="11ED33A0" w14:textId="77777777"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14:paraId="11ED33A2" w14:textId="77777777" w:rsidTr="004528EC">
        <w:tc>
          <w:tcPr>
            <w:tcW w:w="14142" w:type="dxa"/>
            <w:gridSpan w:val="7"/>
            <w:shd w:val="clear" w:color="auto" w:fill="00B0F0"/>
          </w:tcPr>
          <w:p w14:paraId="11ED33A1" w14:textId="77777777" w:rsidR="00F17B69" w:rsidRPr="005E51A4" w:rsidRDefault="00F17B69" w:rsidP="005E51A4">
            <w:r w:rsidRPr="005E51A4">
              <w:rPr>
                <w:b/>
                <w:sz w:val="28"/>
              </w:rPr>
              <w:lastRenderedPageBreak/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14:paraId="11ED33AE" w14:textId="77777777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11ED33A3" w14:textId="77777777"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11ED33A4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1ED33A5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11ED33A6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1ED33A7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11ED33A8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1ED33A9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1ED33AA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11ED33AB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1ED33AC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11ED33AD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14:paraId="11ED33B6" w14:textId="77777777" w:rsidTr="00307063">
        <w:tc>
          <w:tcPr>
            <w:tcW w:w="1680" w:type="dxa"/>
            <w:vAlign w:val="center"/>
          </w:tcPr>
          <w:p w14:paraId="11ED33AF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11ED33B0" w14:textId="77777777"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11ED33B1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11ED33B2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11ED33B3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11ED33B4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11ED33B5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14:paraId="11ED33BE" w14:textId="77777777" w:rsidTr="00A749A1">
        <w:tc>
          <w:tcPr>
            <w:tcW w:w="1680" w:type="dxa"/>
          </w:tcPr>
          <w:p w14:paraId="11ED33B7" w14:textId="77777777"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14:paraId="11ED33B8" w14:textId="77777777" w:rsidR="00F17B69" w:rsidRPr="005E51A4" w:rsidRDefault="00F17B69" w:rsidP="005E51A4"/>
        </w:tc>
        <w:tc>
          <w:tcPr>
            <w:tcW w:w="1843" w:type="dxa"/>
          </w:tcPr>
          <w:p w14:paraId="11ED33B9" w14:textId="77777777" w:rsidR="00F17B69" w:rsidRPr="005E51A4" w:rsidRDefault="00F17B69" w:rsidP="005E51A4"/>
        </w:tc>
        <w:tc>
          <w:tcPr>
            <w:tcW w:w="1985" w:type="dxa"/>
          </w:tcPr>
          <w:p w14:paraId="11ED33BA" w14:textId="77777777" w:rsidR="00F17B69" w:rsidRPr="005E51A4" w:rsidRDefault="00F17B69" w:rsidP="005E51A4"/>
        </w:tc>
        <w:tc>
          <w:tcPr>
            <w:tcW w:w="1842" w:type="dxa"/>
          </w:tcPr>
          <w:p w14:paraId="11ED33BB" w14:textId="77777777" w:rsidR="00F17B69" w:rsidRPr="005E51A4" w:rsidRDefault="00F17B69" w:rsidP="005E51A4"/>
        </w:tc>
        <w:tc>
          <w:tcPr>
            <w:tcW w:w="1985" w:type="dxa"/>
          </w:tcPr>
          <w:p w14:paraId="11ED33BC" w14:textId="77777777" w:rsidR="00F17B69" w:rsidRPr="005E51A4" w:rsidRDefault="00F17B69" w:rsidP="005E51A4"/>
        </w:tc>
        <w:tc>
          <w:tcPr>
            <w:tcW w:w="2410" w:type="dxa"/>
          </w:tcPr>
          <w:p w14:paraId="11ED33BD" w14:textId="77777777" w:rsidR="00F17B69" w:rsidRPr="005E51A4" w:rsidRDefault="00F17B69" w:rsidP="005E51A4"/>
        </w:tc>
      </w:tr>
      <w:tr w:rsidR="00F17B69" w:rsidRPr="005E51A4" w14:paraId="11ED33C2" w14:textId="77777777" w:rsidTr="00F17B69">
        <w:tc>
          <w:tcPr>
            <w:tcW w:w="1680" w:type="dxa"/>
          </w:tcPr>
          <w:p w14:paraId="11ED33BF" w14:textId="77777777"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14:paraId="11ED33C0" w14:textId="77777777"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14:paraId="11ED33C1" w14:textId="77777777" w:rsidR="00F17B69" w:rsidRPr="005E51A4" w:rsidRDefault="00F17B69" w:rsidP="005E51A4"/>
        </w:tc>
      </w:tr>
    </w:tbl>
    <w:p w14:paraId="11ED33C3" w14:textId="77777777"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14:paraId="11ED33C5" w14:textId="77777777" w:rsidTr="004528EC">
        <w:tc>
          <w:tcPr>
            <w:tcW w:w="5000" w:type="pct"/>
            <w:shd w:val="clear" w:color="auto" w:fill="00B0F0"/>
          </w:tcPr>
          <w:p w14:paraId="11ED33C4" w14:textId="77777777" w:rsidR="005E51A4" w:rsidRPr="004528EC" w:rsidRDefault="005E51A4" w:rsidP="004528EC">
            <w:pPr>
              <w:rPr>
                <w:b/>
                <w:sz w:val="28"/>
                <w:szCs w:val="28"/>
              </w:rPr>
            </w:pPr>
            <w:r w:rsidRPr="004528EC">
              <w:rPr>
                <w:b/>
                <w:sz w:val="28"/>
                <w:szCs w:val="28"/>
              </w:rPr>
              <w:t xml:space="preserve">3. </w:t>
            </w:r>
            <w:r w:rsidRPr="004528EC">
              <w:rPr>
                <w:b/>
                <w:sz w:val="28"/>
                <w:szCs w:val="28"/>
                <w:shd w:val="clear" w:color="auto" w:fill="00B0F0"/>
              </w:rPr>
              <w:t>Identifikované problémy, riziká a ďalšie informácie  v  súvislosti s realizáciou projektu</w:t>
            </w:r>
            <w:r w:rsidRPr="004528EC">
              <w:rPr>
                <w:b/>
                <w:sz w:val="28"/>
                <w:szCs w:val="28"/>
                <w:shd w:val="clear" w:color="auto" w:fill="00B0F0"/>
                <w:vertAlign w:val="superscript"/>
              </w:rPr>
              <w:footnoteReference w:id="21"/>
            </w:r>
          </w:p>
        </w:tc>
      </w:tr>
      <w:tr w:rsidR="005E51A4" w:rsidRPr="005E51A4" w14:paraId="11ED33C7" w14:textId="77777777" w:rsidTr="00547395">
        <w:tc>
          <w:tcPr>
            <w:tcW w:w="5000" w:type="pct"/>
          </w:tcPr>
          <w:p w14:paraId="11ED33C6" w14:textId="77777777" w:rsidR="005E51A4" w:rsidRPr="005E51A4" w:rsidRDefault="005E51A4" w:rsidP="005E51A4">
            <w:pPr>
              <w:rPr>
                <w:b/>
              </w:rPr>
            </w:pPr>
          </w:p>
        </w:tc>
      </w:tr>
    </w:tbl>
    <w:p w14:paraId="11ED33C8" w14:textId="77777777" w:rsidR="00627EA3" w:rsidRPr="005E51A4" w:rsidRDefault="00627EA3" w:rsidP="005E51A4"/>
    <w:sectPr w:rsidR="00627EA3" w:rsidRPr="005E51A4" w:rsidSect="003A6347">
      <w:head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D33CB" w14:textId="77777777" w:rsidR="00E479DC" w:rsidRDefault="00E479DC" w:rsidP="00B948E0">
      <w:r>
        <w:separator/>
      </w:r>
    </w:p>
  </w:endnote>
  <w:endnote w:type="continuationSeparator" w:id="0">
    <w:p w14:paraId="11ED33CC" w14:textId="77777777" w:rsidR="00E479DC" w:rsidRDefault="00E479D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33D2" w14:textId="77777777" w:rsidR="003A6347" w:rsidRPr="003A6347" w:rsidRDefault="003A6347" w:rsidP="003A6347">
    <w:pPr>
      <w:rPr>
        <w:sz w:val="20"/>
        <w:szCs w:val="20"/>
      </w:rPr>
    </w:pPr>
    <w:r w:rsidRPr="003A6347">
      <w:rPr>
        <w:sz w:val="20"/>
        <w:szCs w:val="20"/>
      </w:rPr>
      <w:t xml:space="preserve">Príručka pre prijímateľa, </w:t>
    </w:r>
  </w:p>
  <w:p w14:paraId="11ED33D3" w14:textId="77777777" w:rsidR="003A6347" w:rsidRPr="003A6347" w:rsidRDefault="003A6347" w:rsidP="003A6347">
    <w:pPr>
      <w:rPr>
        <w:sz w:val="20"/>
        <w:szCs w:val="20"/>
      </w:rPr>
    </w:pPr>
    <w:r w:rsidRPr="003A6347">
      <w:rPr>
        <w:sz w:val="20"/>
        <w:szCs w:val="20"/>
      </w:rPr>
      <w:t xml:space="preserve">Verzia č. </w:t>
    </w:r>
    <w:r w:rsidR="00F55274">
      <w:rPr>
        <w:sz w:val="20"/>
        <w:szCs w:val="20"/>
      </w:rPr>
      <w:t>1</w:t>
    </w:r>
    <w:r w:rsidR="008835C7">
      <w:rPr>
        <w:sz w:val="20"/>
        <w:szCs w:val="20"/>
      </w:rPr>
      <w:t>.</w:t>
    </w:r>
    <w:r w:rsidR="00F55274">
      <w:rPr>
        <w:sz w:val="20"/>
        <w:szCs w:val="20"/>
      </w:rPr>
      <w:t>0</w:t>
    </w:r>
  </w:p>
  <w:p w14:paraId="11ED33D4" w14:textId="77777777" w:rsidR="004D0F36" w:rsidRDefault="004D0F36" w:rsidP="003A63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D33C9" w14:textId="77777777" w:rsidR="00E479DC" w:rsidRDefault="00E479DC" w:rsidP="00B948E0">
      <w:r>
        <w:separator/>
      </w:r>
    </w:p>
  </w:footnote>
  <w:footnote w:type="continuationSeparator" w:id="0">
    <w:p w14:paraId="11ED33CA" w14:textId="77777777" w:rsidR="00E479DC" w:rsidRDefault="00E479DC" w:rsidP="00B948E0">
      <w:r>
        <w:continuationSeparator/>
      </w:r>
    </w:p>
  </w:footnote>
  <w:footnote w:id="1">
    <w:p w14:paraId="11ED33D7" w14:textId="77777777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14:paraId="11ED33D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11ED33D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14:paraId="11ED33D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11ED33D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11ED33DC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11ED33DD" w14:textId="77777777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11ED33D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11ED33D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11ED33E0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14:paraId="11ED33E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14:paraId="11ED33E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11ED33E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14:paraId="11ED33E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11ED33E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11ED33E6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11ED33E7" w14:textId="77777777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14:paraId="11ED33E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11ED33E9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11ED33EA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14:paraId="11ED33EB" w14:textId="77777777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33CD" w14:textId="77777777" w:rsidR="0004107F" w:rsidRPr="0004107F" w:rsidRDefault="0004107F" w:rsidP="0004107F">
    <w:pPr>
      <w:tabs>
        <w:tab w:val="center" w:pos="4536"/>
        <w:tab w:val="right" w:pos="9072"/>
      </w:tabs>
    </w:pPr>
  </w:p>
  <w:p w14:paraId="11ED33CE" w14:textId="77777777"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33CF" w14:textId="77777777" w:rsidR="000B2B8D" w:rsidRDefault="003A6347" w:rsidP="003A6347">
    <w:pPr>
      <w:pStyle w:val="Hlavika"/>
      <w:jc w:val="right"/>
    </w:pPr>
    <w:r>
      <w:t xml:space="preserve">                          Príloha č. 6</w:t>
    </w:r>
  </w:p>
  <w:p w14:paraId="11ED33D0" w14:textId="77777777" w:rsidR="005A6A6C" w:rsidRDefault="005A6A6C" w:rsidP="003A6347">
    <w:pPr>
      <w:pStyle w:val="Hlavika"/>
      <w:jc w:val="right"/>
    </w:pPr>
    <w:r>
      <w:rPr>
        <w:noProof/>
      </w:rPr>
      <w:drawing>
        <wp:inline distT="0" distB="0" distL="0" distR="0" wp14:anchorId="11ED33D5" wp14:editId="11ED33D6">
          <wp:extent cx="8078328" cy="752580"/>
          <wp:effectExtent l="0" t="0" r="0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j logo pre op l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8328" cy="752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ED33D1" w14:textId="77777777" w:rsidR="000B2B8D" w:rsidRDefault="000B2B8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B2B8D"/>
    <w:rsid w:val="000D298C"/>
    <w:rsid w:val="000D6B86"/>
    <w:rsid w:val="000E2AA4"/>
    <w:rsid w:val="000F74D8"/>
    <w:rsid w:val="001147BD"/>
    <w:rsid w:val="00116B38"/>
    <w:rsid w:val="00116F61"/>
    <w:rsid w:val="00131EA9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2F1847"/>
    <w:rsid w:val="00307063"/>
    <w:rsid w:val="0031060D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347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528EC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A6A6C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29E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3BE2"/>
    <w:rsid w:val="00854A2E"/>
    <w:rsid w:val="008566E2"/>
    <w:rsid w:val="00863E65"/>
    <w:rsid w:val="00865E76"/>
    <w:rsid w:val="00866630"/>
    <w:rsid w:val="008743E6"/>
    <w:rsid w:val="008806AC"/>
    <w:rsid w:val="008835C7"/>
    <w:rsid w:val="00891EDF"/>
    <w:rsid w:val="008A1CF0"/>
    <w:rsid w:val="008A20CF"/>
    <w:rsid w:val="008C271F"/>
    <w:rsid w:val="008D0659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12C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277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21DC"/>
    <w:rsid w:val="00CD3D13"/>
    <w:rsid w:val="00CF5379"/>
    <w:rsid w:val="00D05350"/>
    <w:rsid w:val="00D1006B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479DC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58D2"/>
    <w:rsid w:val="00F0607A"/>
    <w:rsid w:val="00F10B9D"/>
    <w:rsid w:val="00F17B69"/>
    <w:rsid w:val="00F27075"/>
    <w:rsid w:val="00F353B5"/>
    <w:rsid w:val="00F426CF"/>
    <w:rsid w:val="00F53646"/>
    <w:rsid w:val="00F55274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ED337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33793-28B0-4073-82CB-05EA92651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068A25-AF9F-4F7E-B609-1E9EE269D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F6112-5CA4-41F3-B6DC-B7501C4B41BD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2F2EF20-7626-4E1C-8F06-B182EA21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Bosáková Júlia</cp:lastModifiedBy>
  <cp:revision>2</cp:revision>
  <cp:lastPrinted>2015-02-05T16:37:00Z</cp:lastPrinted>
  <dcterms:created xsi:type="dcterms:W3CDTF">2016-02-02T15:17:00Z</dcterms:created>
  <dcterms:modified xsi:type="dcterms:W3CDTF">2016-02-02T15:17:00Z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