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bookmarkStart w:id="0" w:name="_GoBack"/>
      <w:bookmarkEnd w:id="0"/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245" w:rsidRDefault="00E07245">
      <w:r>
        <w:separator/>
      </w:r>
    </w:p>
  </w:endnote>
  <w:endnote w:type="continuationSeparator" w:id="0">
    <w:p w:rsidR="00E07245" w:rsidRDefault="00E07245">
      <w:r>
        <w:continuationSeparator/>
      </w:r>
    </w:p>
  </w:endnote>
  <w:endnote w:type="continuationNotice" w:id="1">
    <w:p w:rsidR="00E07245" w:rsidRDefault="00E072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320385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320385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245" w:rsidRDefault="00E07245">
      <w:r>
        <w:separator/>
      </w:r>
    </w:p>
  </w:footnote>
  <w:footnote w:type="continuationSeparator" w:id="0">
    <w:p w:rsidR="00E07245" w:rsidRDefault="00E07245">
      <w:r>
        <w:continuationSeparator/>
      </w:r>
    </w:p>
  </w:footnote>
  <w:footnote w:type="continuationNotice" w:id="1">
    <w:p w:rsidR="00E07245" w:rsidRDefault="00E07245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ins w:id="1" w:author="Beláková Daniela" w:date="2018-10-04T13:55:00Z">
        <w:r w:rsidR="00711E09" w:rsidRPr="00711E09">
          <w:rPr>
            <w:rStyle w:val="Hypertextovprepojenie"/>
            <w:rFonts w:ascii="Arial Narrow" w:hAnsi="Arial Narrow"/>
            <w:sz w:val="16"/>
            <w:szCs w:val="16"/>
          </w:rPr>
          <w:t>http://www.partnerskadohoda.gov.sk/metodicke-pokyny-cko-a-uv-sr/</w:t>
        </w:r>
      </w:ins>
      <w:del w:id="2" w:author="Beláková Daniela" w:date="2018-10-04T13:55:00Z">
        <w:r w:rsidR="00936F7F" w:rsidDel="00711E09">
          <w:rPr>
            <w:rStyle w:val="Hypertextovprepojenie"/>
            <w:rFonts w:ascii="Arial Narrow" w:hAnsi="Arial Narrow"/>
            <w:sz w:val="16"/>
            <w:szCs w:val="16"/>
          </w:rPr>
          <w:fldChar w:fldCharType="begin"/>
        </w:r>
        <w:r w:rsidR="00936F7F" w:rsidDel="00711E09">
          <w:rPr>
            <w:rStyle w:val="Hypertextovprepojenie"/>
            <w:rFonts w:ascii="Arial Narrow" w:hAnsi="Arial Narrow"/>
            <w:sz w:val="16"/>
            <w:szCs w:val="16"/>
          </w:rPr>
          <w:delInstrText xml:space="preserve"> HYPERLINK "http://www.partnerskadohoda.gov.sk/metodicke-pokyny-cko/" </w:delInstrText>
        </w:r>
        <w:r w:rsidR="00936F7F" w:rsidDel="00711E09">
          <w:rPr>
            <w:rStyle w:val="Hypertextovprepojenie"/>
            <w:rFonts w:ascii="Arial Narrow" w:hAnsi="Arial Narrow"/>
            <w:sz w:val="16"/>
            <w:szCs w:val="16"/>
          </w:rPr>
          <w:fldChar w:fldCharType="separate"/>
        </w:r>
        <w:r w:rsidRPr="00FB7907" w:rsidDel="00711E09">
          <w:rPr>
            <w:rStyle w:val="Hypertextovprepojenie"/>
            <w:rFonts w:ascii="Arial Narrow" w:hAnsi="Arial Narrow"/>
            <w:sz w:val="16"/>
            <w:szCs w:val="16"/>
          </w:rPr>
          <w:delText>http://www.partnerskadohoda.gov.sk/metodicke-pokyny-cko/</w:delText>
        </w:r>
        <w:r w:rsidR="00936F7F" w:rsidDel="00711E09">
          <w:rPr>
            <w:rStyle w:val="Hypertextovprepojenie"/>
            <w:rFonts w:ascii="Arial Narrow" w:hAnsi="Arial Narrow"/>
            <w:sz w:val="16"/>
            <w:szCs w:val="16"/>
          </w:rPr>
          <w:fldChar w:fldCharType="end"/>
        </w:r>
        <w:r w:rsidDel="00711E09">
          <w:rPr>
            <w:rFonts w:ascii="Arial Narrow" w:hAnsi="Arial Narrow"/>
          </w:rPr>
          <w:delText xml:space="preserve"> </w:delText>
        </w:r>
      </w:del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4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láková Daniela">
    <w15:presenceInfo w15:providerId="AD" w15:userId="S-1-5-21-1537444562-954076699-2316396334-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C727E"/>
    <w:rsid w:val="000D6798"/>
    <w:rsid w:val="000E14C5"/>
    <w:rsid w:val="0010559B"/>
    <w:rsid w:val="00114DB0"/>
    <w:rsid w:val="00136BAA"/>
    <w:rsid w:val="0015703A"/>
    <w:rsid w:val="0018113C"/>
    <w:rsid w:val="0018480F"/>
    <w:rsid w:val="00187846"/>
    <w:rsid w:val="001A2ACD"/>
    <w:rsid w:val="001B31D7"/>
    <w:rsid w:val="001D1317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4A135-0E69-43CD-B70F-341686F652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35EE1-2B43-4808-960A-0F94009FF9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A6D739-32CF-4FC9-8B21-24978154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Rosinčinová Petra</cp:lastModifiedBy>
  <cp:revision>2</cp:revision>
  <cp:lastPrinted>2018-01-30T17:02:00Z</cp:lastPrinted>
  <dcterms:created xsi:type="dcterms:W3CDTF">2018-10-18T06:58:00Z</dcterms:created>
  <dcterms:modified xsi:type="dcterms:W3CDTF">2018-10-18T06:58:00Z</dcterms:modified>
</cp:coreProperties>
</file>