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FC0BA" w14:textId="477740FD" w:rsidR="00B43877" w:rsidRPr="006C34B5" w:rsidRDefault="00B43877" w:rsidP="00B43877">
      <w:pPr>
        <w:widowControl w:val="0"/>
        <w:adjustRightInd w:val="0"/>
        <w:jc w:val="both"/>
        <w:textAlignment w:val="baseline"/>
        <w:rPr>
          <w:rFonts w:ascii="Arial Narrow" w:eastAsia="Times New Roman" w:hAnsi="Arial Narrow" w:cs="Times New Roman"/>
          <w:color w:val="0070C0"/>
          <w:sz w:val="22"/>
          <w:szCs w:val="22"/>
          <w:lang w:val="sk-SK" w:eastAsia="sk-SK"/>
        </w:rPr>
      </w:pPr>
      <w:r w:rsidRPr="006C34B5">
        <w:rPr>
          <w:rFonts w:ascii="Arial Narrow" w:eastAsia="Times New Roman" w:hAnsi="Arial Narrow" w:cs="Times New Roman"/>
          <w:color w:val="0070C0"/>
          <w:sz w:val="22"/>
          <w:szCs w:val="22"/>
          <w:lang w:val="sk-SK" w:eastAsia="sk-SK"/>
        </w:rPr>
        <w:t xml:space="preserve">Príloha č. </w:t>
      </w:r>
      <w:r w:rsidR="006C34B5" w:rsidRPr="006C34B5">
        <w:rPr>
          <w:rFonts w:ascii="Arial Narrow" w:eastAsia="Times New Roman" w:hAnsi="Arial Narrow" w:cs="Times New Roman"/>
          <w:color w:val="0070C0"/>
          <w:sz w:val="22"/>
          <w:szCs w:val="22"/>
          <w:lang w:val="sk-SK" w:eastAsia="sk-SK"/>
        </w:rPr>
        <w:t>3</w:t>
      </w:r>
      <w:r w:rsidRPr="006C34B5">
        <w:rPr>
          <w:rFonts w:ascii="Arial Narrow" w:eastAsia="Times New Roman" w:hAnsi="Arial Narrow" w:cs="Times New Roman"/>
          <w:color w:val="0070C0"/>
          <w:sz w:val="22"/>
          <w:szCs w:val="22"/>
          <w:lang w:val="sk-SK" w:eastAsia="sk-SK"/>
        </w:rPr>
        <w:t xml:space="preserve"> Zmluvy </w:t>
      </w:r>
    </w:p>
    <w:p w14:paraId="1C4ABA62" w14:textId="0DF93111" w:rsidR="00BA4B39" w:rsidRDefault="00BA4B39" w:rsidP="00B43877"/>
    <w:p w14:paraId="2BDC0310" w14:textId="538008C6" w:rsidR="00B43877" w:rsidRPr="007C1A54" w:rsidRDefault="006C34B5" w:rsidP="00B43877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7C1A54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FINAN</w:t>
      </w:r>
      <w:r w:rsidR="00C96F0E" w:rsidRPr="007C1A54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ČNÉ RIADENIE A</w:t>
      </w:r>
      <w:r w:rsidR="000A45FC" w:rsidRPr="007C1A54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 MONITOROVANIE PROJEKTU</w:t>
      </w:r>
    </w:p>
    <w:p w14:paraId="301460ED" w14:textId="18D728E2" w:rsidR="00B43877" w:rsidRDefault="00B43877" w:rsidP="00B43877">
      <w:pPr>
        <w:jc w:val="center"/>
        <w:rPr>
          <w:rFonts w:ascii="Arial Narrow" w:eastAsia="Times New Roman" w:hAnsi="Arial Narrow" w:cs="Times New Roman"/>
          <w:b/>
          <w:bCs/>
          <w:color w:val="002060"/>
          <w:sz w:val="22"/>
          <w:szCs w:val="22"/>
          <w:lang w:val="sk-SK" w:eastAsia="sk-SK"/>
        </w:rPr>
      </w:pPr>
    </w:p>
    <w:p w14:paraId="22986268" w14:textId="4B03F6E3" w:rsidR="00B43877" w:rsidRDefault="00B43877" w:rsidP="00B4387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72234AC3" w14:textId="7837FDE6" w:rsidR="00B43877" w:rsidRPr="00637C60" w:rsidRDefault="00B43877" w:rsidP="00637C60">
      <w:pPr>
        <w:jc w:val="both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t>Všeobecné identifikačné údaje</w:t>
      </w:r>
    </w:p>
    <w:p w14:paraId="03C02958" w14:textId="77777777" w:rsidR="00637C60" w:rsidRP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9CECE17" w14:textId="45049AAF" w:rsidR="00637C60" w:rsidRP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Komponent: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Komponent 7:  Vzdelávanie pre 21. storočie</w:t>
      </w:r>
    </w:p>
    <w:p w14:paraId="79E97727" w14:textId="4DC51C6D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Reforma/investícia: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 xml:space="preserve">Reforma 1:  Reforma obsahu a formy vzdelávania – </w:t>
      </w:r>
      <w:proofErr w:type="spellStart"/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kurikulárna</w:t>
      </w:r>
      <w:proofErr w:type="spellEnd"/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 učebnicová reforma</w:t>
      </w:r>
    </w:p>
    <w:p w14:paraId="4C5DC969" w14:textId="06885F90" w:rsidR="00637C60" w:rsidRPr="00637C60" w:rsidRDefault="00637C60" w:rsidP="00637C60">
      <w:pPr>
        <w:ind w:left="2127" w:hanging="2127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Názov </w:t>
      </w:r>
      <w:r w:rsid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rojektu: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Učitelia pre 21. storočie</w:t>
      </w:r>
    </w:p>
    <w:p w14:paraId="1CD6621F" w14:textId="6F8EB2CD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7EE7911C" w14:textId="77777777" w:rsidR="00637C60" w:rsidRP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Názov vykonávateľa: 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Ministerstvo školstva, vedy, výskumu a športu Slovenskej republiky</w:t>
      </w:r>
    </w:p>
    <w:p w14:paraId="14B6DDBB" w14:textId="77777777" w:rsidR="00637C60" w:rsidRP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Adresa vykonávateľa:</w:t>
      </w:r>
      <w:r w:rsidRPr="00637C6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Stromová 1, 813 30 Bratislava</w:t>
      </w:r>
    </w:p>
    <w:p w14:paraId="17234D54" w14:textId="77777777" w:rsidR="00537589" w:rsidRDefault="00537589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6C7C1BC" w14:textId="63754B13" w:rsidR="00537589" w:rsidRDefault="00537589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Názov prijímateľa: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="00465A43" w:rsidRPr="00BC3075">
        <w:rPr>
          <w:rFonts w:ascii="Arial Narrow" w:eastAsia="Times New Roman" w:hAnsi="Arial Narrow" w:cs="Times New Roman"/>
          <w:sz w:val="22"/>
          <w:szCs w:val="22"/>
          <w:highlight w:val="yellow"/>
          <w:lang w:val="sk-SK" w:eastAsia="sk-SK"/>
        </w:rPr>
        <w:t>xxx</w:t>
      </w:r>
    </w:p>
    <w:p w14:paraId="3A260FF7" w14:textId="25CDF989" w:rsidR="00537589" w:rsidRDefault="00537589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Adresa prijímateľa: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bookmarkStart w:id="0" w:name="_Hlk102642251"/>
      <w:r w:rsidR="00465A43" w:rsidRPr="00BC3075">
        <w:rPr>
          <w:rFonts w:ascii="Arial Narrow" w:eastAsia="Times New Roman" w:hAnsi="Arial Narrow" w:cs="Times New Roman"/>
          <w:sz w:val="22"/>
          <w:szCs w:val="22"/>
          <w:highlight w:val="yellow"/>
          <w:lang w:val="sk-SK" w:eastAsia="sk-SK"/>
        </w:rPr>
        <w:t>xxx</w:t>
      </w:r>
      <w:r w:rsidR="00FD499E" w:rsidRPr="00FD499E" w:rsidDel="00FD499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bookmarkEnd w:id="0"/>
    </w:p>
    <w:p w14:paraId="7AD4A567" w14:textId="0795DE02" w:rsidR="00537589" w:rsidRDefault="00537589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(ďalej </w:t>
      </w:r>
      <w:r w:rsidR="00B8203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tiež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„regionálny partner“)</w:t>
      </w:r>
    </w:p>
    <w:p w14:paraId="2534F1A3" w14:textId="767BA8B7" w:rsidR="00537589" w:rsidRDefault="00537589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2222400D" w14:textId="3B162DC2" w:rsidR="006C34B5" w:rsidRPr="005549F9" w:rsidRDefault="006C34B5" w:rsidP="006C34B5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5549F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Sídlo regionálneho centra podpory učiteľov (regionálneho partnera):  </w:t>
      </w:r>
      <w:r w:rsidR="00465A43" w:rsidRPr="00BC3075">
        <w:rPr>
          <w:rFonts w:ascii="Arial Narrow" w:eastAsia="Times New Roman" w:hAnsi="Arial Narrow" w:cs="Times New Roman"/>
          <w:sz w:val="22"/>
          <w:szCs w:val="22"/>
          <w:highlight w:val="yellow"/>
          <w:lang w:val="sk-SK" w:eastAsia="sk-SK"/>
        </w:rPr>
        <w:t>xxx</w:t>
      </w:r>
      <w:r w:rsidRPr="005549F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16FFF749" w14:textId="5CE631FC" w:rsidR="006C34B5" w:rsidRDefault="006C34B5" w:rsidP="006C34B5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Regionálne centrum podpory učiteľov pre región: </w:t>
      </w:r>
      <w:r w:rsidR="00532621" w:rsidRPr="0053262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okresy </w:t>
      </w:r>
      <w:r w:rsidR="00465A43" w:rsidRPr="00BC3075">
        <w:rPr>
          <w:rFonts w:ascii="Arial Narrow" w:eastAsia="Times New Roman" w:hAnsi="Arial Narrow" w:cs="Times New Roman"/>
          <w:sz w:val="22"/>
          <w:szCs w:val="22"/>
          <w:highlight w:val="yellow"/>
          <w:lang w:val="sk-SK" w:eastAsia="sk-SK"/>
        </w:rPr>
        <w:t>xxx</w:t>
      </w:r>
      <w:r w:rsidR="00FD499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01045BD0" w14:textId="7D13AE53" w:rsidR="006C34B5" w:rsidRDefault="006C34B5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80E8936" w14:textId="58FDC18E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Trvanie projektu: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 xml:space="preserve">od </w:t>
      </w:r>
      <w:r w:rsidR="005E133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0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1. </w:t>
      </w:r>
      <w:r w:rsidR="005E133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0</w:t>
      </w:r>
      <w:r w:rsid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7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. </w:t>
      </w:r>
      <w:r w:rsidR="00AA207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2024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do 31. </w:t>
      </w:r>
      <w:r w:rsidR="005E133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0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8. 2025</w:t>
      </w:r>
    </w:p>
    <w:p w14:paraId="0622485B" w14:textId="27AE09DF" w:rsidR="0058563B" w:rsidRPr="008C6511" w:rsidRDefault="00637C60" w:rsidP="0058563B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8C651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Indikatívna výška prostriedkov mechanizmu určených na Projekt: </w:t>
      </w:r>
      <w:r w:rsidR="00465A43" w:rsidRPr="00BC3075">
        <w:rPr>
          <w:rFonts w:ascii="Arial Narrow" w:eastAsia="Times New Roman" w:hAnsi="Arial Narrow" w:cs="Times New Roman"/>
          <w:sz w:val="22"/>
          <w:szCs w:val="22"/>
          <w:highlight w:val="yellow"/>
          <w:lang w:val="sk-SK" w:eastAsia="sk-SK"/>
        </w:rPr>
        <w:t>xxx</w:t>
      </w:r>
      <w:r w:rsidRPr="008C651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EUR</w:t>
      </w:r>
      <w:r w:rsidR="0058563B" w:rsidRPr="008C651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 ktorá je rozdelená na obdobie trvania Projektu nasledovne:</w:t>
      </w:r>
    </w:p>
    <w:p w14:paraId="0211838F" w14:textId="342D5B46" w:rsidR="00637C60" w:rsidRPr="00B97829" w:rsidRDefault="0093460F" w:rsidP="0058563B">
      <w:pPr>
        <w:pStyle w:val="Odsekzoznamu"/>
        <w:numPr>
          <w:ilvl w:val="0"/>
          <w:numId w:val="27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9782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výška prostriedkov mechanizmu určených na Projekt v období od </w:t>
      </w:r>
      <w:r w:rsidR="005E133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0</w:t>
      </w:r>
      <w:r w:rsidRPr="00B9782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1. </w:t>
      </w:r>
      <w:r w:rsidR="005E133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0</w:t>
      </w:r>
      <w:r w:rsidRPr="00B9782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9. 2024 do 31. </w:t>
      </w:r>
      <w:r w:rsidR="005E133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0</w:t>
      </w:r>
      <w:r w:rsidRPr="00B9782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8. 2025: </w:t>
      </w:r>
      <w:r w:rsidR="00465A43" w:rsidRPr="00BC3075">
        <w:rPr>
          <w:rFonts w:ascii="Arial Narrow" w:eastAsia="Times New Roman" w:hAnsi="Arial Narrow" w:cs="Times New Roman"/>
          <w:sz w:val="22"/>
          <w:szCs w:val="22"/>
          <w:highlight w:val="yellow"/>
          <w:lang w:val="sk-SK" w:eastAsia="sk-SK"/>
        </w:rPr>
        <w:t>xxx</w:t>
      </w:r>
      <w:r w:rsidR="00FD499E" w:rsidRPr="00B9782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EUR (slovom: </w:t>
      </w:r>
      <w:r w:rsidR="00465A43" w:rsidRPr="00BC3075">
        <w:rPr>
          <w:rFonts w:ascii="Arial Narrow" w:eastAsia="Times New Roman" w:hAnsi="Arial Narrow" w:cs="Times New Roman"/>
          <w:sz w:val="22"/>
          <w:szCs w:val="22"/>
          <w:highlight w:val="yellow"/>
          <w:lang w:val="sk-SK" w:eastAsia="sk-SK"/>
        </w:rPr>
        <w:t>xxx</w:t>
      </w:r>
      <w:r w:rsidR="006677B0"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FD499E" w:rsidRPr="00B9782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eur),</w:t>
      </w:r>
    </w:p>
    <w:p w14:paraId="7F94BB74" w14:textId="3F5ED08D" w:rsidR="0058563B" w:rsidRPr="00BC3075" w:rsidRDefault="0058563B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6677B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poskytovaná podľa tabuľky č. 1: Harmonogram predkladania žiadosti o platbu (ďalej len „</w:t>
      </w:r>
      <w:proofErr w:type="spellStart"/>
      <w:r w:rsidRPr="006677B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6677B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“) prijímateľom</w:t>
      </w:r>
      <w:r w:rsidR="0093460F" w:rsidRPr="006677B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7986C5C4" w14:textId="1ECA1E9E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B0551D0" w14:textId="16B7B10D" w:rsidR="001E6924" w:rsidRPr="00637C60" w:rsidRDefault="001E6924" w:rsidP="001E6924">
      <w:pPr>
        <w:ind w:left="1701" w:hanging="1701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Hlavný cieľ Projektu: </w:t>
      </w: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 xml:space="preserve">Vytvorenie Regionálneho centra podpory učiteľov v </w:t>
      </w:r>
      <w:r w:rsidR="00465A43" w:rsidRPr="00BC3075">
        <w:rPr>
          <w:rFonts w:ascii="Arial Narrow" w:eastAsia="Times New Roman" w:hAnsi="Arial Narrow" w:cs="Times New Roman"/>
          <w:sz w:val="22"/>
          <w:szCs w:val="22"/>
          <w:highlight w:val="yellow"/>
          <w:lang w:val="sk-SK" w:eastAsia="sk-SK"/>
        </w:rPr>
        <w:t>xxx</w:t>
      </w:r>
      <w:r w:rsidR="006677B0"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zmysle platných míľnikov Plánu </w:t>
      </w:r>
      <w:r w:rsidRP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obnovy a odolnosti, ktorého úlohou je v partnerskej spolupráci s ministerstvom podporiť školy </w:t>
      </w: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 školské zariadenia v regióne </w:t>
      </w:r>
      <w:r w:rsidR="00A47082"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pre okresy </w:t>
      </w:r>
      <w:r w:rsidR="00465A43" w:rsidRPr="00BC3075">
        <w:rPr>
          <w:rFonts w:ascii="Arial Narrow" w:eastAsia="Times New Roman" w:hAnsi="Arial Narrow" w:cs="Times New Roman"/>
          <w:sz w:val="22"/>
          <w:szCs w:val="22"/>
          <w:highlight w:val="yellow"/>
          <w:lang w:val="sk-SK" w:eastAsia="sk-SK"/>
        </w:rPr>
        <w:t>xxx</w:t>
      </w: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v procese aplikácie nových </w:t>
      </w:r>
      <w:r w:rsidRP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foriem metód vyučovania a výchovy na školách prostredníctvom </w:t>
      </w:r>
      <w:proofErr w:type="spellStart"/>
      <w:r w:rsidRP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mentoringu</w:t>
      </w:r>
      <w:proofErr w:type="spellEnd"/>
      <w:r w:rsidRPr="001E692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pedagogických zamestnancov.</w:t>
      </w:r>
    </w:p>
    <w:p w14:paraId="0B4704CF" w14:textId="77777777" w:rsidR="001E6924" w:rsidRDefault="001E6924" w:rsidP="00637C60">
      <w:pPr>
        <w:jc w:val="both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</w:p>
    <w:p w14:paraId="4B1A7873" w14:textId="083FD9B3" w:rsidR="00637C60" w:rsidRPr="00537589" w:rsidRDefault="00B43877" w:rsidP="0054217E">
      <w:pPr>
        <w:jc w:val="center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  <w:r w:rsidRPr="00537589"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t>F</w:t>
      </w:r>
      <w:r w:rsidR="0054217E"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t>INANCOVANIE PROJEKTU</w:t>
      </w:r>
    </w:p>
    <w:p w14:paraId="79B813BA" w14:textId="77777777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1500E9F0" w14:textId="68EB2D12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Projekt bude financovaný z prostriedkov mechanizmu Plánu obnovy a odolnosti SR</w:t>
      </w:r>
      <w:r w:rsidR="00EB755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pri dodržiavaní ustanovení Systému implementácie Plán</w:t>
      </w:r>
      <w:r w:rsidR="009B76D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u</w:t>
      </w:r>
      <w:r w:rsidR="00EB755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obnovy a odolnosti SR</w:t>
      </w:r>
      <w:r w:rsid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systémom zálohových platieb.</w:t>
      </w:r>
    </w:p>
    <w:p w14:paraId="4BA495C1" w14:textId="28602D4F" w:rsidR="00637C60" w:rsidRDefault="00637C60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0CB700DA" w14:textId="1BB25AB9" w:rsidR="00FA3207" w:rsidRDefault="00FA3207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FA320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Prostriedky mechanizmu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budú </w:t>
      </w:r>
      <w:r w:rsidRPr="00FA320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poskyt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ované</w:t>
      </w:r>
      <w:r w:rsidRPr="00FA320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po nadobudnutí účinnosti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tejto </w:t>
      </w:r>
      <w:r w:rsidRPr="00FA320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zmluvy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podľa stanoveného harmonogramu</w:t>
      </w:r>
      <w:r w:rsidR="00E0604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bezhotovostným prevodom </w:t>
      </w:r>
      <w:r w:rsidR="00E0604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na </w:t>
      </w:r>
      <w:r w:rsid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bankové </w:t>
      </w:r>
      <w:r w:rsidR="00E0604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účty</w:t>
      </w:r>
      <w:r w:rsid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zmluvných strán</w:t>
      </w:r>
      <w:r w:rsid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/rozpočtovým opatrením</w:t>
      </w:r>
      <w:r w:rsid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3242B789" w14:textId="3F521780" w:rsidR="00E06044" w:rsidRDefault="00E06044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1C70CE4" w14:textId="77777777" w:rsidR="00D262C4" w:rsidRDefault="00D262C4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6BA8D136" w14:textId="201004E2" w:rsidR="00E87FEF" w:rsidRPr="00E87FEF" w:rsidRDefault="00D151ED" w:rsidP="00D151ED">
      <w:pPr>
        <w:jc w:val="center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t>SYSTÉM F</w:t>
      </w:r>
      <w:r w:rsidR="00465A43"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t>I</w:t>
      </w:r>
      <w:r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t>NANČNÝCH ÚČTOV</w:t>
      </w:r>
    </w:p>
    <w:p w14:paraId="05A5A25B" w14:textId="77777777" w:rsidR="00E87FEF" w:rsidRDefault="00E87FEF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E0EA527" w14:textId="77777777" w:rsidR="006677B0" w:rsidRPr="006677B0" w:rsidRDefault="006677B0" w:rsidP="006677B0">
      <w:pPr>
        <w:jc w:val="both"/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</w:pPr>
      <w:r w:rsidRPr="006677B0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Účty vykonávateľa</w:t>
      </w:r>
    </w:p>
    <w:p w14:paraId="22E2AACD" w14:textId="77777777" w:rsidR="006677B0" w:rsidRPr="00BC3075" w:rsidRDefault="006677B0" w:rsidP="006677B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Výdavkový rozpočtový účet</w:t>
      </w:r>
    </w:p>
    <w:p w14:paraId="6CBF47F2" w14:textId="77777777" w:rsidR="006677B0" w:rsidRPr="00BC3075" w:rsidRDefault="006677B0" w:rsidP="006677B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Názov inštitúcie:</w:t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Štátna pokladnica</w:t>
      </w:r>
    </w:p>
    <w:p w14:paraId="01380814" w14:textId="77777777" w:rsidR="006677B0" w:rsidRPr="00BC3075" w:rsidRDefault="006677B0" w:rsidP="006677B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Číslo účtu (IBAN):</w:t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SK37 8180 0000 0007 0066 1978</w:t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</w:p>
    <w:p w14:paraId="03042DFC" w14:textId="77777777" w:rsidR="005549F9" w:rsidRDefault="005549F9" w:rsidP="006677B0">
      <w:pPr>
        <w:jc w:val="both"/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</w:pPr>
    </w:p>
    <w:p w14:paraId="5D9A8FCD" w14:textId="288E8596" w:rsidR="006677B0" w:rsidRPr="00BC3075" w:rsidRDefault="006677B0" w:rsidP="006677B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Príjmový rozpočtový účet</w:t>
      </w:r>
    </w:p>
    <w:p w14:paraId="0D8B8F95" w14:textId="77777777" w:rsidR="006677B0" w:rsidRPr="00BC3075" w:rsidRDefault="006677B0" w:rsidP="006677B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Názov inštitúcie:</w:t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Štátna pokladnica</w:t>
      </w:r>
    </w:p>
    <w:p w14:paraId="26E33987" w14:textId="3588031A" w:rsidR="00E87FEF" w:rsidRPr="006677B0" w:rsidRDefault="006677B0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Číslo účtu (IBAN):</w:t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 xml:space="preserve">  </w:t>
      </w:r>
      <w:r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  <w:t>SK37 8180 0000 0007 0066 1986</w:t>
      </w:r>
    </w:p>
    <w:p w14:paraId="4194FEC2" w14:textId="77777777" w:rsidR="005E1339" w:rsidRDefault="005E1339" w:rsidP="00FA3207">
      <w:pPr>
        <w:jc w:val="both"/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</w:pPr>
    </w:p>
    <w:p w14:paraId="2CB97687" w14:textId="4B13619F" w:rsidR="00E87FEF" w:rsidRPr="00057C0A" w:rsidRDefault="00E87FEF" w:rsidP="00FA3207">
      <w:pPr>
        <w:jc w:val="both"/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</w:pPr>
      <w:r w:rsidRPr="00057C0A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Účet prijímateľa</w:t>
      </w:r>
    </w:p>
    <w:p w14:paraId="073111F6" w14:textId="3DEBC9FF" w:rsidR="00133DEB" w:rsidRPr="00D262C4" w:rsidRDefault="00133DEB" w:rsidP="00133DEB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lastRenderedPageBreak/>
        <w:t>Názov inštitúcie:</w:t>
      </w: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="00465A43" w:rsidRPr="00BC3075">
        <w:rPr>
          <w:rFonts w:ascii="Arial Narrow" w:eastAsia="Times New Roman" w:hAnsi="Arial Narrow" w:cs="Times New Roman"/>
          <w:sz w:val="22"/>
          <w:szCs w:val="22"/>
          <w:highlight w:val="yellow"/>
          <w:lang w:val="sk-SK" w:eastAsia="sk-SK"/>
        </w:rPr>
        <w:t>xxx</w:t>
      </w:r>
    </w:p>
    <w:p w14:paraId="1BEBC786" w14:textId="1EFDA79F" w:rsidR="006677B0" w:rsidRPr="00D262C4" w:rsidRDefault="00133DEB" w:rsidP="00133DEB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Číslo účtu (IBAN):</w:t>
      </w: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D262C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="00465A43" w:rsidRPr="00BC3075">
        <w:rPr>
          <w:rFonts w:ascii="Arial Narrow" w:eastAsia="Times New Roman" w:hAnsi="Arial Narrow" w:cs="Times New Roman"/>
          <w:sz w:val="22"/>
          <w:szCs w:val="22"/>
          <w:highlight w:val="yellow"/>
          <w:lang w:val="sk-SK" w:eastAsia="sk-SK"/>
        </w:rPr>
        <w:t>xxx</w:t>
      </w:r>
    </w:p>
    <w:p w14:paraId="4BA3F0E8" w14:textId="398EDB1F" w:rsidR="00FA3207" w:rsidRDefault="00133DEB" w:rsidP="00637C60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  <w:r w:rsidRPr="00133DE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ab/>
      </w:r>
    </w:p>
    <w:p w14:paraId="1DD02AB0" w14:textId="77777777" w:rsidR="001E6924" w:rsidRDefault="001E6924" w:rsidP="001D7C3F">
      <w:pPr>
        <w:jc w:val="center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</w:p>
    <w:p w14:paraId="5EF42064" w14:textId="7A8A118C" w:rsidR="00D91706" w:rsidRPr="00D91706" w:rsidRDefault="001D7C3F" w:rsidP="001D7C3F">
      <w:pPr>
        <w:jc w:val="center"/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b/>
          <w:sz w:val="22"/>
          <w:szCs w:val="22"/>
          <w:lang w:val="sk-SK" w:eastAsia="sk-SK"/>
        </w:rPr>
        <w:t>STANOVENIE VÝŠKY PROSTRIEDKOV MECHANIZMU</w:t>
      </w:r>
    </w:p>
    <w:p w14:paraId="430415F8" w14:textId="77777777" w:rsidR="00D91706" w:rsidRDefault="00D91706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016BA8ED" w14:textId="72587BAD" w:rsidR="00FA3207" w:rsidRPr="00D91706" w:rsidRDefault="009B76DF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bookmarkStart w:id="1" w:name="_Hlk94781880"/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Prostriedky mechanizmu</w:t>
      </w:r>
      <w:r w:rsidR="00A0301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v indikatívnej výške 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bud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A0301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prijímateľovi</w:t>
      </w:r>
      <w:bookmarkEnd w:id="1"/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posúden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é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ako oprávnen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é</w:t>
      </w:r>
      <w:r w:rsidR="00057C0A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 poskytovan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é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za predpokladu, že budú vytvorené a obsadené pracovné pozície mentorov </w:t>
      </w:r>
      <w:r w:rsidR="00B62FF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počte a úväzku 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stanovenom v </w:t>
      </w:r>
      <w:r w:rsidR="00A82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rílohe č. 2 Zmluvy 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 zároveň 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mentori budú preukázateľne dosahovať požadované výsledky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podľa odpočtu </w:t>
      </w:r>
      <w:r w:rsidR="00B62FF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činnosti 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B62FF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podľa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="001E6E8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ríloh</w:t>
      </w:r>
      <w:r w:rsidR="00B62FF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y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č. 2 Zmluvy.</w:t>
      </w:r>
    </w:p>
    <w:p w14:paraId="1A3C4C77" w14:textId="77777777" w:rsidR="00FA3207" w:rsidRPr="00FA3207" w:rsidRDefault="00FA3207" w:rsidP="00FA3207">
      <w:pPr>
        <w:jc w:val="both"/>
        <w:rPr>
          <w:rFonts w:ascii="Arial Narrow" w:eastAsia="Times New Roman" w:hAnsi="Arial Narrow" w:cs="Times New Roman"/>
          <w:color w:val="0070C0"/>
          <w:sz w:val="22"/>
          <w:szCs w:val="22"/>
          <w:lang w:val="sk-SK" w:eastAsia="sk-SK"/>
        </w:rPr>
      </w:pPr>
    </w:p>
    <w:p w14:paraId="164E25D6" w14:textId="478D8905" w:rsidR="00FA3207" w:rsidRPr="00D91706" w:rsidRDefault="009B76DF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bookmarkStart w:id="2" w:name="_Hlk94788832"/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Maximálna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výška poskytnutých finančných prostriedkov sa pridelí </w:t>
      </w:r>
      <w:r w:rsidR="00A0301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prijímateľovi pod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ľa počtu mentorov v regióne 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stanoveného v </w:t>
      </w:r>
      <w:r w:rsidR="001E6E8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ríloh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č. 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2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D91706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Zmluvy </w:t>
      </w:r>
      <w:r w:rsidR="00FA3207" w:rsidRPr="00D9170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podľa nasledovného vzorca:</w:t>
      </w:r>
      <w:bookmarkEnd w:id="2"/>
    </w:p>
    <w:p w14:paraId="4F0E2EFD" w14:textId="77777777" w:rsidR="00FA3207" w:rsidRPr="00D91706" w:rsidRDefault="00FA3207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B81193B" w14:textId="77777777" w:rsidR="00B62FF9" w:rsidRPr="00BA3F2E" w:rsidRDefault="00B62FF9" w:rsidP="00B62FF9">
      <w:pPr>
        <w:jc w:val="center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FP na mesiac = PMM x (MM + RN)</w:t>
      </w:r>
    </w:p>
    <w:p w14:paraId="62B1C48C" w14:textId="77777777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8CE2013" w14:textId="3E5C76D6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lang w:val="sk-SK" w:eastAsia="sk-SK"/>
        </w:rPr>
      </w:pPr>
      <w:r w:rsidRPr="00BA3F2E">
        <w:rPr>
          <w:rFonts w:ascii="Arial Narrow" w:eastAsia="Times New Roman" w:hAnsi="Arial Narrow" w:cs="Times New Roman"/>
          <w:lang w:val="sk-SK" w:eastAsia="sk-SK"/>
        </w:rPr>
        <w:t xml:space="preserve">FP </w:t>
      </w:r>
      <w:r w:rsidR="001E6E85">
        <w:rPr>
          <w:rFonts w:ascii="Arial Narrow" w:eastAsia="Times New Roman" w:hAnsi="Arial Narrow" w:cs="Times New Roman"/>
          <w:lang w:val="sk-SK" w:eastAsia="sk-SK"/>
        </w:rPr>
        <w:t xml:space="preserve">na mesiac </w:t>
      </w:r>
      <w:r w:rsidRPr="00BA3F2E">
        <w:rPr>
          <w:rFonts w:ascii="Arial Narrow" w:eastAsia="Times New Roman" w:hAnsi="Arial Narrow" w:cs="Times New Roman"/>
          <w:lang w:val="sk-SK" w:eastAsia="sk-SK"/>
        </w:rPr>
        <w:t>– finančné prostriedky na kalendárny mesiac</w:t>
      </w:r>
    </w:p>
    <w:p w14:paraId="76B16459" w14:textId="6DA1B3CC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lang w:val="sk-SK" w:eastAsia="sk-SK"/>
        </w:rPr>
      </w:pPr>
      <w:r w:rsidRPr="00BA3F2E">
        <w:rPr>
          <w:rFonts w:ascii="Arial Narrow" w:eastAsia="Times New Roman" w:hAnsi="Arial Narrow" w:cs="Times New Roman"/>
          <w:lang w:val="sk-SK" w:eastAsia="sk-SK"/>
        </w:rPr>
        <w:t xml:space="preserve">PMM – počet mentorských miest </w:t>
      </w:r>
      <w:r w:rsidR="00292428">
        <w:rPr>
          <w:rFonts w:ascii="Arial Narrow" w:eastAsia="Times New Roman" w:hAnsi="Arial Narrow" w:cs="Times New Roman"/>
          <w:lang w:val="sk-SK" w:eastAsia="sk-SK"/>
        </w:rPr>
        <w:t>regionálneho</w:t>
      </w:r>
      <w:r w:rsidRPr="00BA3F2E">
        <w:rPr>
          <w:rFonts w:ascii="Arial Narrow" w:eastAsia="Times New Roman" w:hAnsi="Arial Narrow" w:cs="Times New Roman"/>
          <w:lang w:val="sk-SK" w:eastAsia="sk-SK"/>
        </w:rPr>
        <w:t xml:space="preserve"> centr</w:t>
      </w:r>
      <w:r w:rsidR="00292428">
        <w:rPr>
          <w:rFonts w:ascii="Arial Narrow" w:eastAsia="Times New Roman" w:hAnsi="Arial Narrow" w:cs="Times New Roman"/>
          <w:lang w:val="sk-SK" w:eastAsia="sk-SK"/>
        </w:rPr>
        <w:t>a</w:t>
      </w:r>
    </w:p>
    <w:p w14:paraId="0E63964F" w14:textId="085B340A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lang w:val="sk-SK" w:eastAsia="sk-SK"/>
        </w:rPr>
      </w:pPr>
      <w:r w:rsidRPr="00BA3F2E">
        <w:rPr>
          <w:rFonts w:ascii="Arial Narrow" w:eastAsia="Times New Roman" w:hAnsi="Arial Narrow" w:cs="Times New Roman"/>
          <w:lang w:val="sk-SK" w:eastAsia="sk-SK"/>
        </w:rPr>
        <w:t>MM – priemerné mzdové náklady na jedného mentora v</w:t>
      </w:r>
      <w:r w:rsidR="007D512A">
        <w:rPr>
          <w:rFonts w:ascii="Arial Narrow" w:eastAsia="Times New Roman" w:hAnsi="Arial Narrow" w:cs="Times New Roman"/>
          <w:lang w:val="sk-SK" w:eastAsia="sk-SK"/>
        </w:rPr>
        <w:t> regionálnom c</w:t>
      </w:r>
      <w:r w:rsidRPr="00BA3F2E">
        <w:rPr>
          <w:rFonts w:ascii="Arial Narrow" w:eastAsia="Times New Roman" w:hAnsi="Arial Narrow" w:cs="Times New Roman"/>
          <w:lang w:val="sk-SK" w:eastAsia="sk-SK"/>
        </w:rPr>
        <w:t>entre vrátane odvodov (</w:t>
      </w:r>
      <w:proofErr w:type="spellStart"/>
      <w:r w:rsidRPr="00BA3F2E">
        <w:rPr>
          <w:rFonts w:ascii="Arial Narrow" w:eastAsia="Times New Roman" w:hAnsi="Arial Narrow" w:cs="Times New Roman"/>
          <w:lang w:val="sk-SK" w:eastAsia="sk-SK"/>
        </w:rPr>
        <w:t>superhrubá</w:t>
      </w:r>
      <w:proofErr w:type="spellEnd"/>
      <w:r w:rsidRPr="00BA3F2E">
        <w:rPr>
          <w:rFonts w:ascii="Arial Narrow" w:eastAsia="Times New Roman" w:hAnsi="Arial Narrow" w:cs="Times New Roman"/>
          <w:lang w:val="sk-SK" w:eastAsia="sk-SK"/>
        </w:rPr>
        <w:t xml:space="preserve"> mzda)</w:t>
      </w:r>
    </w:p>
    <w:p w14:paraId="4838D302" w14:textId="71C058B0" w:rsidR="009F769E" w:rsidRPr="00BA3F2E" w:rsidRDefault="00B62FF9" w:rsidP="00B62FF9">
      <w:pPr>
        <w:jc w:val="both"/>
        <w:rPr>
          <w:rFonts w:ascii="Arial Narrow" w:eastAsia="Times New Roman" w:hAnsi="Arial Narrow" w:cs="Times New Roman"/>
          <w:lang w:val="sk-SK" w:eastAsia="sk-SK"/>
        </w:rPr>
      </w:pPr>
      <w:r w:rsidRPr="00BA3F2E">
        <w:rPr>
          <w:rFonts w:ascii="Arial Narrow" w:eastAsia="Times New Roman" w:hAnsi="Arial Narrow" w:cs="Times New Roman"/>
          <w:lang w:val="sk-SK" w:eastAsia="sk-SK"/>
        </w:rPr>
        <w:t xml:space="preserve">RN – režijné náklady </w:t>
      </w:r>
      <w:r w:rsidR="007D512A">
        <w:rPr>
          <w:rFonts w:ascii="Arial Narrow" w:eastAsia="Times New Roman" w:hAnsi="Arial Narrow" w:cs="Times New Roman"/>
          <w:lang w:val="sk-SK" w:eastAsia="sk-SK"/>
        </w:rPr>
        <w:t>regionálneh</w:t>
      </w:r>
      <w:r w:rsidRPr="00BA3F2E">
        <w:rPr>
          <w:rFonts w:ascii="Arial Narrow" w:eastAsia="Times New Roman" w:hAnsi="Arial Narrow" w:cs="Times New Roman"/>
          <w:lang w:val="sk-SK" w:eastAsia="sk-SK"/>
        </w:rPr>
        <w:t>o centra</w:t>
      </w:r>
    </w:p>
    <w:p w14:paraId="4FCCB06E" w14:textId="77777777" w:rsidR="00B62FF9" w:rsidRPr="00BA3F2E" w:rsidRDefault="00B62FF9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3BDA71B" w14:textId="50027130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ustanoví v rámci personálnej politiky regionálneho centra podľa </w:t>
      </w:r>
      <w:r w:rsidR="001E6E8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rílohy č. 2 Zmluvy mzdové náležitosti mentorov. </w:t>
      </w:r>
      <w:r w:rsidRPr="00BA3F2E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Mzdové náklady mentorov sa považujú za náklady na zamestnancov, resp. priame náklady</w:t>
      </w:r>
      <w:r w:rsidR="00BA3F2E" w:rsidRPr="00BA3F2E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 xml:space="preserve"> Projektu</w:t>
      </w: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5DC08615" w14:textId="55BA6726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A3F2E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Všetky ostatné náklady regionálneho centra</w:t>
      </w: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, vrátane odmien pre manažment a administratívny personál </w:t>
      </w:r>
      <w:r w:rsidR="00BA3F2E"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rojektu</w:t>
      </w:r>
      <w:r w:rsidR="007D512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 režijných nákladov regionálneho centra</w:t>
      </w: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A3F2E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sa budú považovať za nepriame náklady vypočítané s použitím paušálnej sadzby vo výške do 40 % priamych nákladov</w:t>
      </w:r>
      <w:r w:rsidRPr="00BA3F2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(mzdových nákladov na mentorov) v zmysle čl. 56 Nariadenia Európskeho parlamentu a Rady (EÚ) č. 2021/1060.</w:t>
      </w:r>
    </w:p>
    <w:p w14:paraId="3DE4B436" w14:textId="77777777" w:rsidR="00B62FF9" w:rsidRPr="00BA3F2E" w:rsidRDefault="00B62FF9" w:rsidP="00B62FF9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3B355DA" w14:textId="194F81C4" w:rsidR="00C03D9B" w:rsidRPr="00BA3F2E" w:rsidRDefault="00B62FF9" w:rsidP="00B62FF9">
      <w:pPr>
        <w:jc w:val="both"/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</w:pPr>
      <w:r w:rsidRPr="005E1339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Súčet priamych nákladov a nepriamych nákladov prijímateľa nesmie prevyšovať sumu 1</w:t>
      </w:r>
      <w:r w:rsidR="005E1339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 xml:space="preserve"> </w:t>
      </w:r>
      <w:r w:rsidR="00AA2076" w:rsidRPr="005E1339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910</w:t>
      </w:r>
      <w:r w:rsidR="005E1339" w:rsidRPr="005E1339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,00</w:t>
      </w:r>
      <w:r w:rsidR="00AA2076" w:rsidRPr="005E1339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 xml:space="preserve"> </w:t>
      </w:r>
      <w:r w:rsidRPr="005E1339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 xml:space="preserve"> EUR na jedno </w:t>
      </w:r>
      <w:r w:rsidRPr="13C11A5D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mentorské miesto a mesiac.</w:t>
      </w:r>
    </w:p>
    <w:p w14:paraId="5DCD6CB7" w14:textId="61FA925A" w:rsidR="00BA3F2E" w:rsidRDefault="00BA3F2E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645DE092" w14:textId="0BEBB930" w:rsidR="00915DBD" w:rsidRPr="00915DBD" w:rsidRDefault="009B76DF" w:rsidP="00915DB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="008265E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rijímateľ prostriedkov mechanizmu</w:t>
      </w:r>
      <w:r w:rsidR="00915DBD" w:rsidRPr="00915DB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má zriadený účet na prijatie prostriedkov mechanizmu od vykonávateľa, vedený v EUR. Typ účtu a to, v ktorej finančnej inštitúcii je účet zriadený, je na rozhodnutí prijímateľa, okrem prijímateľov, ktorí sú štátnou rozpočtovou organizáciou; v takom prípade je finanč</w:t>
      </w:r>
      <w:r w:rsidR="00915DB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</w:t>
      </w:r>
      <w:r w:rsidR="00915DBD" w:rsidRPr="00915DB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ou inštitúciou štátna pokladnica. Úrok vzniknutý na účte sa použije na financovanie projektu. </w:t>
      </w:r>
    </w:p>
    <w:p w14:paraId="007D3F39" w14:textId="77777777" w:rsidR="00915DBD" w:rsidRPr="00915DBD" w:rsidRDefault="00915DBD" w:rsidP="00915DB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15DB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Prijímateľ vo svojom účtovníctve zabezpečí samostatné nákladové stredisko / samostatnú analytickú evidenciu príjmov a výdavkov spojených s prostriedkami mechanizmu v členení z hľadiska potrieb rozpočtového a finančného riadenia účtovnej jednotky. </w:t>
      </w:r>
    </w:p>
    <w:p w14:paraId="3E041CC1" w14:textId="732C6181" w:rsidR="00915DBD" w:rsidRDefault="00915DBD" w:rsidP="00915DB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15DB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Oprávnenosť výdavkov sa preukazuje prostredníctvom dokumentov v zmysle všeobecne záväzných právnych predpisov.</w:t>
      </w:r>
    </w:p>
    <w:p w14:paraId="49BE781B" w14:textId="2B1288E3" w:rsidR="00915DBD" w:rsidRDefault="00915DBD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011A4795" w14:textId="170A28B8" w:rsidR="00915DBD" w:rsidRPr="00460912" w:rsidRDefault="00915DBD" w:rsidP="00915DBD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HARMONOGRAM PLATIEB</w:t>
      </w:r>
    </w:p>
    <w:p w14:paraId="19F9E399" w14:textId="77777777" w:rsidR="00915DBD" w:rsidRPr="00460912" w:rsidRDefault="00915DBD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1AB9574" w14:textId="6929AA32" w:rsidR="005F6143" w:rsidRPr="00460912" w:rsidRDefault="009B76DF" w:rsidP="005F6143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Indikatívna výška p</w:t>
      </w:r>
      <w:r w:rsidR="00915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rostriedkov mechanizmu bude prijímateľovi </w:t>
      </w:r>
      <w:r w:rsidR="008265E9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poskytovaná </w:t>
      </w:r>
      <w:r w:rsidR="00915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systémom zálohových platieb</w:t>
      </w:r>
      <w:r w:rsidR="001F5E40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formou  prevodov z výdavkového bankového účtu vykonávateľa na účet prijímateľa. </w:t>
      </w:r>
      <w:r w:rsidR="005F6143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 využití systému zálohových platieb sa poskytovanie prostriedkov mechanizmu prijímateľovi uskutočňuje v dvoch etapách:</w:t>
      </w:r>
    </w:p>
    <w:p w14:paraId="6E915FF9" w14:textId="5518CF88" w:rsidR="005F6143" w:rsidRPr="00460912" w:rsidRDefault="005F6143" w:rsidP="001F5E40">
      <w:pPr>
        <w:pStyle w:val="Odsekzoznamu"/>
        <w:numPr>
          <w:ilvl w:val="0"/>
          <w:numId w:val="17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poskytnutie zálohovej platby,</w:t>
      </w:r>
    </w:p>
    <w:p w14:paraId="78695972" w14:textId="546DAAA0" w:rsidR="001F5E40" w:rsidRPr="00460912" w:rsidRDefault="005F6143" w:rsidP="001F5E40">
      <w:pPr>
        <w:pStyle w:val="Odsekzoznamu"/>
        <w:numPr>
          <w:ilvl w:val="0"/>
          <w:numId w:val="17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zúčtovanie zálohovej platby.</w:t>
      </w:r>
      <w:r w:rsidR="001F5E40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742256CD" w14:textId="77777777" w:rsidR="001F5E40" w:rsidRPr="00460912" w:rsidRDefault="001F5E40" w:rsidP="001F5E40">
      <w:p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Poskytovanie prostriedkov mechanizmu systémom zálohových platieb sa realizuje v nasledovných krokoch:</w:t>
      </w:r>
    </w:p>
    <w:p w14:paraId="3A233A02" w14:textId="17ABA6C8" w:rsidR="001F5E40" w:rsidRPr="00460912" w:rsidRDefault="001F5E40" w:rsidP="001F5E40">
      <w:pPr>
        <w:pStyle w:val="Odsekzoznamu"/>
        <w:numPr>
          <w:ilvl w:val="0"/>
          <w:numId w:val="19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Prijímateľ po nadobudnutí účinnosti zmluvy o poskytnutí prostriedkov mechanizmu predkladá vykonávateľovi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="009B76DF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– poskytnutie zálohovej platby. V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prijímateľ uvedie nárokované finančné prostriedky v zmysle zmluvy o poskytnutí prostriedkov mechanizmu.</w:t>
      </w:r>
    </w:p>
    <w:p w14:paraId="7475441A" w14:textId="6F21BC2E" w:rsidR="001F5E40" w:rsidRPr="00460912" w:rsidRDefault="001F5E40" w:rsidP="001F5E40">
      <w:pPr>
        <w:pStyle w:val="Odsekzoznamu"/>
        <w:numPr>
          <w:ilvl w:val="0"/>
          <w:numId w:val="19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Vykonávateľ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zaeviduje a pridelí jej identifikačné číslo.</w:t>
      </w:r>
    </w:p>
    <w:p w14:paraId="1813DDA9" w14:textId="21AE6558" w:rsidR="001F5E40" w:rsidRPr="00460912" w:rsidRDefault="001F5E40" w:rsidP="001F5E40">
      <w:pPr>
        <w:pStyle w:val="Odsekzoznamu"/>
        <w:numPr>
          <w:ilvl w:val="0"/>
          <w:numId w:val="19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lastRenderedPageBreak/>
        <w:t xml:space="preserve">Vykonávateľ vykoná kontrolu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poskytnutie zálohovej platby v zmysle zákona o finančnej kontrole. Po vykonaní kontroly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poskytnutie zálohovej platby vykonávateľ žiadosť o platbu, alebo jej časť:</w:t>
      </w:r>
    </w:p>
    <w:p w14:paraId="4D2B62E7" w14:textId="6E086A52" w:rsidR="001F5E40" w:rsidRPr="00460912" w:rsidRDefault="001F5E40" w:rsidP="001F5E40">
      <w:pPr>
        <w:pStyle w:val="Odsekzoznamu"/>
        <w:numPr>
          <w:ilvl w:val="0"/>
          <w:numId w:val="20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schváli v plnej výške,</w:t>
      </w:r>
    </w:p>
    <w:p w14:paraId="147E0ED6" w14:textId="1C88434E" w:rsidR="001F5E40" w:rsidRPr="00460912" w:rsidRDefault="001F5E40" w:rsidP="001F5E40">
      <w:pPr>
        <w:pStyle w:val="Odsekzoznamu"/>
        <w:numPr>
          <w:ilvl w:val="0"/>
          <w:numId w:val="20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schváli v zníženej sume, alebo</w:t>
      </w:r>
    </w:p>
    <w:p w14:paraId="430BF631" w14:textId="03D8F87C" w:rsidR="001F5E40" w:rsidRPr="00460912" w:rsidRDefault="001F5E40" w:rsidP="001F5E40">
      <w:pPr>
        <w:pStyle w:val="Odsekzoznamu"/>
        <w:numPr>
          <w:ilvl w:val="0"/>
          <w:numId w:val="20"/>
        </w:num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neschváli.</w:t>
      </w:r>
    </w:p>
    <w:p w14:paraId="3CF09675" w14:textId="54D8341D" w:rsidR="001F5E40" w:rsidRPr="00460912" w:rsidRDefault="001F5E40" w:rsidP="001F5E40">
      <w:pPr>
        <w:pStyle w:val="Odsekzoznamu"/>
        <w:numPr>
          <w:ilvl w:val="0"/>
          <w:numId w:val="19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prípade schválenia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poskytnutie zálohovej platby alebo jej časti vykonávateľ:</w:t>
      </w:r>
    </w:p>
    <w:p w14:paraId="2C311E2B" w14:textId="75E27C9E" w:rsidR="001F5E40" w:rsidRPr="00460912" w:rsidRDefault="001F5E40" w:rsidP="006F121C">
      <w:pPr>
        <w:pStyle w:val="Odsekzoznamu"/>
        <w:numPr>
          <w:ilvl w:val="0"/>
          <w:numId w:val="17"/>
        </w:numPr>
        <w:ind w:left="567" w:hanging="283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prípade prijímateľa – štátna rozpočtová organizácia – zabezpečí prevod prostriedkov v sume zodpovedajúcej poskytnutej zálohovej platby samostatne za jednotlivé zdroje financovania rozpočtovým opatrením prostredníctvom úpravy limitov výdavkov viazaním výdavkov v rozpočte príslušnej vnútornej organizačnej jednotky vykonávateľa a navýšením limitov výdavkov prijímateľa,</w:t>
      </w:r>
    </w:p>
    <w:p w14:paraId="5A9209DC" w14:textId="75E64094" w:rsidR="001F5E40" w:rsidRPr="00460912" w:rsidRDefault="001F5E40" w:rsidP="006F121C">
      <w:pPr>
        <w:pStyle w:val="Odsekzoznamu"/>
        <w:numPr>
          <w:ilvl w:val="0"/>
          <w:numId w:val="17"/>
        </w:numPr>
        <w:ind w:left="567" w:hanging="283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prípade ostatných prijímateľov – zadá platobné príkazy na úhradu prijímateľovi z rozpočtovaných výdavkov samostatne za jednotlivé zdroje financovania.</w:t>
      </w:r>
    </w:p>
    <w:p w14:paraId="21A80316" w14:textId="78288EDC" w:rsidR="001F5E40" w:rsidRPr="00460912" w:rsidRDefault="001F5E40" w:rsidP="00946062">
      <w:pPr>
        <w:spacing w:before="120"/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 zaznamená v ISUF operáciu vzťahujúcu sa k predmetnej úhrade.</w:t>
      </w:r>
      <w:r w:rsidR="00946062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054E3B3C" w14:textId="42C73237" w:rsidR="001F5E40" w:rsidRPr="00460912" w:rsidRDefault="001F5E40" w:rsidP="00946062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Vzor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pripraví a poskytne prijímateľovi vykonáva</w:t>
      </w:r>
      <w:r w:rsidR="00946062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eľ</w:t>
      </w:r>
      <w:r w:rsidR="00946062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7BC8C76C" w14:textId="35A7C0D4" w:rsidR="00915DBD" w:rsidRPr="00460912" w:rsidRDefault="00946062" w:rsidP="00946062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8265E9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bude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prijímateľ predkladať na schválenie </w:t>
      </w:r>
      <w:r w:rsidR="008265E9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ovi</w:t>
      </w:r>
      <w:r w:rsidR="008265E9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podľa harmonogramu stanoveného v tabuľke č. 1</w:t>
      </w:r>
      <w:r w:rsidR="00446F2F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0DAF9BBD" w14:textId="30FF9506" w:rsidR="008265E9" w:rsidRPr="00460912" w:rsidRDefault="008265E9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804E2D1" w14:textId="7EECBB92" w:rsidR="00DF2B87" w:rsidRPr="00460912" w:rsidRDefault="00DF2B87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Tabuľka č. 1: Harmonogram p</w:t>
      </w:r>
      <w:r w:rsidR="005F6143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redkladania </w:t>
      </w:r>
      <w:proofErr w:type="spellStart"/>
      <w:r w:rsidR="005F6143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="005F6143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prijímateľom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2688"/>
      </w:tblGrid>
      <w:tr w:rsidR="00DF2B87" w:rsidRPr="00460912" w14:paraId="3B5CD679" w14:textId="77777777" w:rsidTr="00446F2F">
        <w:tc>
          <w:tcPr>
            <w:tcW w:w="6374" w:type="dxa"/>
            <w:gridSpan w:val="2"/>
          </w:tcPr>
          <w:p w14:paraId="2FCD4C74" w14:textId="01203163" w:rsidR="00DF2B87" w:rsidRPr="00460912" w:rsidRDefault="00DF2B87" w:rsidP="00DF2B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Zálohová platba</w:t>
            </w:r>
          </w:p>
        </w:tc>
        <w:tc>
          <w:tcPr>
            <w:tcW w:w="2688" w:type="dxa"/>
            <w:vMerge w:val="restart"/>
            <w:vAlign w:val="center"/>
          </w:tcPr>
          <w:p w14:paraId="71FABE20" w14:textId="563ECEE3" w:rsidR="00DF2B87" w:rsidRPr="00460912" w:rsidRDefault="00DF2B87" w:rsidP="00DF2B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Dátum pre</w:t>
            </w:r>
            <w:r w:rsidR="005F6143"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dloženia </w:t>
            </w:r>
            <w:proofErr w:type="spellStart"/>
            <w:r w:rsidR="005F6143"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ŽoP</w:t>
            </w:r>
            <w:proofErr w:type="spellEnd"/>
            <w:r w:rsidR="005F6143"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 prijímateľom</w:t>
            </w:r>
          </w:p>
        </w:tc>
      </w:tr>
      <w:tr w:rsidR="00DF2B87" w:rsidRPr="00AA2076" w14:paraId="124861DC" w14:textId="77777777" w:rsidTr="00446F2F">
        <w:tc>
          <w:tcPr>
            <w:tcW w:w="2830" w:type="dxa"/>
            <w:vAlign w:val="center"/>
          </w:tcPr>
          <w:p w14:paraId="739CBBBE" w14:textId="2ADD1D03" w:rsidR="00DF2B87" w:rsidRPr="00460912" w:rsidRDefault="00DF2B87" w:rsidP="00DF2B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na obdobie</w:t>
            </w:r>
          </w:p>
        </w:tc>
        <w:tc>
          <w:tcPr>
            <w:tcW w:w="3544" w:type="dxa"/>
          </w:tcPr>
          <w:p w14:paraId="5EDB556B" w14:textId="59DF0B16" w:rsidR="00DF2B87" w:rsidRPr="00460912" w:rsidRDefault="00DF2B87" w:rsidP="00DF2B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výška prostriedkov mechanizmu pripadajúcich na zálohovú platbu</w:t>
            </w:r>
            <w:r w:rsidR="00446F2F" w:rsidRPr="00460912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 v EUR</w:t>
            </w:r>
          </w:p>
        </w:tc>
        <w:tc>
          <w:tcPr>
            <w:tcW w:w="2688" w:type="dxa"/>
            <w:vMerge/>
          </w:tcPr>
          <w:p w14:paraId="1F68CB35" w14:textId="4BC68CA4" w:rsidR="00DF2B87" w:rsidRPr="00460912" w:rsidRDefault="00DF2B87" w:rsidP="009F769E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</w:tr>
      <w:tr w:rsidR="00FF3A87" w:rsidRPr="00460912" w14:paraId="300710FA" w14:textId="77777777" w:rsidTr="00446F2F">
        <w:tc>
          <w:tcPr>
            <w:tcW w:w="2830" w:type="dxa"/>
          </w:tcPr>
          <w:p w14:paraId="078D79C8" w14:textId="2742E545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460912">
              <w:rPr>
                <w:rFonts w:ascii="Arial Narrow" w:hAnsi="Arial Narrow"/>
                <w:sz w:val="22"/>
                <w:szCs w:val="22"/>
              </w:rPr>
              <w:t xml:space="preserve">1.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460912">
              <w:rPr>
                <w:rFonts w:ascii="Arial Narrow" w:hAnsi="Arial Narrow"/>
                <w:sz w:val="22"/>
                <w:szCs w:val="22"/>
              </w:rPr>
              <w:t>7. 2024 do 31. 12. 2024</w:t>
            </w:r>
          </w:p>
        </w:tc>
        <w:tc>
          <w:tcPr>
            <w:tcW w:w="3544" w:type="dxa"/>
          </w:tcPr>
          <w:p w14:paraId="59859F7B" w14:textId="6549998A" w:rsidR="00FF3A87" w:rsidRPr="00FD499E" w:rsidRDefault="00093879" w:rsidP="00093879">
            <w:pPr>
              <w:ind w:left="1031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BC3075">
              <w:rPr>
                <w:rFonts w:ascii="Arial Narrow" w:eastAsia="Times New Roman" w:hAnsi="Arial Narrow" w:cs="Times New Roman"/>
                <w:sz w:val="22"/>
                <w:szCs w:val="22"/>
                <w:highlight w:val="yellow"/>
                <w:lang w:val="sk-SK" w:eastAsia="sk-SK"/>
              </w:rPr>
              <w:t>xxx</w:t>
            </w:r>
          </w:p>
        </w:tc>
        <w:tc>
          <w:tcPr>
            <w:tcW w:w="2688" w:type="dxa"/>
          </w:tcPr>
          <w:p w14:paraId="764429DE" w14:textId="5A5B0379" w:rsidR="00FF3A87" w:rsidRPr="00BC3075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BC3075">
              <w:rPr>
                <w:rFonts w:ascii="Arial Narrow" w:hAnsi="Arial Narrow"/>
                <w:sz w:val="22"/>
                <w:szCs w:val="22"/>
              </w:rPr>
              <w:t xml:space="preserve">do </w:t>
            </w:r>
            <w:r w:rsidR="005F6143" w:rsidRPr="00BC3075">
              <w:rPr>
                <w:rFonts w:ascii="Arial Narrow" w:hAnsi="Arial Narrow"/>
                <w:sz w:val="22"/>
                <w:szCs w:val="22"/>
              </w:rPr>
              <w:t>15</w:t>
            </w:r>
            <w:r w:rsidRPr="00BC3075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="00093879" w:rsidRPr="00BC3075">
              <w:rPr>
                <w:rFonts w:ascii="Arial Narrow" w:hAnsi="Arial Narrow"/>
                <w:sz w:val="22"/>
                <w:szCs w:val="22"/>
              </w:rPr>
              <w:t>7</w:t>
            </w:r>
            <w:r w:rsidRPr="00BC3075">
              <w:rPr>
                <w:rFonts w:ascii="Arial Narrow" w:hAnsi="Arial Narrow"/>
                <w:sz w:val="22"/>
                <w:szCs w:val="22"/>
              </w:rPr>
              <w:t>. 202</w:t>
            </w:r>
            <w:r w:rsidR="00093879" w:rsidRPr="00BC3075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FF3A87" w:rsidRPr="00460912" w14:paraId="227ABC92" w14:textId="77777777" w:rsidTr="00446F2F">
        <w:tc>
          <w:tcPr>
            <w:tcW w:w="2830" w:type="dxa"/>
          </w:tcPr>
          <w:p w14:paraId="74177B3B" w14:textId="726ECB63" w:rsidR="00FF3A87" w:rsidRPr="00460912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460912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460912">
              <w:rPr>
                <w:rFonts w:ascii="Arial Narrow" w:hAnsi="Arial Narrow"/>
                <w:sz w:val="22"/>
                <w:szCs w:val="22"/>
              </w:rPr>
              <w:t xml:space="preserve">1.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460912">
              <w:rPr>
                <w:rFonts w:ascii="Arial Narrow" w:hAnsi="Arial Narrow"/>
                <w:sz w:val="22"/>
                <w:szCs w:val="22"/>
              </w:rPr>
              <w:t xml:space="preserve">1. 2025 do 31.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460912">
              <w:rPr>
                <w:rFonts w:ascii="Arial Narrow" w:hAnsi="Arial Narrow"/>
                <w:sz w:val="22"/>
                <w:szCs w:val="22"/>
              </w:rPr>
              <w:t>8. 2025</w:t>
            </w:r>
          </w:p>
        </w:tc>
        <w:tc>
          <w:tcPr>
            <w:tcW w:w="3544" w:type="dxa"/>
          </w:tcPr>
          <w:p w14:paraId="43DF72C8" w14:textId="3FCAC60E" w:rsidR="00FF3A87" w:rsidRPr="00FD499E" w:rsidRDefault="00093879" w:rsidP="00093879">
            <w:pPr>
              <w:ind w:left="1031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BC3075">
              <w:rPr>
                <w:rFonts w:ascii="Arial Narrow" w:eastAsia="Times New Roman" w:hAnsi="Arial Narrow" w:cs="Times New Roman"/>
                <w:sz w:val="22"/>
                <w:szCs w:val="22"/>
                <w:highlight w:val="yellow"/>
                <w:lang w:val="sk-SK" w:eastAsia="sk-SK"/>
              </w:rPr>
              <w:t>xxx</w:t>
            </w:r>
          </w:p>
        </w:tc>
        <w:tc>
          <w:tcPr>
            <w:tcW w:w="2688" w:type="dxa"/>
          </w:tcPr>
          <w:p w14:paraId="6E432F4E" w14:textId="30DE9836" w:rsidR="00FF3A87" w:rsidRPr="00BC3075" w:rsidRDefault="00FF3A87" w:rsidP="00FF3A87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BC3075">
              <w:rPr>
                <w:rFonts w:ascii="Arial Narrow" w:hAnsi="Arial Narrow"/>
                <w:sz w:val="22"/>
                <w:szCs w:val="22"/>
              </w:rPr>
              <w:t xml:space="preserve">do </w:t>
            </w:r>
            <w:r w:rsidR="005F6143" w:rsidRPr="00BC3075">
              <w:rPr>
                <w:rFonts w:ascii="Arial Narrow" w:hAnsi="Arial Narrow"/>
                <w:sz w:val="22"/>
                <w:szCs w:val="22"/>
              </w:rPr>
              <w:t>15</w:t>
            </w:r>
            <w:r w:rsidRPr="00BC3075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="00093879" w:rsidRPr="00BC3075">
              <w:rPr>
                <w:rFonts w:ascii="Arial Narrow" w:hAnsi="Arial Narrow"/>
                <w:sz w:val="22"/>
                <w:szCs w:val="22"/>
              </w:rPr>
              <w:t>1</w:t>
            </w:r>
            <w:r w:rsidRPr="00BC3075">
              <w:rPr>
                <w:rFonts w:ascii="Arial Narrow" w:hAnsi="Arial Narrow"/>
                <w:sz w:val="22"/>
                <w:szCs w:val="22"/>
              </w:rPr>
              <w:t>. 202</w:t>
            </w:r>
            <w:r w:rsidR="007E1DC8" w:rsidRPr="00BC3075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</w:tbl>
    <w:p w14:paraId="2808E43C" w14:textId="77777777" w:rsidR="00946062" w:rsidRPr="00460912" w:rsidRDefault="00946062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6094FB08" w14:textId="487AFE84" w:rsidR="0097088A" w:rsidRPr="00460912" w:rsidRDefault="0097088A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182D97B" w14:textId="7F454CF5" w:rsidR="00161FB0" w:rsidRPr="00460912" w:rsidRDefault="00161FB0" w:rsidP="00161FB0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VYÚČTOVANIE PROSTRIEDKOV MECHANIZMU</w:t>
      </w:r>
    </w:p>
    <w:p w14:paraId="7BA96924" w14:textId="720CD33D" w:rsidR="00161FB0" w:rsidRPr="00460912" w:rsidRDefault="00161FB0" w:rsidP="009F769E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5DBF127" w14:textId="429F79B0" w:rsidR="00946062" w:rsidRPr="00460912" w:rsidRDefault="00946062" w:rsidP="00946062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Po poskytnutí každej jednej zálohovej platby je prijímateľ povinný priebežne predkladať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podľa tabuľky č. 2.    </w:t>
      </w:r>
    </w:p>
    <w:p w14:paraId="7110AE96" w14:textId="21D28D97" w:rsidR="00946062" w:rsidRPr="00460912" w:rsidRDefault="00946062" w:rsidP="00946062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Prijímateľ vráti nezúčtovanú časť každej jednej poskytnutej zálohovej platby vykonávateľovi, najneskôr do ukončenia lehoty na zúčtovanie danej zálohovej platby. Vrátenie nezúčtovanej časti poskytnutej zálohovej platby sa v priebehu rozpočtového roka vykoná na výdavkový účet vykonávateľa, nezúčtovaná časť poskytnutej zálohovej platby z predchádzajúceho roku sa vracia na príjmový účet vykonávateľa. </w:t>
      </w:r>
    </w:p>
    <w:p w14:paraId="6B0A28AB" w14:textId="77777777" w:rsidR="00392087" w:rsidRPr="00460912" w:rsidRDefault="00392087" w:rsidP="0039208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 zúčtovaní zálohovej platby postupuje prijímateľ nasledovne:</w:t>
      </w:r>
    </w:p>
    <w:p w14:paraId="4143E354" w14:textId="7282271A" w:rsidR="00392087" w:rsidRPr="00460912" w:rsidRDefault="00392087" w:rsidP="00392087">
      <w:pPr>
        <w:pStyle w:val="Odsekzoznamu"/>
        <w:numPr>
          <w:ilvl w:val="0"/>
          <w:numId w:val="21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Prijímateľ v rámci zúčtovania poskytnutej zálohovej platby predkladá vykonávateľovi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platby. V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prijímateľ vykazuje priame náklady projektu za vyúčtovacie obdobie. Prijímateľ spolu so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predkladá aj účtovné doklady preukazujúce úhradu výdavku vykázaného v žiadosti o platbu a relevantnú podpornú dokumentáciu a doklady preukazujúce prípadné vrátenie nezúčtovanej časti poskytnutej zálohy na účet vykonávateľa.</w:t>
      </w:r>
    </w:p>
    <w:p w14:paraId="19D881E6" w14:textId="5295E849" w:rsidR="00392087" w:rsidRPr="00460912" w:rsidRDefault="00392087" w:rsidP="00392087">
      <w:pPr>
        <w:pStyle w:val="Odsekzoznamu"/>
        <w:numPr>
          <w:ilvl w:val="0"/>
          <w:numId w:val="21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Vykonávateľ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zaeviduje a pridelí jej identifikačné číslo.</w:t>
      </w:r>
    </w:p>
    <w:p w14:paraId="54133008" w14:textId="1CAB7112" w:rsidR="00392087" w:rsidRPr="00460912" w:rsidRDefault="00392087" w:rsidP="00392087">
      <w:pPr>
        <w:pStyle w:val="Odsekzoznamu"/>
        <w:numPr>
          <w:ilvl w:val="0"/>
          <w:numId w:val="21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Vykonávateľ vykoná kontrolu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v zmysle zákona o finančnej kontrole. V prípade chýbajúcich dokladov alebo podkladov, vykonávateľ tieto vyžiada</w:t>
      </w:r>
      <w:r w:rsidR="00E21CE8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od prijímateľa. Po vykonaní kontroly </w:t>
      </w:r>
      <w:proofErr w:type="spellStart"/>
      <w:r w:rsidR="00E21CE8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vykonávateľ žiadosť</w:t>
      </w:r>
      <w:r w:rsidR="00E21CE8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 platbu alebo jej časť:</w:t>
      </w:r>
    </w:p>
    <w:p w14:paraId="7F268236" w14:textId="050C9150" w:rsidR="00392087" w:rsidRPr="00460912" w:rsidRDefault="00392087" w:rsidP="00E21CE8">
      <w:pPr>
        <w:pStyle w:val="Odsekzoznamu"/>
        <w:numPr>
          <w:ilvl w:val="0"/>
          <w:numId w:val="22"/>
        </w:numPr>
        <w:ind w:left="851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schváli v plnej výške,</w:t>
      </w:r>
    </w:p>
    <w:p w14:paraId="035E539F" w14:textId="605EF5C1" w:rsidR="00392087" w:rsidRPr="00460912" w:rsidRDefault="00392087" w:rsidP="00E21CE8">
      <w:pPr>
        <w:pStyle w:val="Odsekzoznamu"/>
        <w:numPr>
          <w:ilvl w:val="0"/>
          <w:numId w:val="22"/>
        </w:numPr>
        <w:ind w:left="851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schváli vo výške zníženej o sumu neoprávnených výdavkov alebo</w:t>
      </w:r>
    </w:p>
    <w:p w14:paraId="54BAB3EE" w14:textId="30AA4E80" w:rsidR="00392087" w:rsidRPr="00460912" w:rsidRDefault="00392087" w:rsidP="00E21CE8">
      <w:pPr>
        <w:pStyle w:val="Odsekzoznamu"/>
        <w:numPr>
          <w:ilvl w:val="0"/>
          <w:numId w:val="22"/>
        </w:numPr>
        <w:ind w:left="851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neschváli.</w:t>
      </w:r>
    </w:p>
    <w:p w14:paraId="4EF5EC5E" w14:textId="65EF1648" w:rsidR="00392087" w:rsidRPr="00460912" w:rsidRDefault="00392087" w:rsidP="00392087">
      <w:pPr>
        <w:pStyle w:val="Odsekzoznamu"/>
        <w:numPr>
          <w:ilvl w:val="0"/>
          <w:numId w:val="21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prípade, ak bola </w:t>
      </w:r>
      <w:proofErr w:type="spellStart"/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neschválená alebo bola schválená</w:t>
      </w:r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zníženej sume, vykonávateľ zašle prijímateľovi žiadosť o vrátenie finančných prostriedkov na sumu</w:t>
      </w:r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nezúčtovanej zálohovej platby. Vykonávateľ v tomto prípade môže umožniť dodatočne zúčtovať nezúčtovanú</w:t>
      </w:r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zálohovú platbu v prípade, ak by k zúčtovaniu došlo v lehote najneskôr do ukončenia stanoveného obdobia</w:t>
      </w:r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12 mesiacov od poskytnutia zálohovej platby.</w:t>
      </w:r>
    </w:p>
    <w:p w14:paraId="4B79A817" w14:textId="249C94C1" w:rsidR="00392087" w:rsidRPr="00460912" w:rsidRDefault="00392087" w:rsidP="00392087">
      <w:pPr>
        <w:pStyle w:val="Odsekzoznamu"/>
        <w:numPr>
          <w:ilvl w:val="0"/>
          <w:numId w:val="21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Zálohová platba sa považuje za zúčtovanú, ak</w:t>
      </w:r>
    </w:p>
    <w:p w14:paraId="48CBDD34" w14:textId="0ADF1360" w:rsidR="00392087" w:rsidRPr="00460912" w:rsidRDefault="00392087" w:rsidP="00392087">
      <w:pPr>
        <w:pStyle w:val="Odsekzoznamu"/>
        <w:numPr>
          <w:ilvl w:val="0"/>
          <w:numId w:val="23"/>
        </w:numPr>
        <w:ind w:left="851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je </w:t>
      </w:r>
      <w:proofErr w:type="spellStart"/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schválené v sume poskytnutej zálohovej platby,</w:t>
      </w:r>
    </w:p>
    <w:p w14:paraId="1050C410" w14:textId="70ADC6BA" w:rsidR="00392087" w:rsidRPr="00460912" w:rsidRDefault="00392087" w:rsidP="00392087">
      <w:pPr>
        <w:pStyle w:val="Odsekzoznamu"/>
        <w:numPr>
          <w:ilvl w:val="0"/>
          <w:numId w:val="23"/>
        </w:numPr>
        <w:ind w:left="851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lastRenderedPageBreak/>
        <w:t>prijímateľ vrátil celú sumu poskytnutej zálohovej platby, resp. vrátil nezúčtovaný rozdiel poskytnutej zálohy</w:t>
      </w:r>
      <w:r w:rsidR="00F34DBD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vykonávateľovi.</w:t>
      </w:r>
    </w:p>
    <w:p w14:paraId="17B7AE90" w14:textId="77777777" w:rsidR="00F34DBD" w:rsidRPr="00460912" w:rsidRDefault="00392087" w:rsidP="00F34DB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 zaznamená v ISUF operáciu vzťahujúcu sa k zúčtovaniu zálohovej platby.</w:t>
      </w:r>
    </w:p>
    <w:p w14:paraId="1F0C9363" w14:textId="4519994D" w:rsidR="00F34DBD" w:rsidRPr="00460912" w:rsidRDefault="00F34DBD" w:rsidP="00B24D30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prípade, ak prijímateľ najneskôr do skončenia lehoty na zúčtovanie poskytnutej zálohovej platby podľa tabuľky č. 2 nepredloží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 – zúčtovanie zálohovej platby alebo nepredloží </w:t>
      </w:r>
      <w:proofErr w:type="spellStart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ŽoP</w:t>
      </w:r>
      <w:proofErr w:type="spellEnd"/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– zúčtovanie zálohovej platby v objeme dostatočnom na zúčtovanie každej jednej poskytnutej zálohovej platby, môže vykonávateľ umožniť prijímateľovi zúčtovať poskytnutú zálohovú platbu v dodatočnej lehote alebo požiadať prijímateľa o vrátenie nezúčtovanej zálohovej platby alebo nezúčtovaného rozdielu zálohovej platby. Pokiaľ vznikne prijímateľovi povinnosť vrátiť poskytnutú zálohovú platbu a prijímateľ nevráti poskytnutú zálohovú platbu z vlastnej iniciatívy, vykonávateľ vyzve prijímateľa na vrátenie a postupuje podľa kap. 4.8. Systému implementácie Plánu obnovy a odolnosti SR.</w:t>
      </w:r>
    </w:p>
    <w:p w14:paraId="2C9E129B" w14:textId="322DB2A7" w:rsidR="0097088A" w:rsidRPr="00460912" w:rsidRDefault="004D7BD4" w:rsidP="00F34DBD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Prostriedky mechanizmu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97088A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bud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</w:t>
      </w:r>
      <w:r w:rsidR="0097088A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regionálnemu partnerovi posúden</w:t>
      </w:r>
      <w:r w:rsidR="001F2D5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é</w:t>
      </w:r>
      <w:r w:rsidR="0097088A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ako oprávnen</w:t>
      </w:r>
      <w:r w:rsidR="001F2D5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é</w:t>
      </w:r>
      <w:r w:rsidR="0097088A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za predpokladu, že budú vytvorené a obsadené pracovné pozície mentorov v požadovanom počte a úväzku v regionálnom centre podľa zmluvy a mentori budú preukázateľne dosahovať požadované výsledky</w:t>
      </w:r>
      <w:r w:rsidR="00161FB0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473CA21E" w14:textId="4B0B48D8" w:rsidR="0097088A" w:rsidRPr="00460912" w:rsidRDefault="0097088A" w:rsidP="00B24D30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Finančné zúčtovanie sa vykoná raz za pol roka</w:t>
      </w:r>
      <w:r w:rsidR="00161FB0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v termíne podľa tabuľky č. 2</w:t>
      </w:r>
      <w:r w:rsidR="003E76AC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metodikou zjednodušených možností vykazovania nákladov</w:t>
      </w:r>
      <w:r w:rsidR="004D3F61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s tým, že </w:t>
      </w:r>
      <w:r w:rsidR="004D3F61" w:rsidRPr="00460912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vyplatenie mzdových nákladov mentorov sa považujú za náklady na zamestnancov, resp. priame náklady</w:t>
      </w:r>
      <w:r w:rsidR="004D3F61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v rámci prostriedkov mechanizmu. </w:t>
      </w:r>
    </w:p>
    <w:p w14:paraId="38B742F1" w14:textId="1A31FA19" w:rsidR="0097088A" w:rsidRPr="00460912" w:rsidRDefault="0097088A" w:rsidP="00B24D30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13C11A5D">
        <w:rPr>
          <w:rFonts w:ascii="Arial Narrow" w:eastAsia="Times New Roman" w:hAnsi="Arial Narrow" w:cs="Times New Roman"/>
          <w:sz w:val="22"/>
          <w:szCs w:val="22"/>
          <w:u w:val="single"/>
          <w:lang w:val="sk-SK" w:eastAsia="sk-SK"/>
        </w:rPr>
        <w:t>Nepriame náklady vypočítané s použitím  paušálnej sadzby vo výške do 40 % priamych nákladov</w:t>
      </w:r>
      <w:r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môže regionálny partner použiť bez zdôvodnenia a uvedené náklady nepodliehajú vyúčtovacej povinnosti. Zároveň však bud</w:t>
      </w:r>
      <w:r w:rsidR="008D0C09"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</w:t>
      </w:r>
      <w:r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platiť</w:t>
      </w:r>
      <w:r w:rsidR="008D0C09"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 že</w:t>
      </w:r>
      <w:r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súčet priamych nákladov a nepriamych nákladov prijímateľa nesmie prevyšovať sumu </w:t>
      </w:r>
      <w:r w:rsidR="00AA207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1910</w:t>
      </w:r>
      <w:r w:rsidR="00AA2076"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EUR</w:t>
      </w:r>
      <w:r w:rsidRPr="13C11A5D">
        <w:rPr>
          <w:rStyle w:val="Odkaznavysvetlivku"/>
          <w:rFonts w:ascii="Arial Narrow" w:eastAsia="Times New Roman" w:hAnsi="Arial Narrow" w:cs="Times New Roman"/>
          <w:sz w:val="22"/>
          <w:szCs w:val="22"/>
          <w:lang w:val="sk-SK" w:eastAsia="sk-SK"/>
        </w:rPr>
        <w:endnoteReference w:id="1"/>
      </w:r>
      <w:r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na jedno mentorské miesto a mesiac.</w:t>
      </w:r>
    </w:p>
    <w:p w14:paraId="6DE65EBF" w14:textId="03543E1B" w:rsidR="001526CF" w:rsidRPr="00460912" w:rsidRDefault="001526CF" w:rsidP="00B24D30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Priame náklady v rámci prostriedkov mechanizmu bude regionálny partner preukazovať účtovnými záznamami</w:t>
      </w:r>
      <w:r w:rsidR="00DC038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 pričom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DC038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redloží:</w:t>
      </w:r>
    </w:p>
    <w:p w14:paraId="39CDBC99" w14:textId="77777777" w:rsidR="001526CF" w:rsidRPr="00460912" w:rsidRDefault="001526CF" w:rsidP="001526CF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platné pracovné zmluvy mentorov, vrátane ich dodatkov a príloh, resp. obdobný doklad o pracovnom pomere podľa personálnej politiky prijímateľa, pokiaľ došlo k ich zmene alebo doplneniu od posledného zúčtovania,</w:t>
      </w:r>
    </w:p>
    <w:p w14:paraId="24C91320" w14:textId="77777777" w:rsidR="001526CF" w:rsidRPr="00460912" w:rsidRDefault="001526CF" w:rsidP="001526CF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dokument/dokumenty preukazujúce/potvrdzujúce kvalifikáciu mentorov, správnosť ich pracovného zaradenia, správnosť výpočtu ich mzdy, pokiaľ došlo k ich zmene alebo doplneniu od posledného zúčtovania,</w:t>
      </w:r>
    </w:p>
    <w:p w14:paraId="50EF686C" w14:textId="77777777" w:rsidR="001526CF" w:rsidRPr="00F75230" w:rsidRDefault="001526CF" w:rsidP="001526CF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menný zoznam mentorov vrátane veľkosti ich úväzku, ktorých mzda v danom období (polroku) bola</w:t>
      </w:r>
      <w:r w:rsidRPr="00F7523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financovaná z prostriedkov mechanizmu,</w:t>
      </w:r>
    </w:p>
    <w:p w14:paraId="0B85E11D" w14:textId="77777777" w:rsidR="001526CF" w:rsidRPr="00F75230" w:rsidRDefault="001526CF" w:rsidP="001526CF">
      <w:pPr>
        <w:pStyle w:val="Odsekzoznamu"/>
        <w:numPr>
          <w:ilvl w:val="0"/>
          <w:numId w:val="10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F7523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doklad o prevode prostriedkov mechanizmu formou mzdy na účet mentora.</w:t>
      </w:r>
    </w:p>
    <w:p w14:paraId="2A19BBE6" w14:textId="77777777" w:rsidR="001526CF" w:rsidRPr="00F75230" w:rsidRDefault="001526CF" w:rsidP="001526CF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F7523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Oprávnenými na preplatenie v rámci priamych nákladov sú aj dovolenky a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F7523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PN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mentorov.</w:t>
      </w:r>
    </w:p>
    <w:p w14:paraId="698FD8F6" w14:textId="570B87F6" w:rsidR="0097088A" w:rsidRPr="00F75230" w:rsidRDefault="0097088A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706BD011" w14:textId="7C4582DE" w:rsidR="0085234F" w:rsidRPr="00F75230" w:rsidRDefault="0085234F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F7523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Tabuľka č. 2: Harmonogram vyúčtovania prostriedkov mechanizmu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2645"/>
        <w:gridCol w:w="3397"/>
      </w:tblGrid>
      <w:tr w:rsidR="00F75230" w:rsidRPr="00F75230" w14:paraId="6E4CC058" w14:textId="77777777" w:rsidTr="007E1DC8">
        <w:tc>
          <w:tcPr>
            <w:tcW w:w="5665" w:type="dxa"/>
            <w:gridSpan w:val="2"/>
          </w:tcPr>
          <w:p w14:paraId="190D351D" w14:textId="1B9BA886" w:rsidR="0085234F" w:rsidRPr="00F75230" w:rsidRDefault="0085234F" w:rsidP="0085234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Vyúčtovanie zálohovej platby</w:t>
            </w:r>
          </w:p>
        </w:tc>
        <w:tc>
          <w:tcPr>
            <w:tcW w:w="3397" w:type="dxa"/>
            <w:vMerge w:val="restart"/>
            <w:vAlign w:val="center"/>
          </w:tcPr>
          <w:p w14:paraId="2ABB4B84" w14:textId="4FCC4DCE" w:rsidR="0085234F" w:rsidRPr="00F75230" w:rsidRDefault="0085234F" w:rsidP="0085234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Termín vyúčtovania poskytnutých prostriedkov</w:t>
            </w:r>
          </w:p>
        </w:tc>
      </w:tr>
      <w:tr w:rsidR="00F75230" w:rsidRPr="00F75230" w14:paraId="5AA3A48B" w14:textId="77777777" w:rsidTr="007E1DC8">
        <w:tc>
          <w:tcPr>
            <w:tcW w:w="3020" w:type="dxa"/>
            <w:vAlign w:val="center"/>
          </w:tcPr>
          <w:p w14:paraId="117BF56B" w14:textId="64E2CAC8" w:rsidR="0085234F" w:rsidRPr="00F75230" w:rsidRDefault="0085234F" w:rsidP="00F75230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za obdobie</w:t>
            </w:r>
          </w:p>
        </w:tc>
        <w:tc>
          <w:tcPr>
            <w:tcW w:w="2645" w:type="dxa"/>
            <w:vAlign w:val="center"/>
          </w:tcPr>
          <w:p w14:paraId="5B82D0AD" w14:textId="31B06AEE" w:rsidR="0085234F" w:rsidRPr="00F75230" w:rsidRDefault="0085234F" w:rsidP="00F75230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75230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výška poskytnutých prostriedkov mechanizmu</w:t>
            </w:r>
          </w:p>
        </w:tc>
        <w:tc>
          <w:tcPr>
            <w:tcW w:w="3397" w:type="dxa"/>
            <w:vMerge/>
          </w:tcPr>
          <w:p w14:paraId="448C6FA3" w14:textId="44B0DAF2" w:rsidR="0085234F" w:rsidRPr="00F75230" w:rsidRDefault="0085234F" w:rsidP="0097088A">
            <w:pPr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</w:tr>
      <w:tr w:rsidR="0016366F" w:rsidRPr="00F75230" w14:paraId="32679361" w14:textId="77777777" w:rsidTr="007E1DC8">
        <w:tc>
          <w:tcPr>
            <w:tcW w:w="3020" w:type="dxa"/>
          </w:tcPr>
          <w:p w14:paraId="37E33F84" w14:textId="121AC8B2" w:rsidR="0016366F" w:rsidRPr="00FF3A87" w:rsidRDefault="0016366F" w:rsidP="0016366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F3A87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FF3A87">
              <w:rPr>
                <w:rFonts w:ascii="Arial Narrow" w:hAnsi="Arial Narrow"/>
                <w:sz w:val="22"/>
                <w:szCs w:val="22"/>
              </w:rPr>
              <w:t xml:space="preserve">1.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FF3A87">
              <w:rPr>
                <w:rFonts w:ascii="Arial Narrow" w:hAnsi="Arial Narrow"/>
                <w:sz w:val="22"/>
                <w:szCs w:val="22"/>
              </w:rPr>
              <w:t>7. 2024 do 31. 12. 2024</w:t>
            </w:r>
          </w:p>
        </w:tc>
        <w:tc>
          <w:tcPr>
            <w:tcW w:w="2645" w:type="dxa"/>
          </w:tcPr>
          <w:p w14:paraId="24087702" w14:textId="44DD0C1D" w:rsidR="0016366F" w:rsidRPr="006657A0" w:rsidRDefault="001501DF" w:rsidP="0016366F">
            <w:pPr>
              <w:ind w:left="694"/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xxx</w:t>
            </w:r>
          </w:p>
        </w:tc>
        <w:tc>
          <w:tcPr>
            <w:tcW w:w="3397" w:type="dxa"/>
          </w:tcPr>
          <w:p w14:paraId="73CA4936" w14:textId="0000EA64" w:rsidR="0016366F" w:rsidRPr="00551195" w:rsidRDefault="0016366F" w:rsidP="0016366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hAnsi="Arial Narrow"/>
                <w:sz w:val="22"/>
                <w:szCs w:val="22"/>
              </w:rPr>
              <w:t xml:space="preserve">do 15.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551195">
              <w:rPr>
                <w:rFonts w:ascii="Arial Narrow" w:hAnsi="Arial Narrow"/>
                <w:sz w:val="22"/>
                <w:szCs w:val="22"/>
              </w:rPr>
              <w:t>1. 202</w:t>
            </w: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16366F" w:rsidRPr="00F75230" w14:paraId="6A6623DA" w14:textId="77777777" w:rsidTr="007E1DC8">
        <w:tc>
          <w:tcPr>
            <w:tcW w:w="3020" w:type="dxa"/>
          </w:tcPr>
          <w:p w14:paraId="4A8DC655" w14:textId="339BEDDC" w:rsidR="0016366F" w:rsidRPr="00FF3A87" w:rsidRDefault="0016366F" w:rsidP="0016366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FF3A87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FF3A87">
              <w:rPr>
                <w:rFonts w:ascii="Arial Narrow" w:hAnsi="Arial Narrow"/>
                <w:sz w:val="22"/>
                <w:szCs w:val="22"/>
              </w:rPr>
              <w:t xml:space="preserve">1.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FF3A87">
              <w:rPr>
                <w:rFonts w:ascii="Arial Narrow" w:hAnsi="Arial Narrow"/>
                <w:sz w:val="22"/>
                <w:szCs w:val="22"/>
              </w:rPr>
              <w:t xml:space="preserve">1. 2025 do 31.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FF3A87">
              <w:rPr>
                <w:rFonts w:ascii="Arial Narrow" w:hAnsi="Arial Narrow"/>
                <w:sz w:val="22"/>
                <w:szCs w:val="22"/>
              </w:rPr>
              <w:t>8. 2025</w:t>
            </w:r>
          </w:p>
        </w:tc>
        <w:tc>
          <w:tcPr>
            <w:tcW w:w="2645" w:type="dxa"/>
          </w:tcPr>
          <w:p w14:paraId="3BFE7968" w14:textId="6F269437" w:rsidR="0016366F" w:rsidRPr="006657A0" w:rsidRDefault="001501DF" w:rsidP="0016366F">
            <w:pPr>
              <w:ind w:left="694"/>
              <w:jc w:val="both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xxx</w:t>
            </w:r>
          </w:p>
        </w:tc>
        <w:tc>
          <w:tcPr>
            <w:tcW w:w="3397" w:type="dxa"/>
          </w:tcPr>
          <w:p w14:paraId="2C844C0C" w14:textId="3E2CAD29" w:rsidR="0016366F" w:rsidRPr="00551195" w:rsidRDefault="0016366F" w:rsidP="0016366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záverečné vyúčtovanie do 15. </w:t>
            </w:r>
            <w:r w:rsidR="005E1339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0</w:t>
            </w: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9. 2025</w:t>
            </w:r>
          </w:p>
        </w:tc>
      </w:tr>
    </w:tbl>
    <w:p w14:paraId="48DCAC07" w14:textId="77777777" w:rsidR="007E1DC8" w:rsidRDefault="007E1DC8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8B583C4" w14:textId="6421B2B8" w:rsidR="00E54112" w:rsidRPr="00F63B55" w:rsidRDefault="00F63B55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Vyúčtovanie finančných prostriedkov v termín</w:t>
      </w:r>
      <w:r w:rsidR="1836D053"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</w:t>
      </w:r>
      <w:r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do 15. </w:t>
      </w:r>
      <w:r w:rsidR="005E1339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0</w:t>
      </w:r>
      <w:r w:rsidR="00AA207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1</w:t>
      </w:r>
      <w:r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. </w:t>
      </w:r>
      <w:r w:rsidR="00AA2076"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202</w:t>
      </w:r>
      <w:r w:rsidR="00AA207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5</w:t>
      </w:r>
      <w:r w:rsidR="00AA2076"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je súčasťou </w:t>
      </w:r>
      <w:r w:rsidR="00AA207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záverečnej</w:t>
      </w:r>
      <w:r w:rsidR="00AA2076"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E54112"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monitorovac</w:t>
      </w:r>
      <w:r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ej</w:t>
      </w:r>
      <w:r w:rsidR="00E54112"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správ</w:t>
      </w:r>
      <w:r w:rsidRPr="13C11A5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y.</w:t>
      </w:r>
    </w:p>
    <w:p w14:paraId="483EAF56" w14:textId="7E942621" w:rsidR="0085234F" w:rsidRDefault="007E1DC8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F63B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 prípade, ak celková výška poskytnutých finančných prostriedkov pridelených vykonávateľom prijímateľovi podľa </w:t>
      </w:r>
      <w:r w:rsidRPr="007E1DC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počtu mentorov v regióne stanoveného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 časti </w:t>
      </w:r>
      <w:r w:rsidR="001A11A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Stanovenie výšky prostriedkov mechanizmu je vyššia ako oprávnené náklady regionálneho partnera za sledované obdobie, </w:t>
      </w:r>
      <w:r w:rsidR="009A501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postupuje sa podľa časti Vysporiadanie finančných vzťahov. </w:t>
      </w:r>
      <w:r w:rsidR="004063F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3B06D780" w14:textId="77777777" w:rsidR="0097088A" w:rsidRPr="00460912" w:rsidRDefault="0097088A" w:rsidP="0097088A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Na poskytnuté prostriedky mechanizmu sa:</w:t>
      </w:r>
    </w:p>
    <w:p w14:paraId="10860A8A" w14:textId="0AFEE20E" w:rsidR="0097088A" w:rsidRPr="00460912" w:rsidRDefault="0097088A" w:rsidP="001526CF">
      <w:pPr>
        <w:pStyle w:val="Odsekzoznamu"/>
        <w:numPr>
          <w:ilvl w:val="0"/>
          <w:numId w:val="11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neuplatňuje DPH,</w:t>
      </w:r>
      <w:r w:rsidR="00392087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B24D30" w:rsidRPr="004609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 výnimkou prípadov, keď nie je vymáhateľná podľa vnútroštátnych právnych predpisov o DPH,</w:t>
      </w:r>
    </w:p>
    <w:p w14:paraId="211C68F8" w14:textId="6CC89EAE" w:rsidR="0097088A" w:rsidRPr="001526CF" w:rsidRDefault="0097088A" w:rsidP="0097088A">
      <w:pPr>
        <w:pStyle w:val="Odsekzoznamu"/>
        <w:numPr>
          <w:ilvl w:val="0"/>
          <w:numId w:val="11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1526C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uplatňujú povinnosti vymedzené zákonom č. 343/2015 Z. z. o verejnom obstarávaní a o zmene a doplnení niektorých zákonov v znení neskorších predpisov.</w:t>
      </w:r>
    </w:p>
    <w:p w14:paraId="1E76C960" w14:textId="77777777" w:rsidR="00551195" w:rsidRPr="00551195" w:rsidRDefault="00551195" w:rsidP="00551195">
      <w:pPr>
        <w:spacing w:before="120"/>
        <w:jc w:val="both"/>
        <w:rPr>
          <w:rFonts w:ascii="Arial Narrow" w:hAnsi="Arial Narrow" w:cs="Arial"/>
          <w:b/>
          <w:sz w:val="22"/>
          <w:szCs w:val="22"/>
          <w:lang w:val="sk-SK"/>
        </w:rPr>
      </w:pPr>
      <w:r w:rsidRPr="00551195">
        <w:rPr>
          <w:rFonts w:ascii="Arial Narrow" w:hAnsi="Arial Narrow" w:cs="Arial"/>
          <w:b/>
          <w:sz w:val="22"/>
          <w:szCs w:val="22"/>
          <w:lang w:val="sk-SK"/>
        </w:rPr>
        <w:t>Oprávnenými výdavkami v rámci priamych výdavkov projektu sú:</w:t>
      </w:r>
    </w:p>
    <w:p w14:paraId="4E1835BA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610, 620  mzdy a odvody (mzdové a odvodové náklady mentorov vrátane náhrady príjmu počas PN a náhrady mzdy za dovolenku),</w:t>
      </w:r>
    </w:p>
    <w:p w14:paraId="11D1EFD9" w14:textId="77777777" w:rsidR="00551195" w:rsidRPr="00551195" w:rsidRDefault="00551195" w:rsidP="00551195">
      <w:pPr>
        <w:spacing w:before="120"/>
        <w:jc w:val="both"/>
        <w:rPr>
          <w:rFonts w:ascii="Arial Narrow" w:hAnsi="Arial Narrow" w:cs="Arial"/>
          <w:b/>
          <w:sz w:val="22"/>
          <w:szCs w:val="22"/>
          <w:lang w:val="sk-SK"/>
        </w:rPr>
      </w:pPr>
      <w:r w:rsidRPr="00551195">
        <w:rPr>
          <w:rFonts w:ascii="Arial Narrow" w:hAnsi="Arial Narrow" w:cs="Arial"/>
          <w:b/>
          <w:sz w:val="22"/>
          <w:szCs w:val="22"/>
          <w:lang w:val="sk-SK"/>
        </w:rPr>
        <w:t>Oprávnenými výdavkami v rámci nepriamych výdavkov projektu sú:</w:t>
      </w:r>
    </w:p>
    <w:p w14:paraId="3DEB120D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lastRenderedPageBreak/>
        <w:t>610, 620  mzdy a odvody (mzdové a odvodové náklady manažmentu a administratívneho personálu projektu),</w:t>
      </w:r>
    </w:p>
    <w:p w14:paraId="7E205BBA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630  tovary a služby nevyhnutné v súvislosti so zabezpečením činnosti regionálneho centra, z toho najmä:</w:t>
      </w:r>
    </w:p>
    <w:p w14:paraId="3A6BFB10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631 001 cestovné náhrady tuzemské,</w:t>
      </w:r>
    </w:p>
    <w:p w14:paraId="5B8B5E77" w14:textId="6147A1C0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 xml:space="preserve">631 002 cestovné náhrady zahraničné (v súlade so skutočnosťami v zmysle podľa bodu 1 Hlavných úloh </w:t>
      </w:r>
      <w:r>
        <w:rPr>
          <w:rFonts w:ascii="Arial Narrow" w:hAnsi="Arial Narrow" w:cs="Arial"/>
          <w:sz w:val="22"/>
          <w:szCs w:val="22"/>
          <w:lang w:val="sk-SK"/>
        </w:rPr>
        <w:t>regionálneho centra</w:t>
      </w:r>
      <w:r w:rsidRPr="00551195">
        <w:rPr>
          <w:rFonts w:ascii="Arial Narrow" w:hAnsi="Arial Narrow" w:cs="Arial"/>
          <w:sz w:val="22"/>
          <w:szCs w:val="22"/>
          <w:lang w:val="sk-SK"/>
        </w:rPr>
        <w:t xml:space="preserve"> – </w:t>
      </w:r>
      <w:proofErr w:type="spellStart"/>
      <w:r w:rsidRPr="00551195">
        <w:rPr>
          <w:rFonts w:ascii="Arial Narrow" w:hAnsi="Arial Narrow" w:cs="Arial"/>
          <w:sz w:val="22"/>
          <w:szCs w:val="22"/>
          <w:lang w:val="sk-SK"/>
        </w:rPr>
        <w:t>t.j</w:t>
      </w:r>
      <w:proofErr w:type="spellEnd"/>
      <w:r w:rsidRPr="00551195">
        <w:rPr>
          <w:rFonts w:ascii="Arial Narrow" w:hAnsi="Arial Narrow" w:cs="Arial"/>
          <w:sz w:val="22"/>
          <w:szCs w:val="22"/>
          <w:lang w:val="sk-SK"/>
        </w:rPr>
        <w:t>. zahraničné stáže mentorov),</w:t>
      </w:r>
    </w:p>
    <w:p w14:paraId="0CB3EA47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 xml:space="preserve">632 energie, voda a komunikácie </w:t>
      </w:r>
    </w:p>
    <w:p w14:paraId="6D2F609C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632 001 energie</w:t>
      </w:r>
    </w:p>
    <w:p w14:paraId="4D9A3110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632 001 vodné, stočné</w:t>
      </w:r>
    </w:p>
    <w:p w14:paraId="2F591E56" w14:textId="14153086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632 003 poštové služby a telekomunikačné služby (faxy, mobilné telefóny, poštové a kuriérske služby, spojovacie siete – internet, počítačové siete, rezortné komunikačné siete, elektronický prenos dát),</w:t>
      </w:r>
    </w:p>
    <w:p w14:paraId="08ED95D3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633 materiál, najmä:</w:t>
      </w:r>
    </w:p>
    <w:p w14:paraId="1D996532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633 001 interiérové vybavenie (na zabezpečenie pracovných podmienok pre mentorov a osôb vykonávajúcich administratívu a riadenie v súvislosti s činnosťou regionálneho centra),</w:t>
      </w:r>
    </w:p>
    <w:p w14:paraId="20CBE2B8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633 002 výpočtová technika (pre mentorov a pre zabezpečenie činností súvisiacich s administratívou a riadením regionálneho centra),</w:t>
      </w:r>
    </w:p>
    <w:p w14:paraId="48C55F1F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633 003 telekomunikačná technika (pre mentorov a pre zabezpečenie činností súvisiacich s administratívou a riadením regionálneho centra),</w:t>
      </w:r>
    </w:p>
    <w:p w14:paraId="56DEFD87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633 006 všeobecný materiál (všeobecný materiál nevyhnutný pre výkon práce, napr. kancelársky papier, tonery, a pod.),</w:t>
      </w:r>
    </w:p>
    <w:p w14:paraId="43B11902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633 009 knihy, časopisy, učebnice, učebné pomôcky a kompenzačné pomôcky,</w:t>
      </w:r>
    </w:p>
    <w:p w14:paraId="7C1929F4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633 013 softvér (nevyhnutný didaktický softvér pre činnosť mentorov),</w:t>
      </w:r>
    </w:p>
    <w:p w14:paraId="6C6B79BD" w14:textId="77777777" w:rsidR="00551195" w:rsidRPr="00551195" w:rsidRDefault="00551195" w:rsidP="00551195">
      <w:pPr>
        <w:tabs>
          <w:tab w:val="left" w:pos="567"/>
        </w:tabs>
        <w:ind w:left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635 rutinná a štandardná údržba, najmä:</w:t>
      </w:r>
    </w:p>
    <w:p w14:paraId="722A2A7D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635 001 interiérového vybavenia, (využívaného na zabezpečenie pracovných podmienok mentorov)</w:t>
      </w:r>
    </w:p>
    <w:p w14:paraId="56ACEDBA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635 002 výpočtovej techniky (používanej na činnosť mentorov a osôb vykonávajúcich administratívu a riadenie v súvislosti s činnosťou regionálneho centra),</w:t>
      </w:r>
    </w:p>
    <w:p w14:paraId="4328DD33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635 002 telekomunikačnej techniky (používanej na činnosť mentorov a osôb vykonávajúcich administratívu a riadenie v súvislosti s činnosťou regionálneho centra),</w:t>
      </w:r>
    </w:p>
    <w:p w14:paraId="11BAC532" w14:textId="77777777" w:rsidR="00551195" w:rsidRPr="00551195" w:rsidRDefault="00551195" w:rsidP="00551195">
      <w:pPr>
        <w:tabs>
          <w:tab w:val="left" w:pos="567"/>
        </w:tabs>
        <w:ind w:left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636 nájomné za prenájom, najmä:</w:t>
      </w:r>
    </w:p>
    <w:p w14:paraId="452BD692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636 001 budov, objektov alebo ich časti (na zabezpečenie pracovných podmienok pre mentorov a osoby vykonávajúce administratívu a finančné riadenie v súvislosti s činnosťou regionálneho centra),</w:t>
      </w:r>
    </w:p>
    <w:p w14:paraId="3DD37CDA" w14:textId="77777777" w:rsidR="00551195" w:rsidRPr="00551195" w:rsidRDefault="00551195" w:rsidP="00551195">
      <w:pPr>
        <w:tabs>
          <w:tab w:val="left" w:pos="567"/>
        </w:tabs>
        <w:ind w:left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637 služby, najmä:</w:t>
      </w:r>
    </w:p>
    <w:p w14:paraId="75697A8E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637 001 školenia, kurzy, semináre, porady, konferencie, sympóziá, (pre učiteľov z regiónu, okrem úhrady nákladov spojených so vzdelávaním mentorov)</w:t>
      </w:r>
    </w:p>
    <w:p w14:paraId="6A8F7EBD" w14:textId="77777777" w:rsidR="00551195" w:rsidRPr="00551195" w:rsidRDefault="00551195" w:rsidP="00551195">
      <w:pPr>
        <w:ind w:left="851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637 004 všeobecné služby,</w:t>
      </w:r>
    </w:p>
    <w:p w14:paraId="1DFDFAE5" w14:textId="77777777" w:rsidR="00551195" w:rsidRPr="00551195" w:rsidRDefault="00551195" w:rsidP="00551195">
      <w:pPr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-</w:t>
      </w:r>
      <w:r w:rsidRPr="00551195">
        <w:rPr>
          <w:rFonts w:ascii="Arial Narrow" w:hAnsi="Arial Narrow" w:cs="Arial"/>
          <w:sz w:val="22"/>
          <w:szCs w:val="22"/>
          <w:lang w:val="sk-SK"/>
        </w:rPr>
        <w:tab/>
        <w:t>a ďalšie výdavky preukázateľne spojené s činnosťou centra, s výnimkou položiek definovaných v časti Neoprávnené výdavky.</w:t>
      </w:r>
    </w:p>
    <w:p w14:paraId="424B0F74" w14:textId="77777777" w:rsidR="00FA3207" w:rsidRPr="00551195" w:rsidRDefault="00FA3207" w:rsidP="00FA3207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49CAD08" w14:textId="548DD416" w:rsidR="00FA3207" w:rsidRPr="001D7C3F" w:rsidRDefault="00FA3207" w:rsidP="00FA3207">
      <w:pPr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1D7C3F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 xml:space="preserve">Neoprávnenými výdavkami </w:t>
      </w:r>
      <w:r w:rsidR="001D7C3F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 xml:space="preserve">Projektu </w:t>
      </w:r>
      <w:r w:rsidRPr="001D7C3F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sú:</w:t>
      </w:r>
    </w:p>
    <w:p w14:paraId="19A6E838" w14:textId="153D01F8" w:rsidR="00FA3207" w:rsidRPr="00AD6E70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AD6E7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úhrada záväzkov z predchádzajúceho obdobia</w:t>
      </w:r>
      <w:r w:rsidR="004D3F6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33277DCB" w14:textId="58CBAA54" w:rsidR="00FA3207" w:rsidRPr="00AD6E70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AD6E7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úhrada výdavkov, ktoré neboli zrealizované počas platnosti </w:t>
      </w:r>
      <w:r w:rsidR="00DF150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 účinnosti </w:t>
      </w:r>
      <w:r w:rsidRPr="00AD6E7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zmluvy</w:t>
      </w:r>
      <w:r w:rsidR="004D3F6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0D11993C" w14:textId="0CE10CC9" w:rsidR="00FA3207" w:rsidRPr="00AD6E70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AD6E7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splácanie úverov, pôžičiek a úrokov z poskytnutých úverov a prijatých pôžičiek</w:t>
      </w:r>
      <w:r w:rsidR="004D3F6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77304705" w14:textId="2CD2126C" w:rsidR="00FA3207" w:rsidRPr="00AD6E70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AD6E70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úhrada výdavkov, ktoré nie sú v súlade s účelom činnosti </w:t>
      </w:r>
      <w:r w:rsidR="004D3F61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regionálneho centra,</w:t>
      </w:r>
    </w:p>
    <w:p w14:paraId="12217BD0" w14:textId="3938FD00" w:rsidR="00FA3207" w:rsidRPr="00B23C55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výdavky spojené s</w:t>
      </w:r>
      <w:r w:rsidR="004D3F61"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darmi</w:t>
      </w:r>
      <w:r w:rsidR="004D3F61"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4EDC5A29" w14:textId="24AECEA2" w:rsidR="006C34B5" w:rsidRPr="00B23C55" w:rsidRDefault="00FA3207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kapitálové výdavky</w:t>
      </w:r>
      <w:r w:rsidR="00B23C55"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581CF186" w14:textId="6826699E" w:rsidR="00B23C55" w:rsidRPr="00B23C55" w:rsidRDefault="00B23C55" w:rsidP="004B49E0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23C5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výdavky spojené so vzdelávaním mentorov, okrem nákladov súvisiacich s vyslaním na pracovnú cestu, ak ich nehradí poskytovateľ vzdelávania.</w:t>
      </w:r>
    </w:p>
    <w:p w14:paraId="399D45DA" w14:textId="77777777" w:rsidR="00FD499E" w:rsidRDefault="00FD499E" w:rsidP="00073AE8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</w:p>
    <w:p w14:paraId="5AB7A05F" w14:textId="5D69A9A0" w:rsidR="009A5015" w:rsidRPr="00C0088D" w:rsidRDefault="009A5015" w:rsidP="00073AE8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VYSPORIADANIE FINANČNÝCH VZŤAHOV</w:t>
      </w:r>
    </w:p>
    <w:p w14:paraId="5B965762" w14:textId="7ED2134A" w:rsidR="009A5015" w:rsidRPr="00C0088D" w:rsidRDefault="009A5015" w:rsidP="009A5015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2C3FFC9B" w14:textId="17588F60" w:rsidR="009A5015" w:rsidRPr="00C0088D" w:rsidRDefault="009A5015" w:rsidP="009A5015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Povinnosť vysporiadať finančné vzťahy vzniká z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titulu</w:t>
      </w:r>
    </w:p>
    <w:p w14:paraId="2DCA81A7" w14:textId="48A3CE05" w:rsidR="009A5015" w:rsidRPr="00C0088D" w:rsidRDefault="009A5015" w:rsidP="004D2F9C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finančnej opravy,</w:t>
      </w:r>
    </w:p>
    <w:p w14:paraId="113E89D2" w14:textId="20A13190" w:rsidR="009A5015" w:rsidRPr="00C0088D" w:rsidRDefault="009A5015" w:rsidP="004D2F9C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lastRenderedPageBreak/>
        <w:t>Finančná oprava sa vykonáva v prípade podvodov, korupcie a konfliktu záujmov poškodzujúcich finančné</w:t>
      </w:r>
      <w:r w:rsidR="004D2F9C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záujmy Únie, ktoré neboli členskými štátmi opravené, alebo závažného porušenia povinnosti vyplývajúcej</w:t>
      </w:r>
      <w:r w:rsidR="004D2F9C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 dohody o financovaní.</w:t>
      </w:r>
    </w:p>
    <w:p w14:paraId="2739F08B" w14:textId="1255CA89" w:rsidR="009A5015" w:rsidRPr="00C0088D" w:rsidRDefault="009A5015" w:rsidP="004D2F9C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 iných dôvodov</w:t>
      </w:r>
      <w:r w:rsidR="004D2F9C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74CDC143" w14:textId="77777777" w:rsidR="009A5015" w:rsidRPr="00C0088D" w:rsidRDefault="009A5015" w:rsidP="009A5015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 vysporiadaniu finančných vzťahov s prijímateľom pristupuje vykonávateľ najmä v nasledovných prípadoch:</w:t>
      </w:r>
    </w:p>
    <w:p w14:paraId="760F1EF8" w14:textId="6A0D6D5A" w:rsidR="009A5015" w:rsidRPr="00C0088D" w:rsidRDefault="00C0088D" w:rsidP="004D2F9C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="009A5015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nevyčerpal alebo nezúčtoval poskytnutú zálohovú platbu,</w:t>
      </w:r>
    </w:p>
    <w:p w14:paraId="5C3AF29F" w14:textId="76BC45D6" w:rsidR="009A5015" w:rsidRPr="00C0088D" w:rsidRDefault="00C0088D" w:rsidP="009A5015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="009A5015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použil poskytnuté finančné prostriedky v rozpore s uplatniteľnými predpismi SR alebo EÚ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9A5015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(napr. porušenie finančnej disciplíny),</w:t>
      </w:r>
    </w:p>
    <w:p w14:paraId="7D92712D" w14:textId="5AA74946" w:rsidR="000417A1" w:rsidRPr="00C0088D" w:rsidRDefault="00C0088D" w:rsidP="000417A1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porušil alebo nesplnil povinnosti stanovené v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Z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mluve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porušenie týchto povinností, resp. nesplnenie týchto povinností je spojené s povinnosťou vrátenia finančných</w:t>
      </w: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prostriedkov,</w:t>
      </w:r>
    </w:p>
    <w:p w14:paraId="760CCDA5" w14:textId="01C4FBB2" w:rsidR="000417A1" w:rsidRPr="00C0088D" w:rsidRDefault="00C0088D" w:rsidP="00C0088D">
      <w:pPr>
        <w:pStyle w:val="Odsekzoznamu"/>
        <w:numPr>
          <w:ilvl w:val="0"/>
          <w:numId w:val="2"/>
        </w:numPr>
        <w:ind w:left="284" w:hanging="284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regionálnemu partnerovi </w:t>
      </w:r>
      <w:r w:rsidR="000417A1" w:rsidRPr="00C0088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boli poskytnuté prostriedky z titulu mylnej platby.</w:t>
      </w:r>
    </w:p>
    <w:p w14:paraId="2C5EB094" w14:textId="77777777" w:rsidR="00C0088D" w:rsidRPr="00C44F46" w:rsidRDefault="00C0088D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28A26B7E" w14:textId="0FEEF08E" w:rsidR="000417A1" w:rsidRPr="00C44F46" w:rsidRDefault="000417A1" w:rsidP="00C0088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Finančná oprava voči </w:t>
      </w:r>
      <w:r w:rsidR="00C0088D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regionálnemu partnerovi, ako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prijímateľovi sa vykoná vrátením prostriedkov mechanizmu alebo ich časti. Sumu</w:t>
      </w:r>
      <w:r w:rsidR="00C0088D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zodpovedajúcu finančnej oprave vracia </w:t>
      </w:r>
      <w:r w:rsidR="00C0088D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na príjmový účet </w:t>
      </w:r>
      <w:r w:rsidR="00C0088D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ykonávateľa. Ak je prijímateľom</w:t>
      </w:r>
      <w:r w:rsidR="00C0088D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štátna rozpočtová organizácia, finančná oprava sa vykoná viazaním prostriedkov mechanizmu.</w:t>
      </w:r>
    </w:p>
    <w:p w14:paraId="7D04D471" w14:textId="77777777" w:rsidR="00C0088D" w:rsidRPr="00C44F46" w:rsidRDefault="00C0088D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65A49080" w14:textId="42949F67" w:rsidR="000417A1" w:rsidRPr="00C44F46" w:rsidRDefault="000417A1" w:rsidP="000B3879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súlade s § 21 ods. 4 zákona o mechanizme je 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partner, ako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 povinný vrátiť prostriedky mechanizmu alebo ich časť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postupom podľa ustanovenia § 21 ods. 5 a 6 tohto zákona a za podmienok a uvedených v zmluve o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poskytnutí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prostriedkov mechanizmu. V prípade vysporiadania finančných vzťahov na základe vlastnej iniciatívy 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regionálneho partnera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regionálny partner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oznámi túto skutočnosť vykonávateľovi a vykonávateľ zabezpečí zodpovedajúcu evidenciu v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ISUF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(informačný systém účtovníctva fondov)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2478B9D1" w14:textId="77777777" w:rsidR="000B3879" w:rsidRPr="00C44F46" w:rsidRDefault="000B3879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5F3533B" w14:textId="540E8474" w:rsidR="000417A1" w:rsidRPr="00C44F46" w:rsidRDefault="000417A1" w:rsidP="00354032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Ak má 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partner, ako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prijímateľ povinnosť vrátiť prostriedky mechanizmu alebo ich časť a </w:t>
      </w:r>
      <w:proofErr w:type="spellStart"/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nevysporiadal</w:t>
      </w:r>
      <w:proofErr w:type="spellEnd"/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ich z vlastnej iniciatívy,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vyzve 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ho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 na vrátenie prostriedkov mechanizmu alebo ich časti. V jednotlivých prípadoch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vrátenia finančných prostriedkov vykonávateľ zašle</w:t>
      </w:r>
      <w:r w:rsidR="000B3879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regionálnemu partnerovi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žiadosť o vrátenie finančných prostriedkov. Ak sa finančná oprava vykonáva z titulu porušenia finančnej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disciplíny a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 regionálny partner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 vráti prostriedky mechanizmu v lehote určenej vo výzve, penále a pokuta za porušenie</w:t>
      </w:r>
    </w:p>
    <w:p w14:paraId="419CE53C" w14:textId="4BCE89B7" w:rsidR="009A5015" w:rsidRPr="00C44F46" w:rsidRDefault="000417A1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finančnej disciplíny sa neuplatňuje.</w:t>
      </w:r>
    </w:p>
    <w:p w14:paraId="7157A571" w14:textId="53728C45" w:rsidR="000417A1" w:rsidRPr="00C44F46" w:rsidRDefault="000417A1" w:rsidP="00354032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Ak suma, ktorá sa má vrátiť, nepresiahne 40 EUR, tieto finančné prostriedky vykonávateľ od 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regionálneho partnera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neuplatňuje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nevymáha. Pokiaľ kumulatívna suma finančných prostriedkov, ktoré má prijímateľ vrátiť, presiahne 40 EUR,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 uplatní a vymáha túto úhrnnú sumu od prijímateľa.</w:t>
      </w:r>
    </w:p>
    <w:p w14:paraId="6D7278AD" w14:textId="77777777" w:rsidR="00354032" w:rsidRPr="00C44F46" w:rsidRDefault="00354032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3DBAA09C" w14:textId="64EFEAF0" w:rsidR="000417A1" w:rsidRPr="00C44F46" w:rsidRDefault="000417A1" w:rsidP="00354032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Ak 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partner, ako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 nevráti prostriedky mechanizmu alebo ich časť ani z vlastnej iniciatívy a ani na základe výzvy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vykonávateľa a povinnosť vrátiť prostriedky mechanizmu vznikla v dôsledku porušenia finančnej disciplíny,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postupuje vykonávateľ podnet Ú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radu vládneho auditu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na správne konanie vo veci porušenia finančnej disciplíny. Správcom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pohľadávky štátu z prostriedkov mechanizmu je vykonávateľ do dňa nadobudnutia právoplatnosti rozhodnutia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 porušení finančnej disciplíny. Dňom nadobudnutia právoplatnosti takéhoto rozhodnutia sa správcom pohľadávky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štátu stáva orgán, ktorý vydal rozhodnutie o porušení finančnej disciplíny. O pohľadávke štátu z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prostriedkov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mechanizmu účtuje jej správca. Odvod za porušenie finančnej disciplíny pri hospodárení s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prostriedkami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mechanizmu sa odvádza na príjmový rozpočtový účet vykonávateľa.</w:t>
      </w:r>
    </w:p>
    <w:p w14:paraId="3668663C" w14:textId="77777777" w:rsidR="00354032" w:rsidRPr="00C44F46" w:rsidRDefault="00354032" w:rsidP="000417A1">
      <w:pPr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6C8BD3D5" w14:textId="1487B627" w:rsidR="009A5015" w:rsidRPr="00C44F46" w:rsidRDefault="000417A1" w:rsidP="00354032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Ak povinnosť vrátiť prostriedky mechanizmu vznikla v dôsledku iného porušenia, uplatňuje sa vrátenie 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rostriedkov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mechanizmu </w:t>
      </w:r>
      <w:r w:rsidR="00852C7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žalobou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podľa ustanovenia § 131 </w:t>
      </w:r>
      <w:r w:rsidR="004C2FB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 </w:t>
      </w:r>
      <w:proofErr w:type="spellStart"/>
      <w:r w:rsidR="004C2FB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nasl</w:t>
      </w:r>
      <w:proofErr w:type="spellEnd"/>
      <w:r w:rsidR="004C2FB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Civilného sporového poriadku.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prípade, ak vznikne prijímateľovi povinnosť vrátiť prostriedky mechanizmu, môže vykonávateľ s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prijímateľom</w:t>
      </w:r>
      <w:r w:rsidR="00354032"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C44F4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uzavrieť dohodu o splátkach a dohodu o odklade plnenia.</w:t>
      </w:r>
    </w:p>
    <w:p w14:paraId="3CBE7A65" w14:textId="2ADA7377" w:rsidR="072C47E7" w:rsidRDefault="072C47E7" w:rsidP="072C47E7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</w:p>
    <w:p w14:paraId="6083A439" w14:textId="519047E2" w:rsidR="00E06044" w:rsidRPr="00C44F46" w:rsidRDefault="00E06044" w:rsidP="00073AE8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C44F46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M</w:t>
      </w:r>
      <w:r w:rsidR="00073AE8" w:rsidRPr="00C44F46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ONITOROVANIE A PODÁVANIE SPRÁV</w:t>
      </w:r>
    </w:p>
    <w:p w14:paraId="3E9DFC3B" w14:textId="4DE23E52" w:rsidR="00E06044" w:rsidRPr="00C44F46" w:rsidRDefault="00E06044" w:rsidP="00E06044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D15D393" w14:textId="691D7E4A" w:rsidR="00073AE8" w:rsidRDefault="00073AE8" w:rsidP="00073AE8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Základom pre monitorovanie implementácie projektu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</w:t>
      </w:r>
      <w:r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 informácie a údaje predložené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prijímateľom</w:t>
      </w:r>
      <w:r w:rsidR="003B594B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prostredníctvom Monitorovacích správ Projektu</w:t>
      </w:r>
      <w:r w:rsidR="00CF37C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, ktorého forma a obsah stanovuje Systém implementácie plánu obnovy a odolnosti SR. </w:t>
      </w:r>
    </w:p>
    <w:p w14:paraId="45DA8FA2" w14:textId="28FC5C60" w:rsidR="00073AE8" w:rsidRDefault="003B594B" w:rsidP="00073AE8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Regionálny partner predkladá Monitorovaciu správu:</w:t>
      </w:r>
    </w:p>
    <w:p w14:paraId="7470918F" w14:textId="012A24B1" w:rsidR="003B594B" w:rsidRDefault="003C6AF2" w:rsidP="003C6AF2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za účelom pravidelného získavania informácií o implementácii projektu a zabezpečenia plnenia svojich úloh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</w:t>
      </w:r>
      <w:r w:rsidR="003B594B"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termínoch určených podľa tabuľky č. 3,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alebo</w:t>
      </w:r>
    </w:p>
    <w:p w14:paraId="2FE6868B" w14:textId="2E2C4329" w:rsidR="00073AE8" w:rsidRPr="003C6AF2" w:rsidRDefault="003C6AF2" w:rsidP="00073AE8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 prípade potreby </w:t>
      </w:r>
      <w:r w:rsidR="00073AE8"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na základe vyžiadania, ktoré vykonávateľ zašle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regionálnemu partnerovi.</w:t>
      </w:r>
    </w:p>
    <w:p w14:paraId="389954A5" w14:textId="77777777" w:rsidR="00073AE8" w:rsidRPr="00073AE8" w:rsidRDefault="00073AE8" w:rsidP="00073AE8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lastRenderedPageBreak/>
        <w:t>Monitorovanie vykonávané vykonávateľom počas realizácie projektu je zamerané napr. na:</w:t>
      </w:r>
    </w:p>
    <w:p w14:paraId="3539C750" w14:textId="76ECB98B" w:rsidR="00073AE8" w:rsidRDefault="00073AE8" w:rsidP="00073AE8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to, ako je prijímateľom zabezpečená realizácia projektu a ako prijímateľ všeobecne napreduje v</w:t>
      </w:r>
      <w:r w:rsidR="003C6AF2"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implementácii</w:t>
      </w:r>
      <w:r w:rsidR="003C6AF2"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projektu a ako sú prijímateľom napĺňané ciele projektu uvedené v zmluve o poskytnutí prostriedkov</w:t>
      </w:r>
      <w:r w:rsidR="003C6AF2"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mechanizmu,</w:t>
      </w:r>
    </w:p>
    <w:p w14:paraId="04A00E0D" w14:textId="489B5EE1" w:rsidR="00073AE8" w:rsidRDefault="00073AE8" w:rsidP="00073AE8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riziká, ktoré môžu ohroziť implementáciu projektu a dosiahnutie jeho cieľov,</w:t>
      </w:r>
    </w:p>
    <w:p w14:paraId="580C1938" w14:textId="56A03A3B" w:rsidR="00073AE8" w:rsidRPr="003C6AF2" w:rsidRDefault="00073AE8" w:rsidP="00073AE8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3C6AF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plnenie iných povinností stanovených prijímateľovi v zmluve o poskytnutí prostriedkov mechanizmu.</w:t>
      </w:r>
    </w:p>
    <w:p w14:paraId="63305760" w14:textId="77777777" w:rsidR="00073AE8" w:rsidRPr="00073AE8" w:rsidRDefault="00073AE8" w:rsidP="00073AE8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súvislosti s termínmi predkladania monitorovacích správ možno monitorovacie správy projektu deliť na:</w:t>
      </w:r>
    </w:p>
    <w:p w14:paraId="5094FC81" w14:textId="2F8FAADF" w:rsidR="00073AE8" w:rsidRPr="00E54112" w:rsidRDefault="00073AE8" w:rsidP="00E54112">
      <w:pPr>
        <w:pStyle w:val="Odsekzoznamu"/>
        <w:numPr>
          <w:ilvl w:val="0"/>
          <w:numId w:val="12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E5411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priebežnú,</w:t>
      </w:r>
    </w:p>
    <w:p w14:paraId="1C617005" w14:textId="3563BAE1" w:rsidR="00E54112" w:rsidRDefault="004063F0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="00073AE8"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predkladá priebežnú monitorovaciu správu v priebehu realizácie projektu, pričom lehota</w:t>
      </w:r>
      <w:r w:rsid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073AE8"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na predloženie priebežnej monitorovacej správy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je</w:t>
      </w:r>
      <w:r w:rsidR="00073AE8" w:rsidRPr="00073AE8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naviazaná na termín predkladania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odpočtu činností podľa </w:t>
      </w:r>
      <w:r w:rsidR="00D6187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rílohy č. 2 Zmluvy.</w:t>
      </w:r>
      <w:r w:rsid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71C75F68" w14:textId="2EB2CCA4" w:rsidR="00E54112" w:rsidRPr="00E54112" w:rsidRDefault="00E54112" w:rsidP="00E54112">
      <w:pPr>
        <w:pStyle w:val="Odsekzoznamu"/>
        <w:numPr>
          <w:ilvl w:val="0"/>
          <w:numId w:val="12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E5411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záverečnú,</w:t>
      </w:r>
    </w:p>
    <w:p w14:paraId="08A41B63" w14:textId="50FE5C36" w:rsidR="00E54112" w:rsidRPr="00E54112" w:rsidRDefault="004063F0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 </w:t>
      </w:r>
      <w:r w:rsidR="00E54112" w:rsidRP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predkladá záverečnú monitorovaciu správu spolu so záverečn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ým vyúčtovaním poskytnutých prostriedkov podľa tabuľky č. 2</w:t>
      </w:r>
      <w:r w:rsidR="00E54112" w:rsidRP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1ABB4928" w14:textId="61E19221" w:rsidR="00E54112" w:rsidRPr="00E54112" w:rsidRDefault="00E54112" w:rsidP="00E54112">
      <w:pPr>
        <w:pStyle w:val="Odsekzoznamu"/>
        <w:numPr>
          <w:ilvl w:val="0"/>
          <w:numId w:val="12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E5411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následnú,</w:t>
      </w:r>
    </w:p>
    <w:p w14:paraId="3C4B615E" w14:textId="00940EBF" w:rsidR="00E54112" w:rsidRDefault="004063F0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Regionálny partner</w:t>
      </w:r>
      <w:r w:rsidR="00E54112" w:rsidRP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predkladá následnú monitorovaciu správu po ukončení realizácie projektu, t. j. po fyzickom</w:t>
      </w:r>
      <w:r w:rsid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="00E54112" w:rsidRP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finančnom ukončení projektu, v období udržateľnosti projektu.</w:t>
      </w:r>
      <w:r w:rsidR="00E5411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</w:p>
    <w:p w14:paraId="50CBB160" w14:textId="2B82CC14" w:rsidR="00E54112" w:rsidRDefault="00E54112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53DBE405" w14:textId="48162E11" w:rsidR="00CF37CA" w:rsidRDefault="00CF37CA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Tabuľka č. 3: Harmonogram predloženia monitorovacích správ</w:t>
      </w:r>
    </w:p>
    <w:tbl>
      <w:tblPr>
        <w:tblStyle w:val="Mriekatabuky"/>
        <w:tblW w:w="8783" w:type="dxa"/>
        <w:tblInd w:w="284" w:type="dxa"/>
        <w:tblLook w:val="04A0" w:firstRow="1" w:lastRow="0" w:firstColumn="1" w:lastColumn="0" w:noHBand="0" w:noVBand="1"/>
      </w:tblPr>
      <w:tblGrid>
        <w:gridCol w:w="4247"/>
        <w:gridCol w:w="4536"/>
      </w:tblGrid>
      <w:tr w:rsidR="00954CBF" w14:paraId="493AEEF8" w14:textId="77777777" w:rsidTr="00954CBF">
        <w:tc>
          <w:tcPr>
            <w:tcW w:w="4247" w:type="dxa"/>
            <w:shd w:val="clear" w:color="auto" w:fill="D9D9D9" w:themeFill="background1" w:themeFillShade="D9"/>
          </w:tcPr>
          <w:p w14:paraId="150B5A9D" w14:textId="253942D6" w:rsidR="00954CBF" w:rsidRDefault="00954CBF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Druh monitorovacej správy projektu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6F9FFB6B" w14:textId="5E9243BF" w:rsidR="00954CBF" w:rsidRDefault="00954CBF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Termín predloženia</w:t>
            </w:r>
          </w:p>
        </w:tc>
      </w:tr>
      <w:tr w:rsidR="00954CBF" w14:paraId="07C3A5F6" w14:textId="77777777" w:rsidTr="00954CBF">
        <w:tc>
          <w:tcPr>
            <w:tcW w:w="4247" w:type="dxa"/>
          </w:tcPr>
          <w:p w14:paraId="11DC66F7" w14:textId="5BE7C2AD" w:rsidR="00954CBF" w:rsidRDefault="0026364D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Záverečná</w:t>
            </w:r>
          </w:p>
        </w:tc>
        <w:tc>
          <w:tcPr>
            <w:tcW w:w="4536" w:type="dxa"/>
          </w:tcPr>
          <w:p w14:paraId="4F66C3C8" w14:textId="62552041" w:rsidR="00954CBF" w:rsidRPr="00551195" w:rsidRDefault="0026364D" w:rsidP="00954CBF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do 15. </w:t>
            </w:r>
            <w:r w:rsidR="005E1339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0</w:t>
            </w: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9. 2025</w:t>
            </w:r>
          </w:p>
        </w:tc>
      </w:tr>
      <w:tr w:rsidR="00F766F1" w14:paraId="0182EBC2" w14:textId="77777777" w:rsidTr="000F1BEA">
        <w:tc>
          <w:tcPr>
            <w:tcW w:w="4247" w:type="dxa"/>
            <w:vMerge w:val="restart"/>
            <w:vAlign w:val="center"/>
          </w:tcPr>
          <w:p w14:paraId="77C27BD8" w14:textId="1B4378F9" w:rsidR="00F766F1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Následná</w:t>
            </w:r>
          </w:p>
        </w:tc>
        <w:tc>
          <w:tcPr>
            <w:tcW w:w="4536" w:type="dxa"/>
          </w:tcPr>
          <w:p w14:paraId="7B16177C" w14:textId="76C34CE1" w:rsidR="00F766F1" w:rsidRPr="00551195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do 15. </w:t>
            </w:r>
            <w:r w:rsidR="005E1339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0</w:t>
            </w: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9. 2026</w:t>
            </w:r>
          </w:p>
        </w:tc>
      </w:tr>
      <w:tr w:rsidR="00F766F1" w14:paraId="15DF2228" w14:textId="77777777" w:rsidTr="00954CBF">
        <w:tc>
          <w:tcPr>
            <w:tcW w:w="4247" w:type="dxa"/>
            <w:vMerge/>
          </w:tcPr>
          <w:p w14:paraId="56E16443" w14:textId="77777777" w:rsidR="00F766F1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4536" w:type="dxa"/>
          </w:tcPr>
          <w:p w14:paraId="1FD051CE" w14:textId="3D6949D3" w:rsidR="00F766F1" w:rsidRPr="00551195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do 15. </w:t>
            </w:r>
            <w:r w:rsidR="005E1339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0</w:t>
            </w: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9. 2027</w:t>
            </w:r>
          </w:p>
        </w:tc>
      </w:tr>
      <w:tr w:rsidR="00F766F1" w14:paraId="3A6F796F" w14:textId="77777777" w:rsidTr="00954CBF">
        <w:tc>
          <w:tcPr>
            <w:tcW w:w="4247" w:type="dxa"/>
            <w:vMerge/>
          </w:tcPr>
          <w:p w14:paraId="278C6673" w14:textId="77777777" w:rsidR="00F766F1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4536" w:type="dxa"/>
          </w:tcPr>
          <w:p w14:paraId="504321AB" w14:textId="0B4207AF" w:rsidR="00F766F1" w:rsidRPr="00551195" w:rsidRDefault="00F766F1" w:rsidP="003C18D1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 xml:space="preserve">do 15. </w:t>
            </w:r>
            <w:r w:rsidR="005E1339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0</w:t>
            </w:r>
            <w:r w:rsidRPr="00551195"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  <w:t>9. 2028</w:t>
            </w:r>
          </w:p>
        </w:tc>
      </w:tr>
      <w:tr w:rsidR="00F766F1" w14:paraId="0F10115D" w14:textId="77777777" w:rsidTr="00954CBF">
        <w:tc>
          <w:tcPr>
            <w:tcW w:w="4247" w:type="dxa"/>
            <w:vMerge/>
          </w:tcPr>
          <w:p w14:paraId="4B94364A" w14:textId="77777777" w:rsidR="00F766F1" w:rsidRDefault="00F766F1" w:rsidP="000F1BEA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4536" w:type="dxa"/>
          </w:tcPr>
          <w:p w14:paraId="0FF397B7" w14:textId="7F2D8ADA" w:rsidR="00F766F1" w:rsidRPr="00551195" w:rsidRDefault="00F766F1" w:rsidP="000F1BEA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hAnsi="Arial Narrow"/>
                <w:sz w:val="22"/>
                <w:szCs w:val="22"/>
              </w:rPr>
              <w:t xml:space="preserve">do 15.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551195">
              <w:rPr>
                <w:rFonts w:ascii="Arial Narrow" w:hAnsi="Arial Narrow"/>
                <w:sz w:val="22"/>
                <w:szCs w:val="22"/>
              </w:rPr>
              <w:t>9. 2029</w:t>
            </w:r>
          </w:p>
        </w:tc>
      </w:tr>
      <w:tr w:rsidR="00F766F1" w14:paraId="62695AD8" w14:textId="77777777" w:rsidTr="00954CBF">
        <w:tc>
          <w:tcPr>
            <w:tcW w:w="4247" w:type="dxa"/>
            <w:vMerge/>
          </w:tcPr>
          <w:p w14:paraId="4B9D3703" w14:textId="77777777" w:rsidR="00F766F1" w:rsidRDefault="00F766F1" w:rsidP="000F1BEA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</w:p>
        </w:tc>
        <w:tc>
          <w:tcPr>
            <w:tcW w:w="4536" w:type="dxa"/>
          </w:tcPr>
          <w:p w14:paraId="69544F0B" w14:textId="1134DBF0" w:rsidR="00F766F1" w:rsidRPr="00551195" w:rsidRDefault="00F766F1" w:rsidP="000F1BEA">
            <w:pPr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sk-SK" w:eastAsia="sk-SK"/>
              </w:rPr>
            </w:pPr>
            <w:r w:rsidRPr="00551195">
              <w:rPr>
                <w:rFonts w:ascii="Arial Narrow" w:hAnsi="Arial Narrow"/>
                <w:sz w:val="22"/>
                <w:szCs w:val="22"/>
              </w:rPr>
              <w:t xml:space="preserve">do 15. </w:t>
            </w:r>
            <w:r w:rsidR="005E1339">
              <w:rPr>
                <w:rFonts w:ascii="Arial Narrow" w:hAnsi="Arial Narrow"/>
                <w:sz w:val="22"/>
                <w:szCs w:val="22"/>
              </w:rPr>
              <w:t>0</w:t>
            </w:r>
            <w:r w:rsidRPr="00551195">
              <w:rPr>
                <w:rFonts w:ascii="Arial Narrow" w:hAnsi="Arial Narrow"/>
                <w:sz w:val="22"/>
                <w:szCs w:val="22"/>
              </w:rPr>
              <w:t>9. 2030</w:t>
            </w:r>
          </w:p>
        </w:tc>
      </w:tr>
    </w:tbl>
    <w:p w14:paraId="15F21054" w14:textId="77777777" w:rsidR="00CF37CA" w:rsidRDefault="00CF37CA" w:rsidP="00E5411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40EB9F01" w14:textId="66D6BEE5" w:rsidR="00CF37CA" w:rsidRDefault="0026364D" w:rsidP="0026364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 rámci Monitorovacej správy požaduje vykonávateľ poskytnúť nasledovné údaje:</w:t>
      </w:r>
    </w:p>
    <w:p w14:paraId="11E36210" w14:textId="25C16748" w:rsidR="00CF37CA" w:rsidRDefault="003C18D1" w:rsidP="0026364D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</w:t>
      </w:r>
      <w:r w:rsidR="00CF37CA" w:rsidRPr="0026364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ákladné údaje o</w:t>
      </w:r>
      <w:r w:rsid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regionálnom partnerovi</w:t>
      </w:r>
      <w:r w:rsidR="00CF37CA" w:rsidRPr="0026364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5B35AD11" w14:textId="04CFF070" w:rsidR="00CF37CA" w:rsidRDefault="00CF37CA" w:rsidP="0095429C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číslo a názov projektu,</w:t>
      </w:r>
    </w:p>
    <w:p w14:paraId="353D5A4A" w14:textId="5861929A" w:rsidR="00CF37CA" w:rsidRDefault="00CF37CA" w:rsidP="0095429C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obdobie, za ktoré sa monitorovacia správa predkladá,</w:t>
      </w:r>
    </w:p>
    <w:p w14:paraId="3E8B8B37" w14:textId="62B81530" w:rsidR="00CF37CA" w:rsidRDefault="00CF37CA" w:rsidP="0095429C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popis vykonaných činností súvisiacich s realizáciou projektu počas monitorovaného obdobia</w:t>
      </w:r>
      <w:r w:rsid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(odpočet činností)</w:t>
      </w: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</w:p>
    <w:p w14:paraId="0A68A07D" w14:textId="1C5A1436" w:rsidR="00CF37CA" w:rsidRDefault="00CF37CA" w:rsidP="0095429C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identifikované problémy, riziká, prípadne prijaté opatrenia na ich odstránenie a ďalšie informácie,</w:t>
      </w:r>
    </w:p>
    <w:p w14:paraId="6B755DA6" w14:textId="34C22344" w:rsidR="00CF37CA" w:rsidRDefault="00CF37CA" w:rsidP="00CF37CA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priebeh implementácie (podľa plánu / v omeškaní), pričom v prípade omeškania sa v monitorovacej správe</w:t>
      </w:r>
      <w:r w:rsidR="0095429C"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95429C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projektu uvádza aj zdôvodnenie omeškania,</w:t>
      </w:r>
    </w:p>
    <w:p w14:paraId="7BC53800" w14:textId="7531E6C6" w:rsidR="00CF37CA" w:rsidRPr="000F1BEA" w:rsidRDefault="00CF37CA" w:rsidP="00CF37CA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popis plánovaných činností v nasledujúcom monitorovacom období, pričom v prípade indikovaného</w:t>
      </w:r>
      <w:r w:rsidR="00B36C5F"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omeškania sa osobitne uvedú plánované činnosti, ktorými sa zabezpečí realizácia projektu v</w:t>
      </w:r>
      <w:r w:rsidR="00B36C5F"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požadovanom</w:t>
      </w:r>
      <w:r w:rsidR="00B36C5F"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F1BE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termíne,</w:t>
      </w:r>
    </w:p>
    <w:p w14:paraId="58024120" w14:textId="1C25730E" w:rsidR="00CF37CA" w:rsidRDefault="00CF37CA" w:rsidP="00B36C5F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suma finančných prostriedkov podľa zdrojov financovania alokovaná na realizáciu projektu celkom,</w:t>
      </w:r>
    </w:p>
    <w:p w14:paraId="50E1AB3F" w14:textId="5CBE82FA" w:rsidR="00CF37CA" w:rsidRDefault="00CF37CA" w:rsidP="00CF37CA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finančné prostriedky použité na realizáciu projektu podľa zdrojov financovania v predchádzajúcich obdobiach,</w:t>
      </w:r>
      <w:r w:rsidR="00B36C5F"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 monitorovacom období a celkom kumulatívne v EUR a % z celkovej alokácie,</w:t>
      </w:r>
    </w:p>
    <w:p w14:paraId="7C73800D" w14:textId="109867E0" w:rsidR="00CF37CA" w:rsidRDefault="00CF37CA" w:rsidP="00B36C5F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zoznam príloh,</w:t>
      </w:r>
    </w:p>
    <w:p w14:paraId="76046FB3" w14:textId="6DFDC03C" w:rsidR="00CF37CA" w:rsidRDefault="00CF37CA" w:rsidP="00B36C5F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vyhlásenie o úplnosti, presnosti a správnosti údajov uvedených v monitorovacej správe,</w:t>
      </w:r>
    </w:p>
    <w:p w14:paraId="233E2555" w14:textId="013B4EC1" w:rsidR="00CF37CA" w:rsidRPr="00B36C5F" w:rsidRDefault="00CF37CA" w:rsidP="00B36C5F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miesto a dátum podpisu, meno, priezvisko, funkcia a podpis štatutárneho orgánu prijímateľa.</w:t>
      </w:r>
    </w:p>
    <w:p w14:paraId="60288FC7" w14:textId="5B127CFC" w:rsidR="00B36C5F" w:rsidRPr="00BC3075" w:rsidRDefault="00CF37CA" w:rsidP="00B36C5F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CF37CA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Rozsah údajov poskytovaných </w:t>
      </w:r>
      <w:r w:rsid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regionálnym partnerom poskytne vykonávateľ vo vzore Monitorovacej správy, zostavenej podľa odporúčaní v Systéme implementácie Plánu obnovy a odolnosti SR</w:t>
      </w:r>
      <w:r w:rsidR="00B81C2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, ktorý </w:t>
      </w:r>
      <w:r w:rsidR="00B36C5F" w:rsidRPr="00B36C5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zašle vykonávateľ </w:t>
      </w:r>
      <w:r w:rsidR="00B36C5F"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regionálnemu partnerovi do 30. 11. 202</w:t>
      </w:r>
      <w:r w:rsidR="00BC3075"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3</w:t>
      </w:r>
      <w:r w:rsidR="00B36C5F" w:rsidRPr="00BC307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.</w:t>
      </w:r>
    </w:p>
    <w:p w14:paraId="43DC4A15" w14:textId="59D59C9E" w:rsidR="00B81C26" w:rsidRDefault="00B81C26" w:rsidP="00B81C26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</w:t>
      </w:r>
      <w:r w:rsidRPr="00B81C2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prípade, ak na základe údajov získaných z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M</w:t>
      </w:r>
      <w:r w:rsidRPr="00B81C2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onitorovacej správy projektu vykonávateľ identifikuje nejasnosti,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81C2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vyzve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regionálneho partnera </w:t>
      </w:r>
      <w:r w:rsidRPr="00B81C26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na poskytnutie vysvetlenia alebo doplnenia monitorovacej správy.</w:t>
      </w:r>
    </w:p>
    <w:p w14:paraId="723E182A" w14:textId="77777777" w:rsidR="001A04A0" w:rsidRDefault="001A04A0" w:rsidP="00B30F6D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</w:p>
    <w:p w14:paraId="1EF19059" w14:textId="6C040B9B" w:rsidR="00267343" w:rsidRPr="00B30F6D" w:rsidRDefault="00B30F6D" w:rsidP="00B30F6D">
      <w:pPr>
        <w:jc w:val="center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B30F6D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KONTROLA</w:t>
      </w:r>
    </w:p>
    <w:p w14:paraId="411DB957" w14:textId="2C5C15C0" w:rsidR="00B30F6D" w:rsidRDefault="00B30F6D" w:rsidP="00B81C26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</w:p>
    <w:p w14:paraId="1A094B07" w14:textId="36530DC3" w:rsidR="00B30F6D" w:rsidRPr="00B30F6D" w:rsidRDefault="00B30F6D" w:rsidP="00B30F6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Účelom kontroly, ktorá sa vykonáva pri implementácii Plánu obnovy</w:t>
      </w:r>
      <w:r w:rsidR="004602E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,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je zabezpečiť potrebné uistenie, že sa všetky</w:t>
      </w:r>
    </w:p>
    <w:p w14:paraId="71901A97" w14:textId="77777777" w:rsidR="00B30F6D" w:rsidRPr="00B30F6D" w:rsidRDefault="00B30F6D" w:rsidP="00B30F6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opatrenia v rámci Plánu obnovy riadne vykonávajú a prostriedky mechanizmu sú spravované v súlade so všetkými</w:t>
      </w:r>
    </w:p>
    <w:p w14:paraId="0560F05B" w14:textId="723F3B36" w:rsidR="00B30F6D" w:rsidRDefault="00B30F6D" w:rsidP="00B30F6D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uplatniteľnými predpismi, najmä pokiaľ ide o predchádzanie konfliktom záujmov, podvodom a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korupcii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predchádzanie dvojitému financovaniu z prostriedkov mechanizmu a iných prostriedkov EÚ a iných nástrojov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lastRenderedPageBreak/>
        <w:t>finančnej pomoci poskytnutej SR zo zahraničia, ako aj s inými verejnými prostriedkami a v súlade so zásadou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správneho finančného riadenia.</w:t>
      </w:r>
    </w:p>
    <w:p w14:paraId="7962E43E" w14:textId="635DB406" w:rsidR="00B30F6D" w:rsidRDefault="00B30F6D" w:rsidP="00551195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Pri implementácii Plánu obnovy sa uplatní systém kontrol upravený zákonom o finančnej kontrole. Finančnú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kontrolu sú priamo v zmysle tohto zákona povinné vykonávať všetky subjekty, ktoré zabezpečujú implementáciu</w:t>
      </w:r>
      <w:r w:rsidR="00D1714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Plánu obnovy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: </w:t>
      </w:r>
      <w:r w:rsidRPr="00B30F6D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NIKA, vykonávateľ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 </w:t>
      </w:r>
      <w:r w:rsidR="00D1714F" w:rsidRPr="00D1714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osoba vykonávajúca finančné nástroje</w:t>
      </w:r>
      <w:r w:rsidR="00D1714F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(prostredníctvom ktorej sa poskytujú verejné prostriedky). Pri vykonávaní finančnej kontroly sa postupuje podľa všeobecne platných právnych predpisov a Systému implementácie Plánu obnovy a odolnosti SR.</w:t>
      </w:r>
    </w:p>
    <w:p w14:paraId="3BE2BF14" w14:textId="32C287F0" w:rsidR="001E513E" w:rsidRPr="001E513E" w:rsidRDefault="001E513E" w:rsidP="00551195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inančná kontrola sa podľa zákona o finančnej kontrole vykonáva ako:</w:t>
      </w:r>
    </w:p>
    <w:p w14:paraId="04C92C13" w14:textId="7D3FC28D" w:rsidR="001E513E" w:rsidRPr="001E513E" w:rsidRDefault="001E513E" w:rsidP="001E513E">
      <w:pPr>
        <w:pStyle w:val="Odsekzoznamu"/>
        <w:numPr>
          <w:ilvl w:val="0"/>
          <w:numId w:val="13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1E513E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základná finančná kontrola,</w:t>
      </w:r>
    </w:p>
    <w:p w14:paraId="314D1AA2" w14:textId="547382FF" w:rsidR="00D1714F" w:rsidRDefault="001E513E" w:rsidP="001E513E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Základná finančná kontrola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sa vykonáva povinne v súvislosti s každou finančnou operáciou alebo jej časťou do vnútra orgánu verejnej správy, ktorý túto kontrolu vykonáva. Jej cieľom je posúdiť,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či vo finančnej operácii alebo jej časti možno alebo nemožno pokračovať, či finančnú operáciu možno vykonať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alebo nemožno vykonať, alebo či je alebo nie je potrebné vymáhať poskytnuté plnenie, ak sa finančná operácia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alebo jej časť už vykonala.</w:t>
      </w:r>
    </w:p>
    <w:p w14:paraId="3EAC0106" w14:textId="413DE01C" w:rsidR="001E513E" w:rsidRPr="001E513E" w:rsidRDefault="001E513E" w:rsidP="001E513E">
      <w:pPr>
        <w:pStyle w:val="Odsekzoznamu"/>
        <w:numPr>
          <w:ilvl w:val="0"/>
          <w:numId w:val="13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1E513E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administratívna finančná kontrola,</w:t>
      </w:r>
    </w:p>
    <w:p w14:paraId="2478DDF9" w14:textId="59DE19C4" w:rsidR="001E513E" w:rsidRPr="001E513E" w:rsidRDefault="001E513E" w:rsidP="000C4DE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Administratívna finančná kontrola sa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vykonáva povinne, avšak len v súvislosti s finančnou operáciou alebo jej časťou, ktorá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predstavuje poskytnutie verejných financií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a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začína prvým úkonom povinnej osoby voči oprávnenej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osobe, pričom sa ukončí najneskôr pred zrealizovaním platby alebo zúčtovaním platby. 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Administratívna finančná kontrola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je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skončená dňom zaslania správy z 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kontroly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povinnej osobe.</w:t>
      </w:r>
    </w:p>
    <w:p w14:paraId="4BE8534D" w14:textId="574F3DB3" w:rsidR="001E513E" w:rsidRPr="000C4DE2" w:rsidRDefault="001E513E" w:rsidP="000C4DE2">
      <w:pPr>
        <w:pStyle w:val="Odsekzoznamu"/>
        <w:numPr>
          <w:ilvl w:val="0"/>
          <w:numId w:val="13"/>
        </w:numPr>
        <w:ind w:left="284" w:hanging="284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</w:pPr>
      <w:r w:rsidRPr="000C4DE2">
        <w:rPr>
          <w:rFonts w:ascii="Arial Narrow" w:eastAsia="Times New Roman" w:hAnsi="Arial Narrow" w:cs="Times New Roman"/>
          <w:b/>
          <w:bCs/>
          <w:sz w:val="22"/>
          <w:szCs w:val="22"/>
          <w:lang w:val="sk-SK" w:eastAsia="sk-SK"/>
        </w:rPr>
        <w:t>finančná kontrola na mieste.</w:t>
      </w:r>
    </w:p>
    <w:p w14:paraId="19404FE1" w14:textId="60BA16DB" w:rsidR="00D1714F" w:rsidRDefault="001E513E" w:rsidP="000C4DE2">
      <w:pPr>
        <w:ind w:left="284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Vykonanie 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finančnej kontroly na mieste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je fakultatívne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;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je potrebné vykonať v prípade, ak nie je možné tzv. „od stola“ preveriť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zistiť skutočnosti, ktoré sa považujú za potrebné na účely overenia finančnej operácie alebo jej časti. F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inančná kontrola na mieste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začína prvým úkonom oprávnenej osoby voči povinnej osobe a je skončená dňom zaslania správy z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 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finančnej</w:t>
      </w:r>
      <w:r w:rsidR="000C4DE2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1E513E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kontroly na mieste povinnej osobe.</w:t>
      </w:r>
    </w:p>
    <w:p w14:paraId="565E0471" w14:textId="77777777" w:rsidR="009032C5" w:rsidRPr="009032C5" w:rsidRDefault="009032C5" w:rsidP="00551195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9032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Vykonávanými kontrolami sa zabezpečí najmä overenie, či investície a reformy boli zrealizované, či míľniky a ciele</w:t>
      </w:r>
    </w:p>
    <w:p w14:paraId="64EBBFAC" w14:textId="4FC9D504" w:rsidR="009032C5" w:rsidRDefault="009032C5" w:rsidP="009032C5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boli splnené a ich dosahovanie správne vykázané a reportované, či všetky uplatniteľné pravidlá boli dodržané</w:t>
      </w:r>
      <w:r w:rsidR="00551195"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prostriedky mechanizmu boli použité na stanovený účel. NIKA a vykonávateľ pritom aktívne overujú aj možný</w:t>
      </w:r>
      <w:r w:rsidR="00551195"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výskyt závažných nezrovnalostí, akými sú najmä podvod, korupcia, konflikt záujmov alebo dvojité financovanie</w:t>
      </w:r>
      <w:r w:rsidR="00551195"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 prostriedkov mechanizmu a iných prostriedkov EÚ a iných nástrojov finančnej pomoci poskytnutej SR</w:t>
      </w:r>
      <w:r w:rsidR="00551195"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zo zahraničia. Predchádzanie dvojitému financovaniu je potrebné zabezpečiť aj v súvislosti s inými verejnými</w:t>
      </w:r>
      <w:r w:rsidR="00551195"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prostriedkami. Pre tento účel NIKA a vykonávateľ využívajú všetky dostupné údaje a informácie, vrátane</w:t>
      </w:r>
      <w:r w:rsidR="00551195"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72C47E7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informačného systému ARACHNE.</w:t>
      </w:r>
    </w:p>
    <w:p w14:paraId="4CD9CC49" w14:textId="6C311DDA" w:rsidR="00037BC5" w:rsidRPr="00037BC5" w:rsidRDefault="00037BC5" w:rsidP="00551195">
      <w:pPr>
        <w:spacing w:before="120"/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V súvislosti s overovaním možného dvojitého financovania sa v rámci kontroly overuje, či 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regionálny partner, ako </w:t>
      </w: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prijímateľ</w:t>
      </w:r>
      <w:r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nefinancuje projekt zároveň viacerými formami podpory. Za týmto účelom budú využívané existujúce informačné</w:t>
      </w:r>
      <w:r w:rsidR="007C1EF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systémy verejnej správy a prípadne aj ďalšie verejne prístupné informácie o prijímateľoch, príspevkoch</w:t>
      </w:r>
    </w:p>
    <w:p w14:paraId="3636CBB9" w14:textId="13842A14" w:rsidR="00037BC5" w:rsidRDefault="00037BC5" w:rsidP="00037BC5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a podporovaných projektoch. V prípade potreby sa pri kontrole dvojitého financovania bude vyžadovať súčinnosť</w:t>
      </w:r>
      <w:r w:rsidR="007C1EF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 </w:t>
      </w:r>
      <w:r w:rsidRPr="00037BC5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>inej osoby</w:t>
      </w:r>
      <w:r w:rsidR="007C1EF4">
        <w:rPr>
          <w:rFonts w:ascii="Arial Narrow" w:eastAsia="Times New Roman" w:hAnsi="Arial Narrow" w:cs="Times New Roman"/>
          <w:sz w:val="22"/>
          <w:szCs w:val="22"/>
          <w:lang w:val="sk-SK" w:eastAsia="sk-SK"/>
        </w:rPr>
        <w:t xml:space="preserve">. </w:t>
      </w:r>
    </w:p>
    <w:p w14:paraId="6D90F8A5" w14:textId="4BE7AAC2" w:rsidR="00551195" w:rsidRPr="00551195" w:rsidRDefault="00551195" w:rsidP="00551195">
      <w:pPr>
        <w:spacing w:before="120" w:line="259" w:lineRule="auto"/>
        <w:jc w:val="both"/>
        <w:rPr>
          <w:rFonts w:ascii="Arial Narrow" w:hAnsi="Arial Narrow" w:cs="Arial"/>
          <w:b/>
          <w:sz w:val="22"/>
          <w:szCs w:val="22"/>
          <w:lang w:val="sk-SK"/>
        </w:rPr>
      </w:pPr>
      <w:r w:rsidRPr="00551195">
        <w:rPr>
          <w:rFonts w:ascii="Arial Narrow" w:hAnsi="Arial Narrow" w:cs="Arial"/>
          <w:b/>
          <w:sz w:val="22"/>
          <w:szCs w:val="22"/>
          <w:lang w:val="sk-SK"/>
        </w:rPr>
        <w:t>Spôsob výkonu kontroly</w:t>
      </w:r>
    </w:p>
    <w:p w14:paraId="6D9FC421" w14:textId="4E0512DE" w:rsidR="00551195" w:rsidRPr="00551195" w:rsidRDefault="00551195" w:rsidP="00551195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Prostriedky mechanizmu budú prijímateľovi uhrádzané na základe harmonogramu stanoveného v </w:t>
      </w:r>
      <w:r w:rsidR="0022087E">
        <w:rPr>
          <w:rFonts w:ascii="Arial Narrow" w:hAnsi="Arial Narrow" w:cs="Arial"/>
          <w:sz w:val="22"/>
          <w:szCs w:val="22"/>
          <w:lang w:val="sk-SK"/>
        </w:rPr>
        <w:t>T</w:t>
      </w:r>
      <w:r w:rsidRPr="00551195">
        <w:rPr>
          <w:rFonts w:ascii="Arial Narrow" w:hAnsi="Arial Narrow" w:cs="Arial"/>
          <w:sz w:val="22"/>
          <w:szCs w:val="22"/>
          <w:lang w:val="sk-SK"/>
        </w:rPr>
        <w:t>abuľke č. 1. Prijímateľ má povinnosť:</w:t>
      </w:r>
    </w:p>
    <w:p w14:paraId="25342AD7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v rámci zúčtovania zálohovej platby zdokladovať skutočne zamestnaných mentorov, ktorých mzdy ako priame náklady sú hradené na mesačnej báze,</w:t>
      </w:r>
    </w:p>
    <w:p w14:paraId="5D5C2F87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za účelom kontroly splnenia podmienok oprávnenosti výdavkov zabezpečiť vo svojom účtovníctve samostatné nákladové stredisko/samostatnú analytickú evidenciu príjmov a výdavkov spojených s prostriedkami mechanizmu v členení z hľadiska potrieb rozpočtového a finančného riadenia účtovnej jednotky,</w:t>
      </w:r>
    </w:p>
    <w:p w14:paraId="34983B70" w14:textId="77777777" w:rsidR="00551195" w:rsidRPr="00551195" w:rsidRDefault="00551195" w:rsidP="00551195">
      <w:pPr>
        <w:pStyle w:val="Odsekzoznamu"/>
        <w:numPr>
          <w:ilvl w:val="0"/>
          <w:numId w:val="14"/>
        </w:numPr>
        <w:spacing w:before="120"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bookmarkStart w:id="3" w:name="_Hlk95386074"/>
      <w:r w:rsidRPr="00551195">
        <w:rPr>
          <w:rFonts w:ascii="Arial Narrow" w:hAnsi="Arial Narrow" w:cs="Arial"/>
          <w:sz w:val="22"/>
          <w:szCs w:val="22"/>
          <w:lang w:val="sk-SK"/>
        </w:rPr>
        <w:t>postupovať v súlade s povinnosťami vyplývajúcimi z osobitných predpisov</w:t>
      </w:r>
      <w:bookmarkEnd w:id="3"/>
      <w:r w:rsidRPr="00551195">
        <w:rPr>
          <w:rFonts w:ascii="Arial Narrow" w:hAnsi="Arial Narrow" w:cs="Arial"/>
          <w:sz w:val="22"/>
          <w:szCs w:val="22"/>
          <w:lang w:val="sk-SK"/>
        </w:rPr>
        <w:t xml:space="preserve"> (napr. zákon č. 343/2015 Z. z. o verejnom obstarávaní a o zmene a doplnení niektorých zákonov v znení neskorších predpisov, zákon č. 431/2002 Z. z. o účtovníctve v znení neskorších predpisov, zákon č. 523/2004 Z. z. o rozpočtových pravidlách verejnej správy a o zmene a doplnení niektorých zákonov v znení neskorších predpisov. </w:t>
      </w:r>
    </w:p>
    <w:p w14:paraId="4F2D1905" w14:textId="77777777" w:rsidR="00551195" w:rsidRPr="00551195" w:rsidRDefault="00551195" w:rsidP="00551195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u w:val="single"/>
          <w:lang w:val="sk-SK"/>
        </w:rPr>
        <w:t>Prijímateľ raz za polrok</w:t>
      </w:r>
      <w:r w:rsidRPr="00551195">
        <w:rPr>
          <w:rFonts w:ascii="Arial Narrow" w:hAnsi="Arial Narrow" w:cs="Arial"/>
          <w:sz w:val="22"/>
          <w:szCs w:val="22"/>
          <w:lang w:val="sk-SK"/>
        </w:rPr>
        <w:t xml:space="preserve"> v čase stanovenom v zmluve, alebo okamžite pri každej zmene predloží vykonávateľovi:</w:t>
      </w:r>
    </w:p>
    <w:p w14:paraId="1025ACC9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 xml:space="preserve">platné pracovné zmluvy mentorov, prípadne ich dodatky, resp. obdobný doklad o pracovnom pomere podľa personálnej politiky prijímateľa, </w:t>
      </w:r>
    </w:p>
    <w:p w14:paraId="106257F1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lastRenderedPageBreak/>
        <w:t>dokument/dokumenty preukazujúce/potvrdzujúce kvalifikáciu mentorov, správnosť ich pracovného zaradenia, správnosť výpočtu ich mzdy a doklad o prevode prostriedkov mechanizmu formou mzdy na ich účet,</w:t>
      </w:r>
    </w:p>
    <w:p w14:paraId="27D45F84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menný zoznam mentorov vrátane veľkosti ich úväzku, ktorých mzda v danom období (polroku) bola financovaná z prostriedkov mechanizmu.</w:t>
      </w:r>
    </w:p>
    <w:p w14:paraId="19610FD1" w14:textId="77777777" w:rsidR="00551195" w:rsidRPr="00551195" w:rsidRDefault="00551195" w:rsidP="00551195">
      <w:pPr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 xml:space="preserve">Vykonávateľ predložené dokumenty skontroluje </w:t>
      </w:r>
      <w:r w:rsidRPr="00551195">
        <w:rPr>
          <w:rFonts w:ascii="Arial Narrow" w:hAnsi="Arial Narrow" w:cs="Arial"/>
          <w:sz w:val="22"/>
          <w:szCs w:val="22"/>
          <w:u w:val="single"/>
          <w:lang w:val="sk-SK"/>
        </w:rPr>
        <w:t>v rámci administratívnej finančnej kontroly</w:t>
      </w:r>
      <w:r w:rsidRPr="00551195">
        <w:rPr>
          <w:rFonts w:ascii="Arial Narrow" w:hAnsi="Arial Narrow" w:cs="Arial"/>
          <w:sz w:val="22"/>
          <w:szCs w:val="22"/>
          <w:lang w:val="sk-SK"/>
        </w:rPr>
        <w:t>.</w:t>
      </w:r>
    </w:p>
    <w:p w14:paraId="3BA875A1" w14:textId="62D19592" w:rsidR="00551195" w:rsidRPr="00551195" w:rsidRDefault="00551195" w:rsidP="00551195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13C11A5D">
        <w:rPr>
          <w:rFonts w:ascii="Arial Narrow" w:hAnsi="Arial Narrow" w:cs="Arial"/>
          <w:sz w:val="22"/>
          <w:szCs w:val="22"/>
          <w:u w:val="single"/>
          <w:lang w:val="sk-SK"/>
        </w:rPr>
        <w:t>Prijímateľ raz ročne</w:t>
      </w:r>
      <w:r w:rsidRPr="13C11A5D">
        <w:rPr>
          <w:rFonts w:ascii="Arial Narrow" w:hAnsi="Arial Narrow" w:cs="Arial"/>
          <w:sz w:val="22"/>
          <w:szCs w:val="22"/>
          <w:lang w:val="sk-SK"/>
        </w:rPr>
        <w:t xml:space="preserve"> v čase stanovenom v zmluve a </w:t>
      </w:r>
      <w:r w:rsidR="51AD5AB0" w:rsidRPr="13C11A5D">
        <w:rPr>
          <w:rFonts w:ascii="Arial Narrow" w:hAnsi="Arial Narrow" w:cs="Arial"/>
          <w:sz w:val="22"/>
          <w:szCs w:val="22"/>
          <w:lang w:val="sk-SK"/>
        </w:rPr>
        <w:t>na vyžiadanie kedykoľvek</w:t>
      </w:r>
      <w:r w:rsidRPr="13C11A5D">
        <w:rPr>
          <w:rFonts w:ascii="Arial Narrow" w:hAnsi="Arial Narrow" w:cs="Arial"/>
          <w:sz w:val="22"/>
          <w:szCs w:val="22"/>
          <w:lang w:val="sk-SK"/>
        </w:rPr>
        <w:t xml:space="preserve"> predloží vykonávateľovi okrem podkladov uvedených v predchádzajúcej časti aj prehľad výstupov kontroly kvality činností vykonávaných mentormi (odpočet činnosti) podľa Manuálu k výzve, časť Účel použitia finančných prostriedkov.</w:t>
      </w:r>
    </w:p>
    <w:p w14:paraId="48B57DE0" w14:textId="77777777" w:rsidR="00551195" w:rsidRPr="00551195" w:rsidRDefault="00551195" w:rsidP="00551195">
      <w:pPr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 xml:space="preserve">Vykonávateľ predložené dokumenty skontroluje </w:t>
      </w:r>
      <w:r w:rsidRPr="00551195">
        <w:rPr>
          <w:rFonts w:ascii="Arial Narrow" w:hAnsi="Arial Narrow" w:cs="Arial"/>
          <w:sz w:val="22"/>
          <w:szCs w:val="22"/>
          <w:u w:val="single"/>
          <w:lang w:val="sk-SK"/>
        </w:rPr>
        <w:t>v rámci administratívnej finančnej kontroly</w:t>
      </w:r>
      <w:r w:rsidRPr="00551195">
        <w:rPr>
          <w:rFonts w:ascii="Arial Narrow" w:hAnsi="Arial Narrow" w:cs="Arial"/>
          <w:sz w:val="22"/>
          <w:szCs w:val="22"/>
          <w:lang w:val="sk-SK"/>
        </w:rPr>
        <w:t>.</w:t>
      </w:r>
    </w:p>
    <w:p w14:paraId="75AAD2CA" w14:textId="77777777" w:rsidR="00551195" w:rsidRPr="00551195" w:rsidRDefault="00551195" w:rsidP="00551195">
      <w:pPr>
        <w:spacing w:before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u w:val="single"/>
          <w:lang w:val="sk-SK"/>
        </w:rPr>
        <w:t>Vykonávateľ počas kontroly na mieste</w:t>
      </w:r>
      <w:r w:rsidRPr="00551195">
        <w:rPr>
          <w:rFonts w:ascii="Arial Narrow" w:hAnsi="Arial Narrow" w:cs="Arial"/>
          <w:sz w:val="22"/>
          <w:szCs w:val="22"/>
          <w:lang w:val="sk-SK"/>
        </w:rPr>
        <w:t xml:space="preserve"> preverí, či prostriedky mechanizmu sú spravované v súlade so všetkými uplatniteľnými predpismi, najmä pokiaľ ide o predchádzanie konfliktom záujmov, podvodom a korupcii a predchádzanie dvojitému financovaniu z prostriedkov mechanizmu a iných prostriedkov EÚ a iných nástrojov finančnej pomoci poskytnutej SR zo zahraničia, ako aj s inými verejnými prostriedkami a v súlade so zásadou správneho finančného riadenia v zmysle Systému implementácie Plánu obnovy a odolnosti SR.</w:t>
      </w:r>
    </w:p>
    <w:p w14:paraId="3565761C" w14:textId="77777777" w:rsidR="00551195" w:rsidRPr="00551195" w:rsidRDefault="00551195" w:rsidP="00551195">
      <w:pPr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Predmetom kontroly bude:</w:t>
      </w:r>
    </w:p>
    <w:p w14:paraId="1070EB37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overenie kvalifikačných predpokladov mentorov – kontrolovaný subjekt predloží zoznam všetkých relevantných dokladov v zmysle personálnej politiky prijímateľa,</w:t>
      </w:r>
    </w:p>
    <w:p w14:paraId="56FC44B1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overenie činností mentorov deklarovaných v náplni práce – kontrolovaný subjekt predloží výstupy z procesov projektu,</w:t>
      </w:r>
    </w:p>
    <w:p w14:paraId="26E41E7B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overenie aktivít v rámci deklarovaných partnerstiev, rozšírenia partnerstiev a udržateľnosti partnerstiev – kontrolovaný subjekt predloží podklady preukazujúce jeho aktivity (ako zapojil základné školy v regióne do svojej činnosti, aké nástroje vytvoril na reflexiu a vyhodnotenie partnerskej spolupráce, aké sú jeho zodpovednosti v rámci partnerstva),</w:t>
      </w:r>
    </w:p>
    <w:p w14:paraId="187228E8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overenie oprávnenosti výdavkov projektu, resp. overenie hospodárnosti použitia výdavkov projektu – kontrolovaný subjekt predloží účtovne doklady podľa samostatného nákladového strediska/samostatnej analytickej evidencie príjmov a výdavkov spojených s prostriedkami mechanizmu v členení z hľadiska potrieb rozpočtového a finančného riadenia účtovnej jednotky,</w:t>
      </w:r>
    </w:p>
    <w:p w14:paraId="6E98060C" w14:textId="77777777" w:rsidR="00551195" w:rsidRPr="00551195" w:rsidRDefault="00551195" w:rsidP="00551195">
      <w:pPr>
        <w:pStyle w:val="Odsekzoznamu"/>
        <w:numPr>
          <w:ilvl w:val="0"/>
          <w:numId w:val="15"/>
        </w:numPr>
        <w:spacing w:line="259" w:lineRule="auto"/>
        <w:ind w:left="284" w:hanging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overenie postupov regionálneho centra, či sú v súlade s povinnosťami vyplývajúcimi z osobitných predpisov – kontrolovaný subjekt predloží okrem podkladov podľa predchádzajúcej odrážky aj podklady k vykonaným obstarávaniam tovarov a služieb (v prípade relevantnosti) a iné podklady podľa zamerania kontroly.</w:t>
      </w:r>
    </w:p>
    <w:p w14:paraId="592CFC49" w14:textId="77777777" w:rsidR="00551195" w:rsidRPr="00551195" w:rsidRDefault="00551195" w:rsidP="00551195">
      <w:pPr>
        <w:jc w:val="both"/>
        <w:rPr>
          <w:rFonts w:ascii="Arial Narrow" w:hAnsi="Arial Narrow" w:cs="Arial"/>
          <w:sz w:val="22"/>
          <w:szCs w:val="22"/>
          <w:lang w:val="sk-SK"/>
        </w:rPr>
      </w:pPr>
      <w:r w:rsidRPr="00551195">
        <w:rPr>
          <w:rFonts w:ascii="Arial Narrow" w:hAnsi="Arial Narrow" w:cs="Arial"/>
          <w:sz w:val="22"/>
          <w:szCs w:val="22"/>
          <w:lang w:val="sk-SK"/>
        </w:rPr>
        <w:t>Pri kontrole na mieste kontrolovaný subjekt predloží zoznam všetkých relevantných dokladov v zmysle personálnej politiky prijímateľa vrátane osobných spisov a mzdových listov mentorov, v prípade potreby aj archivovaných v</w:t>
      </w:r>
      <w:r w:rsidRPr="005E1339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551195">
        <w:rPr>
          <w:rFonts w:ascii="Arial Narrow" w:hAnsi="Arial Narrow" w:cs="Arial"/>
          <w:sz w:val="22"/>
          <w:szCs w:val="22"/>
          <w:lang w:val="sk-SK"/>
        </w:rPr>
        <w:t>zmysle zákona č. 395/2002 Z. z. o archívoch a registratúrach a o doplnení niektorých zákonov v znení neskorších predpisov.</w:t>
      </w:r>
    </w:p>
    <w:p w14:paraId="4F48092E" w14:textId="77777777" w:rsidR="00551195" w:rsidRPr="00551195" w:rsidRDefault="00551195" w:rsidP="00037BC5">
      <w:pPr>
        <w:jc w:val="both"/>
        <w:rPr>
          <w:rFonts w:ascii="Arial Narrow" w:eastAsia="Times New Roman" w:hAnsi="Arial Narrow" w:cs="Times New Roman"/>
          <w:sz w:val="22"/>
          <w:szCs w:val="22"/>
          <w:lang w:val="sk-SK" w:eastAsia="sk-SK"/>
        </w:rPr>
      </w:pPr>
      <w:bookmarkStart w:id="4" w:name="_GoBack"/>
      <w:bookmarkEnd w:id="4"/>
    </w:p>
    <w:sectPr w:rsidR="00551195" w:rsidRPr="0055119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59B74" w14:textId="77777777" w:rsidR="003F632D" w:rsidRDefault="003F632D" w:rsidP="00B82034">
      <w:r>
        <w:separator/>
      </w:r>
    </w:p>
  </w:endnote>
  <w:endnote w:type="continuationSeparator" w:id="0">
    <w:p w14:paraId="68EE1142" w14:textId="77777777" w:rsidR="003F632D" w:rsidRDefault="003F632D" w:rsidP="00B82034">
      <w:r>
        <w:continuationSeparator/>
      </w:r>
    </w:p>
  </w:endnote>
  <w:endnote w:id="1">
    <w:p w14:paraId="0D40E680" w14:textId="2778A0CE" w:rsidR="13C11A5D" w:rsidRPr="00A71656" w:rsidRDefault="13C11A5D" w:rsidP="13C11A5D">
      <w:pPr>
        <w:pStyle w:val="Textvysvetlivky"/>
        <w:rPr>
          <w:rFonts w:ascii="Arial Narrow" w:hAnsi="Arial Narrow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2661222"/>
      <w:docPartObj>
        <w:docPartGallery w:val="Page Numbers (Bottom of Page)"/>
        <w:docPartUnique/>
      </w:docPartObj>
    </w:sdtPr>
    <w:sdtEndPr/>
    <w:sdtContent>
      <w:p w14:paraId="1E7E6917" w14:textId="00071907" w:rsidR="00B82034" w:rsidRDefault="00B82034">
        <w:pPr>
          <w:pStyle w:val="Pta"/>
          <w:jc w:val="center"/>
        </w:pPr>
        <w:r w:rsidRPr="0058563B">
          <w:rPr>
            <w:rFonts w:ascii="Arial Narrow" w:hAnsi="Arial Narrow"/>
            <w:sz w:val="22"/>
            <w:szCs w:val="22"/>
          </w:rPr>
          <w:fldChar w:fldCharType="begin"/>
        </w:r>
        <w:r w:rsidRPr="0058563B">
          <w:rPr>
            <w:rFonts w:ascii="Arial Narrow" w:hAnsi="Arial Narrow"/>
            <w:sz w:val="22"/>
            <w:szCs w:val="22"/>
          </w:rPr>
          <w:instrText>PAGE   \* MERGEFORMAT</w:instrText>
        </w:r>
        <w:r w:rsidRPr="0058563B">
          <w:rPr>
            <w:rFonts w:ascii="Arial Narrow" w:hAnsi="Arial Narrow"/>
            <w:sz w:val="22"/>
            <w:szCs w:val="22"/>
          </w:rPr>
          <w:fldChar w:fldCharType="separate"/>
        </w:r>
        <w:r w:rsidR="00AA2076" w:rsidRPr="00AA2076">
          <w:rPr>
            <w:rFonts w:ascii="Arial Narrow" w:hAnsi="Arial Narrow"/>
            <w:noProof/>
            <w:sz w:val="22"/>
            <w:szCs w:val="22"/>
            <w:lang w:val="sk-SK"/>
          </w:rPr>
          <w:t>9</w:t>
        </w:r>
        <w:r w:rsidRPr="0058563B">
          <w:rPr>
            <w:rFonts w:ascii="Arial Narrow" w:hAnsi="Arial Narrow"/>
            <w:sz w:val="22"/>
            <w:szCs w:val="22"/>
          </w:rPr>
          <w:fldChar w:fldCharType="end"/>
        </w:r>
      </w:p>
    </w:sdtContent>
  </w:sdt>
  <w:p w14:paraId="088AF21A" w14:textId="77777777" w:rsidR="00B82034" w:rsidRDefault="00B8203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D3ACF" w14:textId="77777777" w:rsidR="003F632D" w:rsidRDefault="003F632D" w:rsidP="00B82034">
      <w:r>
        <w:separator/>
      </w:r>
    </w:p>
  </w:footnote>
  <w:footnote w:type="continuationSeparator" w:id="0">
    <w:p w14:paraId="6805CA88" w14:textId="77777777" w:rsidR="003F632D" w:rsidRDefault="003F632D" w:rsidP="00B82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6F44"/>
    <w:multiLevelType w:val="hybridMultilevel"/>
    <w:tmpl w:val="7102FB28"/>
    <w:lvl w:ilvl="0" w:tplc="4FF607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7A14"/>
    <w:multiLevelType w:val="hybridMultilevel"/>
    <w:tmpl w:val="C924E70C"/>
    <w:lvl w:ilvl="0" w:tplc="8AE4D960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725E5"/>
    <w:multiLevelType w:val="multilevel"/>
    <w:tmpl w:val="BF8E4D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72FDA"/>
    <w:multiLevelType w:val="hybridMultilevel"/>
    <w:tmpl w:val="E522E5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960A0"/>
    <w:multiLevelType w:val="hybridMultilevel"/>
    <w:tmpl w:val="F544ED6E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53908"/>
    <w:multiLevelType w:val="hybridMultilevel"/>
    <w:tmpl w:val="E3AA6D3E"/>
    <w:lvl w:ilvl="0" w:tplc="FE3014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9F1563"/>
    <w:multiLevelType w:val="hybridMultilevel"/>
    <w:tmpl w:val="393073E8"/>
    <w:lvl w:ilvl="0" w:tplc="48AEB68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81590"/>
    <w:multiLevelType w:val="hybridMultilevel"/>
    <w:tmpl w:val="B7968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779E2"/>
    <w:multiLevelType w:val="hybridMultilevel"/>
    <w:tmpl w:val="6274525E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E78AC"/>
    <w:multiLevelType w:val="hybridMultilevel"/>
    <w:tmpl w:val="E95C3496"/>
    <w:lvl w:ilvl="0" w:tplc="48AEB68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A1299"/>
    <w:multiLevelType w:val="hybridMultilevel"/>
    <w:tmpl w:val="C2246E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63368"/>
    <w:multiLevelType w:val="hybridMultilevel"/>
    <w:tmpl w:val="10724E20"/>
    <w:lvl w:ilvl="0" w:tplc="674088C6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96C5A"/>
    <w:multiLevelType w:val="hybridMultilevel"/>
    <w:tmpl w:val="CABAB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8D6E7C"/>
    <w:multiLevelType w:val="multilevel"/>
    <w:tmpl w:val="6AC69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52E3055"/>
    <w:multiLevelType w:val="hybridMultilevel"/>
    <w:tmpl w:val="FD8A4EB4"/>
    <w:lvl w:ilvl="0" w:tplc="9FA28026">
      <w:numFmt w:val="bullet"/>
      <w:lvlText w:val="-"/>
      <w:lvlJc w:val="left"/>
      <w:pPr>
        <w:ind w:left="1065" w:hanging="705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E36D5"/>
    <w:multiLevelType w:val="hybridMultilevel"/>
    <w:tmpl w:val="F03843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E0AFB"/>
    <w:multiLevelType w:val="hybridMultilevel"/>
    <w:tmpl w:val="B600B7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E36511"/>
    <w:multiLevelType w:val="hybridMultilevel"/>
    <w:tmpl w:val="28E2CB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93604"/>
    <w:multiLevelType w:val="hybridMultilevel"/>
    <w:tmpl w:val="2488BCD4"/>
    <w:lvl w:ilvl="0" w:tplc="C7C0AB32">
      <w:start w:val="1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D7D5251"/>
    <w:multiLevelType w:val="hybridMultilevel"/>
    <w:tmpl w:val="4F1C64B8"/>
    <w:lvl w:ilvl="0" w:tplc="041B0017">
      <w:start w:val="1"/>
      <w:numFmt w:val="lowerLetter"/>
      <w:lvlText w:val="%1)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3473F"/>
    <w:multiLevelType w:val="hybridMultilevel"/>
    <w:tmpl w:val="863E7814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42817"/>
    <w:multiLevelType w:val="hybridMultilevel"/>
    <w:tmpl w:val="57A852D4"/>
    <w:lvl w:ilvl="0" w:tplc="A3046E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A2847"/>
    <w:multiLevelType w:val="hybridMultilevel"/>
    <w:tmpl w:val="B57019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572164"/>
    <w:multiLevelType w:val="hybridMultilevel"/>
    <w:tmpl w:val="1B4A55CC"/>
    <w:lvl w:ilvl="0" w:tplc="285812A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91439"/>
    <w:multiLevelType w:val="hybridMultilevel"/>
    <w:tmpl w:val="9E743A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93F62"/>
    <w:multiLevelType w:val="hybridMultilevel"/>
    <w:tmpl w:val="65FA9A9A"/>
    <w:lvl w:ilvl="0" w:tplc="03ECEBD2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7320C"/>
    <w:multiLevelType w:val="hybridMultilevel"/>
    <w:tmpl w:val="D5966AD2"/>
    <w:lvl w:ilvl="0" w:tplc="A51A5E58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26"/>
  </w:num>
  <w:num w:numId="4">
    <w:abstractNumId w:val="20"/>
  </w:num>
  <w:num w:numId="5">
    <w:abstractNumId w:val="23"/>
  </w:num>
  <w:num w:numId="6">
    <w:abstractNumId w:val="8"/>
  </w:num>
  <w:num w:numId="7">
    <w:abstractNumId w:val="13"/>
  </w:num>
  <w:num w:numId="8">
    <w:abstractNumId w:val="19"/>
  </w:num>
  <w:num w:numId="9">
    <w:abstractNumId w:val="4"/>
  </w:num>
  <w:num w:numId="10">
    <w:abstractNumId w:val="5"/>
  </w:num>
  <w:num w:numId="11">
    <w:abstractNumId w:val="18"/>
  </w:num>
  <w:num w:numId="12">
    <w:abstractNumId w:val="10"/>
  </w:num>
  <w:num w:numId="13">
    <w:abstractNumId w:val="3"/>
  </w:num>
  <w:num w:numId="14">
    <w:abstractNumId w:val="14"/>
  </w:num>
  <w:num w:numId="15">
    <w:abstractNumId w:val="25"/>
  </w:num>
  <w:num w:numId="16">
    <w:abstractNumId w:val="21"/>
  </w:num>
  <w:num w:numId="17">
    <w:abstractNumId w:val="9"/>
  </w:num>
  <w:num w:numId="18">
    <w:abstractNumId w:val="22"/>
  </w:num>
  <w:num w:numId="19">
    <w:abstractNumId w:val="24"/>
  </w:num>
  <w:num w:numId="20">
    <w:abstractNumId w:val="17"/>
  </w:num>
  <w:num w:numId="21">
    <w:abstractNumId w:val="15"/>
  </w:num>
  <w:num w:numId="22">
    <w:abstractNumId w:val="16"/>
  </w:num>
  <w:num w:numId="23">
    <w:abstractNumId w:val="6"/>
  </w:num>
  <w:num w:numId="24">
    <w:abstractNumId w:val="0"/>
  </w:num>
  <w:num w:numId="25">
    <w:abstractNumId w:val="12"/>
  </w:num>
  <w:num w:numId="26">
    <w:abstractNumId w:val="7"/>
  </w:num>
  <w:num w:numId="2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E64"/>
    <w:rsid w:val="00007BA0"/>
    <w:rsid w:val="00025F90"/>
    <w:rsid w:val="00037BC5"/>
    <w:rsid w:val="000417A1"/>
    <w:rsid w:val="00057C0A"/>
    <w:rsid w:val="00073AE8"/>
    <w:rsid w:val="0007744E"/>
    <w:rsid w:val="00093879"/>
    <w:rsid w:val="000A45FC"/>
    <w:rsid w:val="000B0957"/>
    <w:rsid w:val="000B3879"/>
    <w:rsid w:val="000C4DE2"/>
    <w:rsid w:val="000D44E5"/>
    <w:rsid w:val="000F1BEA"/>
    <w:rsid w:val="00102B00"/>
    <w:rsid w:val="00111F46"/>
    <w:rsid w:val="00133A58"/>
    <w:rsid w:val="00133DEB"/>
    <w:rsid w:val="00136830"/>
    <w:rsid w:val="00143722"/>
    <w:rsid w:val="001501DF"/>
    <w:rsid w:val="001526CF"/>
    <w:rsid w:val="00161FB0"/>
    <w:rsid w:val="00162E42"/>
    <w:rsid w:val="0016366F"/>
    <w:rsid w:val="00175CDE"/>
    <w:rsid w:val="001A04A0"/>
    <w:rsid w:val="001A11AB"/>
    <w:rsid w:val="001C22E4"/>
    <w:rsid w:val="001D7C3F"/>
    <w:rsid w:val="001E513E"/>
    <w:rsid w:val="001E6924"/>
    <w:rsid w:val="001E6E85"/>
    <w:rsid w:val="001F2D5E"/>
    <w:rsid w:val="001F5E40"/>
    <w:rsid w:val="0022087E"/>
    <w:rsid w:val="00253EF2"/>
    <w:rsid w:val="0026364D"/>
    <w:rsid w:val="00267343"/>
    <w:rsid w:val="002708F6"/>
    <w:rsid w:val="00292428"/>
    <w:rsid w:val="002C2A65"/>
    <w:rsid w:val="002F37FA"/>
    <w:rsid w:val="00307FA3"/>
    <w:rsid w:val="00330BE8"/>
    <w:rsid w:val="00334FA8"/>
    <w:rsid w:val="00354032"/>
    <w:rsid w:val="00392087"/>
    <w:rsid w:val="003A3C78"/>
    <w:rsid w:val="003B594B"/>
    <w:rsid w:val="003C18D1"/>
    <w:rsid w:val="003C6AF2"/>
    <w:rsid w:val="003D5F3C"/>
    <w:rsid w:val="003E1764"/>
    <w:rsid w:val="003E76AC"/>
    <w:rsid w:val="003F41CC"/>
    <w:rsid w:val="003F632D"/>
    <w:rsid w:val="0040125C"/>
    <w:rsid w:val="004063F0"/>
    <w:rsid w:val="00406618"/>
    <w:rsid w:val="00416337"/>
    <w:rsid w:val="00417C93"/>
    <w:rsid w:val="00446F2F"/>
    <w:rsid w:val="004602EF"/>
    <w:rsid w:val="00460912"/>
    <w:rsid w:val="004657AA"/>
    <w:rsid w:val="00465A43"/>
    <w:rsid w:val="00471775"/>
    <w:rsid w:val="004958C7"/>
    <w:rsid w:val="004B49E0"/>
    <w:rsid w:val="004C2FBB"/>
    <w:rsid w:val="004D2F9C"/>
    <w:rsid w:val="004D3F61"/>
    <w:rsid w:val="004D66CA"/>
    <w:rsid w:val="004D7BD4"/>
    <w:rsid w:val="005020D0"/>
    <w:rsid w:val="0052462A"/>
    <w:rsid w:val="00532621"/>
    <w:rsid w:val="00537589"/>
    <w:rsid w:val="005413B9"/>
    <w:rsid w:val="0054217E"/>
    <w:rsid w:val="00551195"/>
    <w:rsid w:val="005549F9"/>
    <w:rsid w:val="005577CD"/>
    <w:rsid w:val="0058563B"/>
    <w:rsid w:val="005C32B2"/>
    <w:rsid w:val="005D122D"/>
    <w:rsid w:val="005E1339"/>
    <w:rsid w:val="005F6143"/>
    <w:rsid w:val="00606D76"/>
    <w:rsid w:val="006219EC"/>
    <w:rsid w:val="00637C60"/>
    <w:rsid w:val="006657A0"/>
    <w:rsid w:val="006677B0"/>
    <w:rsid w:val="00672FB5"/>
    <w:rsid w:val="006A39CA"/>
    <w:rsid w:val="006B41D5"/>
    <w:rsid w:val="006C34B5"/>
    <w:rsid w:val="006E0A4C"/>
    <w:rsid w:val="006F121C"/>
    <w:rsid w:val="006F460C"/>
    <w:rsid w:val="006F48D2"/>
    <w:rsid w:val="00715A76"/>
    <w:rsid w:val="007222E7"/>
    <w:rsid w:val="007339C4"/>
    <w:rsid w:val="007925CE"/>
    <w:rsid w:val="00793B16"/>
    <w:rsid w:val="007C1A54"/>
    <w:rsid w:val="007C1EF4"/>
    <w:rsid w:val="007D512A"/>
    <w:rsid w:val="007E1A4A"/>
    <w:rsid w:val="007E1DC8"/>
    <w:rsid w:val="008263A4"/>
    <w:rsid w:val="008265E9"/>
    <w:rsid w:val="008366E5"/>
    <w:rsid w:val="0084581A"/>
    <w:rsid w:val="00846718"/>
    <w:rsid w:val="0085234F"/>
    <w:rsid w:val="00852C77"/>
    <w:rsid w:val="008A0961"/>
    <w:rsid w:val="008B5D50"/>
    <w:rsid w:val="008C6511"/>
    <w:rsid w:val="008C7173"/>
    <w:rsid w:val="008D0C09"/>
    <w:rsid w:val="008F2CD5"/>
    <w:rsid w:val="009032C5"/>
    <w:rsid w:val="00915DBD"/>
    <w:rsid w:val="0093460F"/>
    <w:rsid w:val="00946062"/>
    <w:rsid w:val="00951F6D"/>
    <w:rsid w:val="0095429C"/>
    <w:rsid w:val="00954CBF"/>
    <w:rsid w:val="00955347"/>
    <w:rsid w:val="00955D94"/>
    <w:rsid w:val="0097088A"/>
    <w:rsid w:val="009A5015"/>
    <w:rsid w:val="009A5E0B"/>
    <w:rsid w:val="009B76DF"/>
    <w:rsid w:val="009E682A"/>
    <w:rsid w:val="009F769E"/>
    <w:rsid w:val="00A03017"/>
    <w:rsid w:val="00A13E3A"/>
    <w:rsid w:val="00A14E8D"/>
    <w:rsid w:val="00A47082"/>
    <w:rsid w:val="00A71656"/>
    <w:rsid w:val="00A82075"/>
    <w:rsid w:val="00AA2076"/>
    <w:rsid w:val="00AB465F"/>
    <w:rsid w:val="00AD6866"/>
    <w:rsid w:val="00AD6E70"/>
    <w:rsid w:val="00AE1DCB"/>
    <w:rsid w:val="00AF2A99"/>
    <w:rsid w:val="00B0493F"/>
    <w:rsid w:val="00B23C55"/>
    <w:rsid w:val="00B24D30"/>
    <w:rsid w:val="00B30F6D"/>
    <w:rsid w:val="00B36C5F"/>
    <w:rsid w:val="00B43877"/>
    <w:rsid w:val="00B62FF9"/>
    <w:rsid w:val="00B81C26"/>
    <w:rsid w:val="00B82034"/>
    <w:rsid w:val="00B97829"/>
    <w:rsid w:val="00BA3F2E"/>
    <w:rsid w:val="00BA4B39"/>
    <w:rsid w:val="00BC01A8"/>
    <w:rsid w:val="00BC3075"/>
    <w:rsid w:val="00BC6BB4"/>
    <w:rsid w:val="00BF1809"/>
    <w:rsid w:val="00C0088D"/>
    <w:rsid w:val="00C03D9B"/>
    <w:rsid w:val="00C44F46"/>
    <w:rsid w:val="00C96F0E"/>
    <w:rsid w:val="00CE7DB6"/>
    <w:rsid w:val="00CF37CA"/>
    <w:rsid w:val="00D151ED"/>
    <w:rsid w:val="00D1714F"/>
    <w:rsid w:val="00D262C4"/>
    <w:rsid w:val="00D361A0"/>
    <w:rsid w:val="00D6187A"/>
    <w:rsid w:val="00D91706"/>
    <w:rsid w:val="00D93BFF"/>
    <w:rsid w:val="00DC0382"/>
    <w:rsid w:val="00DC2E64"/>
    <w:rsid w:val="00DD2559"/>
    <w:rsid w:val="00DE304A"/>
    <w:rsid w:val="00DF1500"/>
    <w:rsid w:val="00DF2B87"/>
    <w:rsid w:val="00E012FA"/>
    <w:rsid w:val="00E06044"/>
    <w:rsid w:val="00E21CE8"/>
    <w:rsid w:val="00E26D45"/>
    <w:rsid w:val="00E275CF"/>
    <w:rsid w:val="00E46E7D"/>
    <w:rsid w:val="00E504B5"/>
    <w:rsid w:val="00E54112"/>
    <w:rsid w:val="00E5630F"/>
    <w:rsid w:val="00E63305"/>
    <w:rsid w:val="00E643CE"/>
    <w:rsid w:val="00E710F8"/>
    <w:rsid w:val="00E73755"/>
    <w:rsid w:val="00E87FEF"/>
    <w:rsid w:val="00E9674C"/>
    <w:rsid w:val="00EB7554"/>
    <w:rsid w:val="00F01693"/>
    <w:rsid w:val="00F10A62"/>
    <w:rsid w:val="00F1361E"/>
    <w:rsid w:val="00F34DBD"/>
    <w:rsid w:val="00F52646"/>
    <w:rsid w:val="00F63B55"/>
    <w:rsid w:val="00F75230"/>
    <w:rsid w:val="00F766F1"/>
    <w:rsid w:val="00FA3207"/>
    <w:rsid w:val="00FB5E51"/>
    <w:rsid w:val="00FC58C5"/>
    <w:rsid w:val="00FD499E"/>
    <w:rsid w:val="00FF3A87"/>
    <w:rsid w:val="072C47E7"/>
    <w:rsid w:val="121E73E8"/>
    <w:rsid w:val="13C11A5D"/>
    <w:rsid w:val="1836D053"/>
    <w:rsid w:val="1ABF40F2"/>
    <w:rsid w:val="23D73E27"/>
    <w:rsid w:val="2826B5B9"/>
    <w:rsid w:val="32E86427"/>
    <w:rsid w:val="51AD5AB0"/>
    <w:rsid w:val="57AFD8D2"/>
    <w:rsid w:val="7A74369B"/>
    <w:rsid w:val="7C400495"/>
    <w:rsid w:val="7F77A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BC52"/>
  <w15:chartTrackingRefBased/>
  <w15:docId w15:val="{ABD5976D-EF64-4D1E-813C-501F00E4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43877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43877"/>
    <w:pPr>
      <w:ind w:left="720"/>
      <w:contextualSpacing/>
    </w:pPr>
  </w:style>
  <w:style w:type="table" w:customStyle="1" w:styleId="Mriekatabuky1">
    <w:name w:val="Mriežka tabuľky1"/>
    <w:basedOn w:val="Normlnatabuka"/>
    <w:next w:val="Mriekatabuky"/>
    <w:uiPriority w:val="39"/>
    <w:rsid w:val="00BC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BC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B5D50"/>
    <w:rPr>
      <w:color w:val="808080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551195"/>
    <w:rPr>
      <w:rFonts w:eastAsiaTheme="minorEastAsia"/>
      <w:sz w:val="20"/>
      <w:szCs w:val="20"/>
      <w:lang w:val="en-US"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5511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1195"/>
    <w:pPr>
      <w:spacing w:after="160"/>
    </w:pPr>
    <w:rPr>
      <w:rFonts w:eastAsiaTheme="minorHAnsi"/>
      <w:lang w:val="sk-SK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1195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11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1195"/>
    <w:rPr>
      <w:rFonts w:ascii="Segoe UI" w:eastAsiaTheme="minorEastAsia" w:hAnsi="Segoe UI" w:cs="Segoe UI"/>
      <w:sz w:val="18"/>
      <w:szCs w:val="18"/>
      <w:lang w:val="en-US"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E85"/>
    <w:pPr>
      <w:spacing w:after="0"/>
    </w:pPr>
    <w:rPr>
      <w:rFonts w:eastAsiaTheme="minorEastAsia"/>
      <w:b/>
      <w:bCs/>
      <w:lang w:val="en-US" w:eastAsia="zh-CN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E85"/>
    <w:rPr>
      <w:rFonts w:eastAsiaTheme="minorEastAsia"/>
      <w:b/>
      <w:bCs/>
      <w:sz w:val="20"/>
      <w:szCs w:val="20"/>
      <w:lang w:val="en-US" w:eastAsia="zh-CN"/>
    </w:rPr>
  </w:style>
  <w:style w:type="paragraph" w:styleId="Revzia">
    <w:name w:val="Revision"/>
    <w:hidden/>
    <w:uiPriority w:val="99"/>
    <w:semiHidden/>
    <w:rsid w:val="00B8203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paragraph" w:styleId="Hlavika">
    <w:name w:val="header"/>
    <w:basedOn w:val="Normlny"/>
    <w:link w:val="HlavikaChar"/>
    <w:uiPriority w:val="99"/>
    <w:unhideWhenUsed/>
    <w:rsid w:val="00B8203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82034"/>
    <w:rPr>
      <w:rFonts w:eastAsiaTheme="minorEastAsia"/>
      <w:sz w:val="20"/>
      <w:szCs w:val="20"/>
      <w:lang w:val="en-US" w:eastAsia="zh-CN"/>
    </w:rPr>
  </w:style>
  <w:style w:type="paragraph" w:styleId="Pta">
    <w:name w:val="footer"/>
    <w:basedOn w:val="Normlny"/>
    <w:link w:val="PtaChar"/>
    <w:uiPriority w:val="99"/>
    <w:unhideWhenUsed/>
    <w:rsid w:val="00B8203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82034"/>
    <w:rPr>
      <w:rFonts w:eastAsiaTheme="minorEastAsia"/>
      <w:sz w:val="20"/>
      <w:szCs w:val="20"/>
      <w:lang w:val="en-US" w:eastAsia="zh-CN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054814A2FDE148B979DC8C69C01CD6" ma:contentTypeVersion="9" ma:contentTypeDescription="Create a new document." ma:contentTypeScope="" ma:versionID="279c9d46b5d9ff91bd2a08368b3210d1">
  <xsd:schema xmlns:xsd="http://www.w3.org/2001/XMLSchema" xmlns:xs="http://www.w3.org/2001/XMLSchema" xmlns:p="http://schemas.microsoft.com/office/2006/metadata/properties" xmlns:ns2="a2dbbdd9-eb35-4796-81d6-658a97ff170a" targetNamespace="http://schemas.microsoft.com/office/2006/metadata/properties" ma:root="true" ma:fieldsID="29d3ccdd1d5e21749a41f0484e32a98b" ns2:_="">
    <xsd:import namespace="a2dbbdd9-eb35-4796-81d6-658a97ff17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bbdd9-eb35-4796-81d6-658a97ff17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EDA2A-2D94-42C7-B786-D406139376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649E6-AEAC-4C3F-89F6-EEE53E51B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bbdd9-eb35-4796-81d6-658a97ff17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3D122C-A83B-482B-A063-15DC0B7F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94BE40-DF44-4DFA-A7D9-9C49107B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4669</Words>
  <Characters>26615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Weszelovszky Gabriel</cp:lastModifiedBy>
  <cp:revision>3</cp:revision>
  <cp:lastPrinted>2022-06-10T12:36:00Z</cp:lastPrinted>
  <dcterms:created xsi:type="dcterms:W3CDTF">2023-07-31T09:35:00Z</dcterms:created>
  <dcterms:modified xsi:type="dcterms:W3CDTF">2023-08-02T06:42:00Z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0x0101002E054814A2FDE148B979DC8C69C01CD6</vt:lpwstr>
  </property>
</Properties>
</file>