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FC0BA" w14:textId="477740FD" w:rsidR="00B43877" w:rsidRPr="006C34B5" w:rsidRDefault="00B43877" w:rsidP="00B43877">
      <w:pPr>
        <w:widowControl w:val="0"/>
        <w:adjustRightInd w:val="0"/>
        <w:jc w:val="both"/>
        <w:textAlignment w:val="baseline"/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</w:pPr>
      <w:r w:rsidRPr="006C34B5"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  <w:t xml:space="preserve">Príloha č. </w:t>
      </w:r>
      <w:r w:rsidR="006C34B5" w:rsidRPr="006C34B5"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  <w:t>3</w:t>
      </w:r>
      <w:r w:rsidRPr="006C34B5"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  <w:t xml:space="preserve"> Zmluvy </w:t>
      </w:r>
    </w:p>
    <w:p w14:paraId="1C4ABA62" w14:textId="0DF93111" w:rsidR="00BA4B39" w:rsidRDefault="00BA4B39" w:rsidP="00B43877"/>
    <w:p w14:paraId="2BDC0310" w14:textId="538008C6" w:rsidR="00B43877" w:rsidRPr="007C1A54" w:rsidRDefault="006C34B5" w:rsidP="00B43877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7C1A54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FINAN</w:t>
      </w:r>
      <w:r w:rsidR="00C96F0E" w:rsidRPr="007C1A54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ČNÉ RIADENIE A</w:t>
      </w:r>
      <w:r w:rsidR="000A45FC" w:rsidRPr="007C1A54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 MONITOROVANIE PROJEKTU</w:t>
      </w:r>
    </w:p>
    <w:p w14:paraId="301460ED" w14:textId="18D728E2" w:rsidR="00B43877" w:rsidRDefault="00B43877" w:rsidP="00B43877">
      <w:pPr>
        <w:jc w:val="center"/>
        <w:rPr>
          <w:rFonts w:ascii="Arial Narrow" w:eastAsia="Times New Roman" w:hAnsi="Arial Narrow" w:cs="Times New Roman"/>
          <w:b/>
          <w:bCs/>
          <w:color w:val="002060"/>
          <w:sz w:val="22"/>
          <w:szCs w:val="22"/>
          <w:lang w:val="sk-SK" w:eastAsia="sk-SK"/>
        </w:rPr>
      </w:pPr>
    </w:p>
    <w:p w14:paraId="22986268" w14:textId="4B03F6E3" w:rsidR="00B43877" w:rsidRDefault="00B43877" w:rsidP="00B4387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72234AC3" w14:textId="7837FDE6" w:rsidR="00B43877" w:rsidRPr="00637C60" w:rsidRDefault="00B43877" w:rsidP="00637C60">
      <w:pPr>
        <w:jc w:val="both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Všeobecné identifikačné údaje</w:t>
      </w:r>
    </w:p>
    <w:p w14:paraId="03C02958" w14:textId="77777777" w:rsidR="00637C60" w:rsidRP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9CECE17" w14:textId="45049AAF" w:rsidR="00637C60" w:rsidRP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Komponent: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Komponent 7:  Vzdelávanie pre 21. storočie</w:t>
      </w:r>
    </w:p>
    <w:p w14:paraId="79E97727" w14:textId="4DC51C6D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Reforma/investícia: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 xml:space="preserve">Reforma 1:  Reforma obsahu a formy vzdelávania – </w:t>
      </w:r>
      <w:proofErr w:type="spellStart"/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kurikulárna</w:t>
      </w:r>
      <w:proofErr w:type="spellEnd"/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 učebnicová reforma</w:t>
      </w:r>
    </w:p>
    <w:p w14:paraId="4C5DC969" w14:textId="06885F90" w:rsidR="00637C60" w:rsidRPr="00637C60" w:rsidRDefault="00637C60" w:rsidP="00637C60">
      <w:pPr>
        <w:ind w:left="2127" w:hanging="2127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Názov </w:t>
      </w:r>
      <w:r w:rsid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rojektu: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Učitelia pre 21. storočie</w:t>
      </w:r>
    </w:p>
    <w:p w14:paraId="1CD6621F" w14:textId="6F8EB2CD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7EE7911C" w14:textId="77777777" w:rsidR="00637C60" w:rsidRP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Názov vykonávateľa: 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Ministerstvo školstva, vedy, výskumu a športu Slovenskej republiky</w:t>
      </w:r>
    </w:p>
    <w:p w14:paraId="14B6DDBB" w14:textId="77777777" w:rsidR="00637C60" w:rsidRP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Adresa vykonávateľa: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Stromová 1, 813 30 Bratislava</w:t>
      </w:r>
    </w:p>
    <w:p w14:paraId="17234D54" w14:textId="77777777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6C7C1BC" w14:textId="77777777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Názov prijímateľa: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............................................................</w:t>
      </w:r>
    </w:p>
    <w:p w14:paraId="3A260FF7" w14:textId="77777777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Adresa prijímateľa: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............................................................</w:t>
      </w:r>
    </w:p>
    <w:p w14:paraId="7AD4A567" w14:textId="77777777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(ďalej len „regionálny partner“)</w:t>
      </w:r>
    </w:p>
    <w:p w14:paraId="2534F1A3" w14:textId="767BA8B7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2222400D" w14:textId="77777777" w:rsidR="006C34B5" w:rsidRDefault="006C34B5" w:rsidP="006C34B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Sídlo regionálneho centra podpory učiteľov (regionálneho partnera):  ....................................................</w:t>
      </w:r>
    </w:p>
    <w:p w14:paraId="16FFF749" w14:textId="77777777" w:rsidR="006C34B5" w:rsidRDefault="006C34B5" w:rsidP="006C34B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Regionálne centrum podpory učiteľov pre región: ...................................................................................</w:t>
      </w:r>
    </w:p>
    <w:p w14:paraId="01045BD0" w14:textId="7D13AE53" w:rsidR="006C34B5" w:rsidRDefault="006C34B5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80E8936" w14:textId="1F3B7AC8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Trvanie projektu: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 xml:space="preserve">od 1. </w:t>
      </w:r>
      <w:r w:rsid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7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 2022 do 31. 8. 2025</w:t>
      </w:r>
    </w:p>
    <w:p w14:paraId="0211838F" w14:textId="22A57520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Indikatívna výška prostriedkov mechanizmu určených na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Projekt: ......................... EUR</w:t>
      </w:r>
    </w:p>
    <w:p w14:paraId="408B057F" w14:textId="59C01A3D" w:rsidR="00BC6BB4" w:rsidRDefault="00BC6BB4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Slovom:</w:t>
      </w:r>
      <w:r w:rsidR="00057C0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 ...................................................................................................................EUR</w:t>
      </w:r>
    </w:p>
    <w:p w14:paraId="7986C5C4" w14:textId="1ECA1E9E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B0551D0" w14:textId="14153DED" w:rsidR="001E6924" w:rsidRPr="00637C60" w:rsidRDefault="001E6924" w:rsidP="001E6924">
      <w:pPr>
        <w:ind w:left="1701" w:hanging="1701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Hlavný cieľ Projektu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:</w:t>
      </w:r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V</w:t>
      </w:r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ytvorenie Regionálneho centra podpory učiteľov v ....................... v zmysle platných míľnikov Plánu obnovy a odolnosti, ktorého úlohou je v partnerskej spolupráci s ministerstvom podporiť školy a školské zariadenia v regióne ............................................................. v procese aplikácie nových foriem metód vyučovania a výchovy na školách prostredníctvom </w:t>
      </w:r>
      <w:proofErr w:type="spellStart"/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mentoringu</w:t>
      </w:r>
      <w:proofErr w:type="spellEnd"/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pedagogických zamestnancov.</w:t>
      </w:r>
    </w:p>
    <w:p w14:paraId="0B4704CF" w14:textId="77777777" w:rsidR="001E6924" w:rsidRDefault="001E6924" w:rsidP="00637C60">
      <w:pPr>
        <w:jc w:val="both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</w:p>
    <w:p w14:paraId="4B1A7873" w14:textId="083FD9B3" w:rsidR="00637C60" w:rsidRPr="00537589" w:rsidRDefault="00B43877" w:rsidP="0054217E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  <w:r w:rsidRPr="00537589"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F</w:t>
      </w:r>
      <w:r w:rsidR="0054217E"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INANCOVANIE PROJEKTU</w:t>
      </w:r>
    </w:p>
    <w:p w14:paraId="79B813BA" w14:textId="77777777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1500E9F0" w14:textId="68EB2D12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Projekt bude financovaný z prostriedkov mechanizmu Plánu obnovy a odolnosti SR</w:t>
      </w:r>
      <w:r w:rsidR="00EB755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 dodržiavaní ustanovení Systému implementácie Plán</w:t>
      </w:r>
      <w:r w:rsidR="009B76D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</w:t>
      </w:r>
      <w:r w:rsidR="00EB755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obnovy a odolnosti SR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systémom zálohových platieb.</w:t>
      </w:r>
    </w:p>
    <w:p w14:paraId="4BA495C1" w14:textId="28602D4F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0CB700DA" w14:textId="212CF198" w:rsidR="00FA3207" w:rsidRDefault="00FA3207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A320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Prostriedky mechanizmu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budú </w:t>
      </w:r>
      <w:r w:rsidRPr="00FA320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ované</w:t>
      </w:r>
      <w:r w:rsidRPr="00FA320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 nadobudnutí účinnosti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tejto </w:t>
      </w:r>
      <w:r w:rsidRPr="00FA320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zmluvy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podľa stanoveného harmonogramu</w:t>
      </w:r>
      <w:r w:rsidR="00E0604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bezhotovostným prevodom </w:t>
      </w:r>
      <w:r w:rsidR="00E0604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na 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bankové </w:t>
      </w:r>
      <w:r w:rsidR="00E0604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účty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zmluvných strán.</w:t>
      </w:r>
    </w:p>
    <w:p w14:paraId="3242B789" w14:textId="609267E6" w:rsidR="00E06044" w:rsidRDefault="00E06044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BA8D136" w14:textId="7BD8BCCF" w:rsidR="00E87FEF" w:rsidRPr="00E87FEF" w:rsidRDefault="00D151ED" w:rsidP="00D151ED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SYSTÉM FYNANČNÝCH ÚČTOV</w:t>
      </w:r>
    </w:p>
    <w:p w14:paraId="05A5A25B" w14:textId="77777777" w:rsidR="00E87FEF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290200E2" w14:textId="77777777" w:rsidR="00E87FEF" w:rsidRPr="00133DEB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</w:pPr>
      <w:r w:rsidRPr="00133DEB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Účty vykonávateľa</w:t>
      </w:r>
    </w:p>
    <w:p w14:paraId="595CF398" w14:textId="120FCB54" w:rsidR="00E87FEF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Výdavkový rozpočtový účet</w:t>
      </w:r>
    </w:p>
    <w:p w14:paraId="115C47E3" w14:textId="77777777" w:rsidR="00133DEB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Názov inštitúcie: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Štátna pokladnica</w:t>
      </w:r>
    </w:p>
    <w:p w14:paraId="0E285E89" w14:textId="00A4E33F" w:rsidR="00E87FEF" w:rsidRDefault="00133DEB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Číslo účtu (IBAN):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................................................................</w:t>
      </w:r>
      <w:r w:rsidR="00E87FE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="00E87FE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</w:p>
    <w:p w14:paraId="555752C9" w14:textId="02F814FC" w:rsidR="00133DEB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Príjmový rozpočtový účet</w:t>
      </w:r>
    </w:p>
    <w:p w14:paraId="05F0D6F9" w14:textId="403632EB" w:rsidR="00133DEB" w:rsidRDefault="00133DEB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Názov inštitúcie: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Štátna pokladnica</w:t>
      </w:r>
    </w:p>
    <w:p w14:paraId="3FD5A10B" w14:textId="73CDAE7B" w:rsidR="00E87FEF" w:rsidRDefault="00133DEB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Číslo účtu (IBAN):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="00E87FE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 </w:t>
      </w:r>
      <w:r w:rsidR="00E87FE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................................................................</w:t>
      </w:r>
    </w:p>
    <w:p w14:paraId="26E33987" w14:textId="7622B653" w:rsidR="00E87FEF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2CB97687" w14:textId="541171C9" w:rsidR="00E87FEF" w:rsidRPr="00057C0A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</w:pPr>
      <w:r w:rsidRPr="00057C0A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Účet prijímateľa</w:t>
      </w:r>
    </w:p>
    <w:p w14:paraId="073111F6" w14:textId="1E6A99F6" w:rsidR="00133DEB" w:rsidRPr="00133DEB" w:rsidRDefault="00133DEB" w:rsidP="00133DEB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Názov inštitúcie:</w:t>
      </w: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................................................................</w:t>
      </w:r>
    </w:p>
    <w:p w14:paraId="205B47F6" w14:textId="008AC3D7" w:rsidR="00E87FEF" w:rsidRDefault="00133DEB" w:rsidP="00133DEB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Číslo účtu (IBAN):</w:t>
      </w: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................................................................</w:t>
      </w: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</w:p>
    <w:p w14:paraId="4BA3F0E8" w14:textId="77777777" w:rsidR="00FA3207" w:rsidRDefault="00FA3207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C7BF59B" w14:textId="77777777" w:rsidR="001E6924" w:rsidRDefault="001E6924" w:rsidP="001D7C3F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</w:p>
    <w:p w14:paraId="1DD02AB0" w14:textId="77777777" w:rsidR="001E6924" w:rsidRDefault="001E6924" w:rsidP="001D7C3F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</w:p>
    <w:p w14:paraId="5EF42064" w14:textId="7A8A118C" w:rsidR="00D91706" w:rsidRPr="00D91706" w:rsidRDefault="001D7C3F" w:rsidP="001D7C3F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lastRenderedPageBreak/>
        <w:t>STANOVENIE VÝŠKY PROSTRIEDKOV MECHANIZMU</w:t>
      </w:r>
    </w:p>
    <w:p w14:paraId="430415F8" w14:textId="77777777" w:rsidR="00D91706" w:rsidRDefault="00D91706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016BA8ED" w14:textId="1D528BE9" w:rsidR="00FA3207" w:rsidRPr="00D91706" w:rsidRDefault="009B76D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bookmarkStart w:id="0" w:name="_Hlk94781880"/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Prostriedky mechanizmu</w:t>
      </w:r>
      <w:r w:rsidR="00A0301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 indikatívnej výške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bud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A0301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prijímateľovi</w:t>
      </w:r>
      <w:bookmarkEnd w:id="0"/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posúden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é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 ako oprávnen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é</w:t>
      </w:r>
      <w:r w:rsidR="00057C0A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 poskytovan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é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za predpokladu, že budú vytvorené a obsadené pracovné pozície mentorov </w:t>
      </w:r>
      <w:r w:rsidR="00B62F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počte a úväzku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stanovenom v prílohe č. 2 Zmluvy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 zároveň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mentori budú preukázateľne dosahovať požadované výsledky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podľa odpočtu </w:t>
      </w:r>
      <w:r w:rsidR="00B62F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činnosti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B62F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podľa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príloh</w:t>
      </w:r>
      <w:r w:rsidR="00B62F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y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č. 2 Zmluvy.</w:t>
      </w:r>
    </w:p>
    <w:p w14:paraId="1A3C4C77" w14:textId="77777777" w:rsidR="00FA3207" w:rsidRPr="00FA3207" w:rsidRDefault="00FA3207" w:rsidP="00FA3207">
      <w:pPr>
        <w:jc w:val="both"/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</w:pPr>
    </w:p>
    <w:p w14:paraId="164E25D6" w14:textId="2739DE1C" w:rsidR="00FA3207" w:rsidRPr="00D91706" w:rsidRDefault="009B76D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bookmarkStart w:id="1" w:name="_Hlk94788832"/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Maximálna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výška poskytnutých finančných prostriedkov sa pridelí </w:t>
      </w:r>
      <w:r w:rsidR="00A0301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prijímateľovi pod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ľa počtu mentorov v regióne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stanoveného v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príloh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č.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2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Zmluvy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podľa nasledovného vzorca:</w:t>
      </w:r>
      <w:bookmarkEnd w:id="1"/>
    </w:p>
    <w:p w14:paraId="4F0E2EFD" w14:textId="77777777" w:rsidR="00FA3207" w:rsidRPr="00D91706" w:rsidRDefault="00FA3207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B81193B" w14:textId="77777777" w:rsidR="00B62FF9" w:rsidRPr="00BA3F2E" w:rsidRDefault="00B62FF9" w:rsidP="00B62FF9">
      <w:pPr>
        <w:jc w:val="center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FP na mesiac = PMM x (MM + RN)</w:t>
      </w:r>
    </w:p>
    <w:p w14:paraId="62B1C48C" w14:textId="77777777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8CE2013" w14:textId="77777777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lang w:val="sk-SK" w:eastAsia="sk-SK"/>
        </w:rPr>
      </w:pPr>
      <w:r w:rsidRPr="00BA3F2E">
        <w:rPr>
          <w:rFonts w:ascii="Arial Narrow" w:eastAsia="Times New Roman" w:hAnsi="Arial Narrow" w:cs="Times New Roman"/>
          <w:lang w:val="sk-SK" w:eastAsia="sk-SK"/>
        </w:rPr>
        <w:t>FP – finančné prostriedky na kalendárny mesiac</w:t>
      </w:r>
    </w:p>
    <w:p w14:paraId="76B16459" w14:textId="6DA1B3CC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lang w:val="sk-SK" w:eastAsia="sk-SK"/>
        </w:rPr>
      </w:pPr>
      <w:r w:rsidRPr="00BA3F2E">
        <w:rPr>
          <w:rFonts w:ascii="Arial Narrow" w:eastAsia="Times New Roman" w:hAnsi="Arial Narrow" w:cs="Times New Roman"/>
          <w:lang w:val="sk-SK" w:eastAsia="sk-SK"/>
        </w:rPr>
        <w:t xml:space="preserve">PMM – počet mentorských miest </w:t>
      </w:r>
      <w:r w:rsidR="00292428">
        <w:rPr>
          <w:rFonts w:ascii="Arial Narrow" w:eastAsia="Times New Roman" w:hAnsi="Arial Narrow" w:cs="Times New Roman"/>
          <w:lang w:val="sk-SK" w:eastAsia="sk-SK"/>
        </w:rPr>
        <w:t>regionálneho</w:t>
      </w:r>
      <w:r w:rsidRPr="00BA3F2E">
        <w:rPr>
          <w:rFonts w:ascii="Arial Narrow" w:eastAsia="Times New Roman" w:hAnsi="Arial Narrow" w:cs="Times New Roman"/>
          <w:lang w:val="sk-SK" w:eastAsia="sk-SK"/>
        </w:rPr>
        <w:t xml:space="preserve"> centr</w:t>
      </w:r>
      <w:r w:rsidR="00292428">
        <w:rPr>
          <w:rFonts w:ascii="Arial Narrow" w:eastAsia="Times New Roman" w:hAnsi="Arial Narrow" w:cs="Times New Roman"/>
          <w:lang w:val="sk-SK" w:eastAsia="sk-SK"/>
        </w:rPr>
        <w:t>a</w:t>
      </w:r>
    </w:p>
    <w:p w14:paraId="0E63964F" w14:textId="085B340A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lang w:val="sk-SK" w:eastAsia="sk-SK"/>
        </w:rPr>
      </w:pPr>
      <w:r w:rsidRPr="00BA3F2E">
        <w:rPr>
          <w:rFonts w:ascii="Arial Narrow" w:eastAsia="Times New Roman" w:hAnsi="Arial Narrow" w:cs="Times New Roman"/>
          <w:lang w:val="sk-SK" w:eastAsia="sk-SK"/>
        </w:rPr>
        <w:t>MM – priemerné mzdové náklady na jedného mentora v</w:t>
      </w:r>
      <w:r w:rsidR="007D512A">
        <w:rPr>
          <w:rFonts w:ascii="Arial Narrow" w:eastAsia="Times New Roman" w:hAnsi="Arial Narrow" w:cs="Times New Roman"/>
          <w:lang w:val="sk-SK" w:eastAsia="sk-SK"/>
        </w:rPr>
        <w:t> regionálnom c</w:t>
      </w:r>
      <w:r w:rsidRPr="00BA3F2E">
        <w:rPr>
          <w:rFonts w:ascii="Arial Narrow" w:eastAsia="Times New Roman" w:hAnsi="Arial Narrow" w:cs="Times New Roman"/>
          <w:lang w:val="sk-SK" w:eastAsia="sk-SK"/>
        </w:rPr>
        <w:t>entre vrátane odvodov (</w:t>
      </w:r>
      <w:proofErr w:type="spellStart"/>
      <w:r w:rsidRPr="00BA3F2E">
        <w:rPr>
          <w:rFonts w:ascii="Arial Narrow" w:eastAsia="Times New Roman" w:hAnsi="Arial Narrow" w:cs="Times New Roman"/>
          <w:lang w:val="sk-SK" w:eastAsia="sk-SK"/>
        </w:rPr>
        <w:t>superhrubá</w:t>
      </w:r>
      <w:proofErr w:type="spellEnd"/>
      <w:r w:rsidRPr="00BA3F2E">
        <w:rPr>
          <w:rFonts w:ascii="Arial Narrow" w:eastAsia="Times New Roman" w:hAnsi="Arial Narrow" w:cs="Times New Roman"/>
          <w:lang w:val="sk-SK" w:eastAsia="sk-SK"/>
        </w:rPr>
        <w:t xml:space="preserve"> mzda)</w:t>
      </w:r>
    </w:p>
    <w:p w14:paraId="4838D302" w14:textId="71C058B0" w:rsidR="009F769E" w:rsidRPr="00BA3F2E" w:rsidRDefault="00B62FF9" w:rsidP="00B62FF9">
      <w:pPr>
        <w:jc w:val="both"/>
        <w:rPr>
          <w:rFonts w:ascii="Arial Narrow" w:eastAsia="Times New Roman" w:hAnsi="Arial Narrow" w:cs="Times New Roman"/>
          <w:lang w:val="sk-SK" w:eastAsia="sk-SK"/>
        </w:rPr>
      </w:pPr>
      <w:r w:rsidRPr="00BA3F2E">
        <w:rPr>
          <w:rFonts w:ascii="Arial Narrow" w:eastAsia="Times New Roman" w:hAnsi="Arial Narrow" w:cs="Times New Roman"/>
          <w:lang w:val="sk-SK" w:eastAsia="sk-SK"/>
        </w:rPr>
        <w:t xml:space="preserve">RN – režijné náklady </w:t>
      </w:r>
      <w:r w:rsidR="007D512A">
        <w:rPr>
          <w:rFonts w:ascii="Arial Narrow" w:eastAsia="Times New Roman" w:hAnsi="Arial Narrow" w:cs="Times New Roman"/>
          <w:lang w:val="sk-SK" w:eastAsia="sk-SK"/>
        </w:rPr>
        <w:t>regionálneh</w:t>
      </w:r>
      <w:r w:rsidRPr="00BA3F2E">
        <w:rPr>
          <w:rFonts w:ascii="Arial Narrow" w:eastAsia="Times New Roman" w:hAnsi="Arial Narrow" w:cs="Times New Roman"/>
          <w:lang w:val="sk-SK" w:eastAsia="sk-SK"/>
        </w:rPr>
        <w:t>o centra</w:t>
      </w:r>
    </w:p>
    <w:p w14:paraId="4FCCB06E" w14:textId="77777777" w:rsidR="00B62FF9" w:rsidRPr="00BA3F2E" w:rsidRDefault="00B62FF9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3BDA71B" w14:textId="5349D9CD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ustanoví v rámci personálnej politiky regionálneho centra podľa prílohy č. 2 Zmluvy mzdové náležitosti mentorov. </w:t>
      </w:r>
      <w:r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Mzdové náklady mentorov sa považujú za náklady na zamestnancov, resp. priame náklady</w:t>
      </w:r>
      <w:r w:rsidR="00BA3F2E"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 xml:space="preserve"> Projektu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5DC08615" w14:textId="55BA6726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Všetky ostatné náklady regionálneho centra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, vrátane odmien pre manažment a administratívny personál </w:t>
      </w:r>
      <w:r w:rsidR="00BA3F2E"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</w:t>
      </w:r>
      <w:r w:rsidR="007D512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 režijných nákladov regionálneho centra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sa budú považovať za nepriame náklady vypočítané s použitím paušálnej sadzby vo výške do 40 % priamych nákladov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(mzdových nákladov na mentorov) v zmysle čl. 56 Nariadenia Európskeho parlamentu a Rady (EÚ) č. 2021/1060.</w:t>
      </w:r>
    </w:p>
    <w:p w14:paraId="3DE4B436" w14:textId="77777777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3B355DA" w14:textId="09E25AA1" w:rsidR="00C03D9B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</w:pPr>
      <w:r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Súčet priamych nákladov a nepriamych nákladov prijímateľa nesmie prevyšovať sumu 1550 EUR na jedno mentorské miesto a mesiac.</w:t>
      </w:r>
    </w:p>
    <w:p w14:paraId="5DCD6CB7" w14:textId="61FA925A" w:rsidR="00BA3F2E" w:rsidRDefault="00BA3F2E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45DE092" w14:textId="0BEBB930" w:rsidR="00915DBD" w:rsidRPr="00915DBD" w:rsidRDefault="009B76DF" w:rsidP="00915DB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8265E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rijímateľ prostriedkov mechanizmu</w:t>
      </w:r>
      <w:r w:rsidR="00915DBD" w:rsidRP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má zriadený účet na prijatie prostriedkov mechanizmu od vykonávateľa, vedený v EUR. Typ účtu a to, v ktorej finančnej inštitúcii je účet zriadený, je na rozhodnutí prijímateľa, okrem prijímateľov, ktorí sú štátnou rozpočtovou organizáciou; v takom prípade je finanč</w:t>
      </w:r>
      <w:r w:rsid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</w:t>
      </w:r>
      <w:r w:rsidR="00915DBD" w:rsidRP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ou inštitúciou štátna pokladnica. Úrok vzniknutý na účte sa použije na financovanie projektu. </w:t>
      </w:r>
    </w:p>
    <w:p w14:paraId="007D3F39" w14:textId="77777777" w:rsidR="00915DBD" w:rsidRPr="00915DBD" w:rsidRDefault="00915DBD" w:rsidP="00915DB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vo svojom účtovníctve zabezpečí samostatné nákladové stredisko / samostatnú analytickú evidenciu príjmov a výdavkov spojených s prostriedkami mechanizmu v členení z hľadiska potrieb rozpočtového a finančného riadenia účtovnej jednotky. </w:t>
      </w:r>
    </w:p>
    <w:p w14:paraId="3E041CC1" w14:textId="732C6181" w:rsidR="00915DBD" w:rsidRDefault="00915DBD" w:rsidP="00915DB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Oprávnenosť výdavkov sa preukazuje prostredníctvom dokumentov v zmysle všeobecne záväzných právnych predpisov.</w:t>
      </w:r>
    </w:p>
    <w:p w14:paraId="49BE781B" w14:textId="2B1288E3" w:rsidR="00915DBD" w:rsidRDefault="00915DBD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011A4795" w14:textId="170A28B8" w:rsidR="00915DBD" w:rsidRPr="00460912" w:rsidRDefault="00915DBD" w:rsidP="00915DBD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HARMONOGRAM PLATIEB</w:t>
      </w:r>
    </w:p>
    <w:p w14:paraId="19F9E399" w14:textId="77777777" w:rsidR="00915DBD" w:rsidRPr="00460912" w:rsidRDefault="00915DBD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1AB9574" w14:textId="6929AA32" w:rsidR="005F6143" w:rsidRPr="00460912" w:rsidRDefault="009B76DF" w:rsidP="005F6143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Indikatívna výška p</w:t>
      </w:r>
      <w:r w:rsidR="00915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rostriedkov mechanizmu bude prijímateľovi </w:t>
      </w:r>
      <w:r w:rsidR="008265E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poskytovaná </w:t>
      </w:r>
      <w:r w:rsidR="00915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systémom zálohových platieb</w:t>
      </w:r>
      <w:r w:rsidR="001F5E4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formou  prevodov z výdavkového bankového účtu vykonávateľa na účet prijímateľa. </w:t>
      </w:r>
      <w:r w:rsidR="005F6143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 využití systému zálohových platieb sa poskytovanie prostriedkov mechanizmu prijímateľovi uskutočňuje v dvoch etapách:</w:t>
      </w:r>
    </w:p>
    <w:p w14:paraId="6E915FF9" w14:textId="5518CF88" w:rsidR="005F6143" w:rsidRPr="00460912" w:rsidRDefault="005F6143" w:rsidP="001F5E40">
      <w:pPr>
        <w:pStyle w:val="Odsekzoznamu"/>
        <w:numPr>
          <w:ilvl w:val="0"/>
          <w:numId w:val="17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poskytnutie zálohovej platby,</w:t>
      </w:r>
    </w:p>
    <w:p w14:paraId="78695972" w14:textId="546DAAA0" w:rsidR="001F5E40" w:rsidRPr="00460912" w:rsidRDefault="005F6143" w:rsidP="001F5E40">
      <w:pPr>
        <w:pStyle w:val="Odsekzoznamu"/>
        <w:numPr>
          <w:ilvl w:val="0"/>
          <w:numId w:val="17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zúčtovanie zálohovej platby.</w:t>
      </w:r>
      <w:r w:rsidR="001F5E4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742256CD" w14:textId="77777777" w:rsidR="001F5E40" w:rsidRPr="00460912" w:rsidRDefault="001F5E40" w:rsidP="001F5E40">
      <w:p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Poskytovanie prostriedkov mechanizmu systémom zálohových platieb sa realizuje v nasledovných krokoch:</w:t>
      </w:r>
    </w:p>
    <w:p w14:paraId="3A233A02" w14:textId="7E7339EB" w:rsidR="001F5E40" w:rsidRPr="00460912" w:rsidRDefault="001F5E40" w:rsidP="001F5E40">
      <w:pPr>
        <w:pStyle w:val="Odsekzoznamu"/>
        <w:numPr>
          <w:ilvl w:val="0"/>
          <w:numId w:val="19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 po nadobudnutí účinnosti zmluvy o poskytnutí prostriedkov mechanizmu predkladá vykonávateľovi žiadosť o platbu (ďalej len „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“)</w:t>
      </w:r>
      <w:r w:rsidR="009B76DF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– poskytnutie zálohovej platby. V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prijímateľ uvedie nárokované finančné prostriedky v zmysle zmluvy o poskytnutí prostriedkov mechanizmu.</w:t>
      </w:r>
    </w:p>
    <w:p w14:paraId="7475441A" w14:textId="6F21BC2E" w:rsidR="001F5E40" w:rsidRPr="00460912" w:rsidRDefault="001F5E40" w:rsidP="001F5E40">
      <w:pPr>
        <w:pStyle w:val="Odsekzoznamu"/>
        <w:numPr>
          <w:ilvl w:val="0"/>
          <w:numId w:val="19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zaeviduje a pridelí jej identifikačné číslo.</w:t>
      </w:r>
    </w:p>
    <w:p w14:paraId="1813DDA9" w14:textId="21AE6558" w:rsidR="001F5E40" w:rsidRPr="00460912" w:rsidRDefault="001F5E40" w:rsidP="001F5E40">
      <w:pPr>
        <w:pStyle w:val="Odsekzoznamu"/>
        <w:numPr>
          <w:ilvl w:val="0"/>
          <w:numId w:val="19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 vykoná kontrolu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poskytnutie zálohovej platby v zmysle zákona o finančnej kontrole. Po vykonaní kontroly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poskytnutie zálohovej platby vykonávateľ žiadosť o platbu, alebo jej časť:</w:t>
      </w:r>
    </w:p>
    <w:p w14:paraId="4D2B62E7" w14:textId="6E086A52" w:rsidR="001F5E40" w:rsidRPr="00460912" w:rsidRDefault="001F5E40" w:rsidP="001F5E40">
      <w:pPr>
        <w:pStyle w:val="Odsekzoznamu"/>
        <w:numPr>
          <w:ilvl w:val="0"/>
          <w:numId w:val="20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schváli v plnej výške,</w:t>
      </w:r>
    </w:p>
    <w:p w14:paraId="147E0ED6" w14:textId="1C88434E" w:rsidR="001F5E40" w:rsidRPr="00460912" w:rsidRDefault="001F5E40" w:rsidP="001F5E40">
      <w:pPr>
        <w:pStyle w:val="Odsekzoznamu"/>
        <w:numPr>
          <w:ilvl w:val="0"/>
          <w:numId w:val="20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schváli v zníženej sume, alebo</w:t>
      </w:r>
    </w:p>
    <w:p w14:paraId="430BF631" w14:textId="03D8F87C" w:rsidR="001F5E40" w:rsidRPr="00460912" w:rsidRDefault="001F5E40" w:rsidP="001F5E40">
      <w:pPr>
        <w:pStyle w:val="Odsekzoznamu"/>
        <w:numPr>
          <w:ilvl w:val="0"/>
          <w:numId w:val="20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neschváli.</w:t>
      </w:r>
    </w:p>
    <w:p w14:paraId="3CF09675" w14:textId="54D8341D" w:rsidR="001F5E40" w:rsidRPr="00460912" w:rsidRDefault="001F5E40" w:rsidP="001F5E40">
      <w:pPr>
        <w:pStyle w:val="Odsekzoznamu"/>
        <w:numPr>
          <w:ilvl w:val="0"/>
          <w:numId w:val="19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 xml:space="preserve">V prípade schválenia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poskytnutie zálohovej platby alebo jej časti vykonávateľ:</w:t>
      </w:r>
    </w:p>
    <w:p w14:paraId="2C311E2B" w14:textId="75E27C9E" w:rsidR="001F5E40" w:rsidRPr="00460912" w:rsidRDefault="001F5E40" w:rsidP="006F121C">
      <w:pPr>
        <w:pStyle w:val="Odsekzoznamu"/>
        <w:numPr>
          <w:ilvl w:val="0"/>
          <w:numId w:val="17"/>
        </w:numPr>
        <w:ind w:left="567" w:hanging="283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prípade prijímateľa – štátna rozpočtová organizácia – zabezpečí prevod prostriedkov v sume zodpovedajúcej poskytnutej zálohovej platby samostatne za jednotlivé zdroje financovania rozpočtovým opatrením prostredníctvom úpravy limitov výdavkov viazaním výdavkov v rozpočte príslušnej vnútornej organizačnej jednotky vykonávateľa a navýšením limitov výdavkov prijímateľa,</w:t>
      </w:r>
    </w:p>
    <w:p w14:paraId="5A9209DC" w14:textId="75E64094" w:rsidR="001F5E40" w:rsidRPr="00460912" w:rsidRDefault="001F5E40" w:rsidP="006F121C">
      <w:pPr>
        <w:pStyle w:val="Odsekzoznamu"/>
        <w:numPr>
          <w:ilvl w:val="0"/>
          <w:numId w:val="17"/>
        </w:numPr>
        <w:ind w:left="567" w:hanging="283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prípade ostatných prijímateľov – zadá platobné príkazy na úhradu prijímateľovi z rozpočtovaných výdavkov samostatne za jednotlivé zdroje financovania.</w:t>
      </w:r>
    </w:p>
    <w:p w14:paraId="21A80316" w14:textId="78288EDC" w:rsidR="001F5E40" w:rsidRPr="00460912" w:rsidRDefault="001F5E40" w:rsidP="00946062">
      <w:pPr>
        <w:spacing w:before="120"/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zaznamená v ISUF operáciu vzťahujúcu sa k predmetnej úhrade.</w:t>
      </w:r>
      <w:r w:rsidR="00946062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054E3B3C" w14:textId="42C73237" w:rsidR="001F5E40" w:rsidRPr="00460912" w:rsidRDefault="001F5E40" w:rsidP="00946062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Vzor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pripraví a poskytne prijímateľovi vykonáva</w:t>
      </w:r>
      <w:r w:rsidR="00946062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eľ</w:t>
      </w:r>
      <w:r w:rsidR="00946062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7BC8C76C" w14:textId="35A7C0D4" w:rsidR="00915DBD" w:rsidRPr="00460912" w:rsidRDefault="00946062" w:rsidP="00946062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8265E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bude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predkladať na schválenie </w:t>
      </w:r>
      <w:r w:rsidR="008265E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ovi</w:t>
      </w:r>
      <w:r w:rsidR="008265E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podľa harmonogramu stanoveného v tabuľke č. 1</w:t>
      </w:r>
      <w:r w:rsidR="00446F2F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0DAF9BBD" w14:textId="30FF9506" w:rsidR="008265E9" w:rsidRPr="00460912" w:rsidRDefault="008265E9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804E2D1" w14:textId="7EECBB92" w:rsidR="00DF2B87" w:rsidRPr="00460912" w:rsidRDefault="00DF2B87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Tabuľka č. 1: Harmonogram p</w:t>
      </w:r>
      <w:r w:rsidR="005F6143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redkladania </w:t>
      </w:r>
      <w:proofErr w:type="spellStart"/>
      <w:r w:rsidR="005F6143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="005F6143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prijímateľom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2688"/>
      </w:tblGrid>
      <w:tr w:rsidR="00DF2B87" w:rsidRPr="00460912" w14:paraId="3B5CD679" w14:textId="77777777" w:rsidTr="00446F2F">
        <w:tc>
          <w:tcPr>
            <w:tcW w:w="6374" w:type="dxa"/>
            <w:gridSpan w:val="2"/>
          </w:tcPr>
          <w:p w14:paraId="2FCD4C74" w14:textId="01203163" w:rsidR="00DF2B87" w:rsidRPr="00460912" w:rsidRDefault="00DF2B87" w:rsidP="00DF2B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Zálohová platba</w:t>
            </w:r>
          </w:p>
        </w:tc>
        <w:tc>
          <w:tcPr>
            <w:tcW w:w="2688" w:type="dxa"/>
            <w:vMerge w:val="restart"/>
            <w:vAlign w:val="center"/>
          </w:tcPr>
          <w:p w14:paraId="71FABE20" w14:textId="563ECEE3" w:rsidR="00DF2B87" w:rsidRPr="00460912" w:rsidRDefault="00DF2B87" w:rsidP="00DF2B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Dátum pre</w:t>
            </w:r>
            <w:r w:rsidR="005F6143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dloženia </w:t>
            </w:r>
            <w:proofErr w:type="spellStart"/>
            <w:r w:rsidR="005F6143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ŽoP</w:t>
            </w:r>
            <w:proofErr w:type="spellEnd"/>
            <w:r w:rsidR="005F6143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 prijímateľom</w:t>
            </w:r>
          </w:p>
        </w:tc>
      </w:tr>
      <w:tr w:rsidR="00DF2B87" w:rsidRPr="00460912" w14:paraId="124861DC" w14:textId="77777777" w:rsidTr="00446F2F">
        <w:tc>
          <w:tcPr>
            <w:tcW w:w="2830" w:type="dxa"/>
            <w:vAlign w:val="center"/>
          </w:tcPr>
          <w:p w14:paraId="739CBBBE" w14:textId="2ADD1D03" w:rsidR="00DF2B87" w:rsidRPr="00460912" w:rsidRDefault="00DF2B87" w:rsidP="00DF2B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na obdobie</w:t>
            </w:r>
          </w:p>
        </w:tc>
        <w:tc>
          <w:tcPr>
            <w:tcW w:w="3544" w:type="dxa"/>
          </w:tcPr>
          <w:p w14:paraId="5EDB556B" w14:textId="59DF0B16" w:rsidR="00DF2B87" w:rsidRPr="00460912" w:rsidRDefault="00DF2B87" w:rsidP="00DF2B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výška prostriedkov mechanizmu pripadajúcich na zálohovú platbu</w:t>
            </w:r>
            <w:r w:rsidR="00446F2F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 v EUR</w:t>
            </w:r>
          </w:p>
        </w:tc>
        <w:tc>
          <w:tcPr>
            <w:tcW w:w="2688" w:type="dxa"/>
            <w:vMerge/>
          </w:tcPr>
          <w:p w14:paraId="1F68CB35" w14:textId="4BC68CA4" w:rsidR="00DF2B87" w:rsidRPr="00460912" w:rsidRDefault="00DF2B87" w:rsidP="009F769E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</w:tr>
      <w:tr w:rsidR="008265E9" w:rsidRPr="00460912" w14:paraId="64B8EF37" w14:textId="77777777" w:rsidTr="00446F2F">
        <w:tc>
          <w:tcPr>
            <w:tcW w:w="2830" w:type="dxa"/>
          </w:tcPr>
          <w:p w14:paraId="7DDEF1D6" w14:textId="5491728D" w:rsidR="008265E9" w:rsidRPr="00460912" w:rsidRDefault="00446F2F" w:rsidP="00446F2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o</w:t>
            </w:r>
            <w:r w:rsidR="00DF2B87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d 1. 7. 2022 </w:t>
            </w: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do 31. 12. 2022</w:t>
            </w:r>
          </w:p>
        </w:tc>
        <w:tc>
          <w:tcPr>
            <w:tcW w:w="3544" w:type="dxa"/>
          </w:tcPr>
          <w:p w14:paraId="6CF0926E" w14:textId="77777777" w:rsidR="008265E9" w:rsidRPr="00460912" w:rsidRDefault="008265E9" w:rsidP="009F769E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2688" w:type="dxa"/>
          </w:tcPr>
          <w:p w14:paraId="642E712E" w14:textId="014FA24F" w:rsidR="008265E9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do 1</w:t>
            </w:r>
            <w:r w:rsidR="005F6143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0</w:t>
            </w: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. 7. 2022</w:t>
            </w:r>
          </w:p>
        </w:tc>
      </w:tr>
      <w:tr w:rsidR="00FF3A87" w:rsidRPr="00460912" w14:paraId="5CA18389" w14:textId="77777777" w:rsidTr="00446F2F">
        <w:tc>
          <w:tcPr>
            <w:tcW w:w="2830" w:type="dxa"/>
          </w:tcPr>
          <w:p w14:paraId="4D39FAA0" w14:textId="740918C4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od 1. 1. 2023 do 30. 6. 2023</w:t>
            </w:r>
          </w:p>
        </w:tc>
        <w:tc>
          <w:tcPr>
            <w:tcW w:w="3544" w:type="dxa"/>
          </w:tcPr>
          <w:p w14:paraId="4450BB65" w14:textId="77777777" w:rsidR="00FF3A87" w:rsidRPr="00460912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2688" w:type="dxa"/>
          </w:tcPr>
          <w:p w14:paraId="6831E16A" w14:textId="498C8AC6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 xml:space="preserve">do </w:t>
            </w:r>
            <w:r w:rsidR="005F6143" w:rsidRPr="00460912">
              <w:rPr>
                <w:rFonts w:ascii="Arial Narrow" w:hAnsi="Arial Narrow"/>
                <w:sz w:val="22"/>
                <w:szCs w:val="22"/>
              </w:rPr>
              <w:t>15</w:t>
            </w:r>
            <w:r w:rsidRPr="00460912">
              <w:rPr>
                <w:rFonts w:ascii="Arial Narrow" w:hAnsi="Arial Narrow"/>
                <w:sz w:val="22"/>
                <w:szCs w:val="22"/>
              </w:rPr>
              <w:t>. 1. 2023</w:t>
            </w:r>
          </w:p>
        </w:tc>
      </w:tr>
      <w:tr w:rsidR="00FF3A87" w:rsidRPr="00460912" w14:paraId="157B35FE" w14:textId="77777777" w:rsidTr="00446F2F">
        <w:tc>
          <w:tcPr>
            <w:tcW w:w="2830" w:type="dxa"/>
          </w:tcPr>
          <w:p w14:paraId="6D0D998A" w14:textId="6DC75D9E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>od 1. 7. 2023 do 31. 12. 2023</w:t>
            </w:r>
          </w:p>
        </w:tc>
        <w:tc>
          <w:tcPr>
            <w:tcW w:w="3544" w:type="dxa"/>
          </w:tcPr>
          <w:p w14:paraId="3DC833AD" w14:textId="77777777" w:rsidR="00FF3A87" w:rsidRPr="00460912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2688" w:type="dxa"/>
          </w:tcPr>
          <w:p w14:paraId="44734718" w14:textId="57D0887A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 xml:space="preserve">do </w:t>
            </w:r>
            <w:r w:rsidR="005F6143" w:rsidRPr="00460912">
              <w:rPr>
                <w:rFonts w:ascii="Arial Narrow" w:hAnsi="Arial Narrow"/>
                <w:sz w:val="22"/>
                <w:szCs w:val="22"/>
              </w:rPr>
              <w:t>15</w:t>
            </w:r>
            <w:r w:rsidRPr="00460912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7E1DC8" w:rsidRPr="00460912">
              <w:rPr>
                <w:rFonts w:ascii="Arial Narrow" w:hAnsi="Arial Narrow"/>
                <w:sz w:val="22"/>
                <w:szCs w:val="22"/>
              </w:rPr>
              <w:t>6</w:t>
            </w:r>
            <w:r w:rsidRPr="00460912">
              <w:rPr>
                <w:rFonts w:ascii="Arial Narrow" w:hAnsi="Arial Narrow"/>
                <w:sz w:val="22"/>
                <w:szCs w:val="22"/>
              </w:rPr>
              <w:t>. 202</w:t>
            </w:r>
            <w:r w:rsidR="007E1DC8" w:rsidRPr="00460912"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FF3A87" w:rsidRPr="00460912" w14:paraId="365C21E7" w14:textId="77777777" w:rsidTr="00446F2F">
        <w:tc>
          <w:tcPr>
            <w:tcW w:w="2830" w:type="dxa"/>
          </w:tcPr>
          <w:p w14:paraId="03A1212E" w14:textId="7A791871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>od 1. 1. 2024 do 30. 6. 2024</w:t>
            </w:r>
          </w:p>
        </w:tc>
        <w:tc>
          <w:tcPr>
            <w:tcW w:w="3544" w:type="dxa"/>
          </w:tcPr>
          <w:p w14:paraId="578290D7" w14:textId="77777777" w:rsidR="00FF3A87" w:rsidRPr="00460912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2688" w:type="dxa"/>
          </w:tcPr>
          <w:p w14:paraId="46FB6B9C" w14:textId="05402122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 xml:space="preserve">do </w:t>
            </w:r>
            <w:r w:rsidR="005F6143" w:rsidRPr="00460912">
              <w:rPr>
                <w:rFonts w:ascii="Arial Narrow" w:hAnsi="Arial Narrow"/>
                <w:sz w:val="22"/>
                <w:szCs w:val="22"/>
              </w:rPr>
              <w:t>15</w:t>
            </w:r>
            <w:r w:rsidRPr="00460912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7E1DC8" w:rsidRPr="00460912">
              <w:rPr>
                <w:rFonts w:ascii="Arial Narrow" w:hAnsi="Arial Narrow"/>
                <w:sz w:val="22"/>
                <w:szCs w:val="22"/>
              </w:rPr>
              <w:t>1</w:t>
            </w:r>
            <w:r w:rsidRPr="00460912">
              <w:rPr>
                <w:rFonts w:ascii="Arial Narrow" w:hAnsi="Arial Narrow"/>
                <w:sz w:val="22"/>
                <w:szCs w:val="22"/>
              </w:rPr>
              <w:t>. 202</w:t>
            </w:r>
            <w:r w:rsidR="007E1DC8" w:rsidRPr="00460912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FF3A87" w:rsidRPr="00460912" w14:paraId="300710FA" w14:textId="77777777" w:rsidTr="00446F2F">
        <w:tc>
          <w:tcPr>
            <w:tcW w:w="2830" w:type="dxa"/>
          </w:tcPr>
          <w:p w14:paraId="078D79C8" w14:textId="3590B871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>od 1. 7. 2024 do 31. 12. 2024</w:t>
            </w:r>
          </w:p>
        </w:tc>
        <w:tc>
          <w:tcPr>
            <w:tcW w:w="3544" w:type="dxa"/>
          </w:tcPr>
          <w:p w14:paraId="59859F7B" w14:textId="77777777" w:rsidR="00FF3A87" w:rsidRPr="00460912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2688" w:type="dxa"/>
          </w:tcPr>
          <w:p w14:paraId="764429DE" w14:textId="627D46F2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 xml:space="preserve">do </w:t>
            </w:r>
            <w:r w:rsidR="005F6143" w:rsidRPr="00460912">
              <w:rPr>
                <w:rFonts w:ascii="Arial Narrow" w:hAnsi="Arial Narrow"/>
                <w:sz w:val="22"/>
                <w:szCs w:val="22"/>
              </w:rPr>
              <w:t>15</w:t>
            </w:r>
            <w:r w:rsidRPr="00460912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7E1DC8" w:rsidRPr="00460912">
              <w:rPr>
                <w:rFonts w:ascii="Arial Narrow" w:hAnsi="Arial Narrow"/>
                <w:sz w:val="22"/>
                <w:szCs w:val="22"/>
              </w:rPr>
              <w:t>6</w:t>
            </w:r>
            <w:r w:rsidRPr="00460912">
              <w:rPr>
                <w:rFonts w:ascii="Arial Narrow" w:hAnsi="Arial Narrow"/>
                <w:sz w:val="22"/>
                <w:szCs w:val="22"/>
              </w:rPr>
              <w:t>. 202</w:t>
            </w:r>
            <w:r w:rsidR="007E1DC8" w:rsidRPr="00460912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FF3A87" w:rsidRPr="00460912" w14:paraId="227ABC92" w14:textId="77777777" w:rsidTr="00446F2F">
        <w:tc>
          <w:tcPr>
            <w:tcW w:w="2830" w:type="dxa"/>
          </w:tcPr>
          <w:p w14:paraId="74177B3B" w14:textId="462D35FD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>od 1. 1. 2025 do 31. 8. 2025</w:t>
            </w:r>
          </w:p>
        </w:tc>
        <w:tc>
          <w:tcPr>
            <w:tcW w:w="3544" w:type="dxa"/>
          </w:tcPr>
          <w:p w14:paraId="43DF72C8" w14:textId="77777777" w:rsidR="00FF3A87" w:rsidRPr="00460912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2688" w:type="dxa"/>
          </w:tcPr>
          <w:p w14:paraId="6E432F4E" w14:textId="4E139BE6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 xml:space="preserve">do </w:t>
            </w:r>
            <w:r w:rsidR="005F6143" w:rsidRPr="00460912">
              <w:rPr>
                <w:rFonts w:ascii="Arial Narrow" w:hAnsi="Arial Narrow"/>
                <w:sz w:val="22"/>
                <w:szCs w:val="22"/>
              </w:rPr>
              <w:t>15</w:t>
            </w:r>
            <w:r w:rsidRPr="00460912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7E1DC8" w:rsidRPr="00460912">
              <w:rPr>
                <w:rFonts w:ascii="Arial Narrow" w:hAnsi="Arial Narrow"/>
                <w:sz w:val="22"/>
                <w:szCs w:val="22"/>
              </w:rPr>
              <w:t>1</w:t>
            </w:r>
            <w:r w:rsidRPr="00460912">
              <w:rPr>
                <w:rFonts w:ascii="Arial Narrow" w:hAnsi="Arial Narrow"/>
                <w:sz w:val="22"/>
                <w:szCs w:val="22"/>
              </w:rPr>
              <w:t>. 202</w:t>
            </w:r>
            <w:r w:rsidR="007E1DC8" w:rsidRPr="00460912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2808E43C" w14:textId="77777777" w:rsidR="00946062" w:rsidRPr="00460912" w:rsidRDefault="00946062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094FB08" w14:textId="487AFE84" w:rsidR="0097088A" w:rsidRPr="00460912" w:rsidRDefault="0097088A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182D97B" w14:textId="7F454CF5" w:rsidR="00161FB0" w:rsidRPr="00460912" w:rsidRDefault="00161FB0" w:rsidP="00161FB0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VYÚČTOVANIE PROSTRIEDKOV MECHANIZMU</w:t>
      </w:r>
    </w:p>
    <w:p w14:paraId="7BA96924" w14:textId="720CD33D" w:rsidR="00161FB0" w:rsidRPr="00460912" w:rsidRDefault="00161FB0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5DBF127" w14:textId="429F79B0" w:rsidR="00946062" w:rsidRPr="00460912" w:rsidRDefault="00946062" w:rsidP="00946062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 poskytnutí každej jednej zálohovej platby je prijímateľ povinný priebežne predkladať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podľa tabuľky č. 2.    </w:t>
      </w:r>
    </w:p>
    <w:p w14:paraId="7110AE96" w14:textId="21D28D97" w:rsidR="00946062" w:rsidRPr="00460912" w:rsidRDefault="00946062" w:rsidP="00946062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vráti nezúčtovanú časť každej jednej poskytnutej zálohovej platby vykonávateľovi, najneskôr do ukončenia lehoty na zúčtovanie danej zálohovej platby. Vrátenie nezúčtovanej časti poskytnutej zálohovej platby sa v priebehu rozpočtového roka vykoná na výdavkový účet vykonávateľa, nezúčtovaná časť poskytnutej zálohovej platby z predchádzajúceho roku sa vracia na príjmový účet vykonávateľa. </w:t>
      </w:r>
    </w:p>
    <w:p w14:paraId="6B0A28AB" w14:textId="77777777" w:rsidR="00392087" w:rsidRPr="00460912" w:rsidRDefault="00392087" w:rsidP="0039208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 zúčtovaní zálohovej platby postupuje prijímateľ nasledovne:</w:t>
      </w:r>
    </w:p>
    <w:p w14:paraId="4143E354" w14:textId="7282271A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v rámci zúčtovania poskytnutej zálohovej platby predkladá vykonávateľovi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platby. V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prijímateľ vykazuje priame náklady projektu za vyúčtovacie obdobie. Prijímateľ spolu so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predkladá aj účtovné doklady preukazujúce úhradu výdavku vykázaného v žiadosti o platbu a relevantnú podpornú dokumentáciu a doklady preukazujúce prípadné vrátenie nezúčtovanej časti poskytnutej zálohy na účet vykonávateľa.</w:t>
      </w:r>
    </w:p>
    <w:p w14:paraId="19D881E6" w14:textId="5295E849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zaeviduje a pridelí jej identifikačné číslo.</w:t>
      </w:r>
    </w:p>
    <w:p w14:paraId="54133008" w14:textId="1CAB7112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 vykoná kontrolu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v zmysle zákona o finančnej kontrole. V prípade chýbajúcich dokladov alebo podkladov, vykonávateľ tieto vyžiada</w:t>
      </w:r>
      <w:r w:rsidR="00E21CE8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od prijímateľa. Po vykonaní kontroly </w:t>
      </w:r>
      <w:proofErr w:type="spellStart"/>
      <w:r w:rsidR="00E21CE8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vykonávateľ žiadosť</w:t>
      </w:r>
      <w:r w:rsidR="00E21CE8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 platbu alebo jej časť:</w:t>
      </w:r>
    </w:p>
    <w:p w14:paraId="7F268236" w14:textId="050C9150" w:rsidR="00392087" w:rsidRPr="00460912" w:rsidRDefault="00392087" w:rsidP="00E21CE8">
      <w:pPr>
        <w:pStyle w:val="Odsekzoznamu"/>
        <w:numPr>
          <w:ilvl w:val="0"/>
          <w:numId w:val="22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schváli v plnej výške,</w:t>
      </w:r>
    </w:p>
    <w:p w14:paraId="035E539F" w14:textId="605EF5C1" w:rsidR="00392087" w:rsidRPr="00460912" w:rsidRDefault="00392087" w:rsidP="00E21CE8">
      <w:pPr>
        <w:pStyle w:val="Odsekzoznamu"/>
        <w:numPr>
          <w:ilvl w:val="0"/>
          <w:numId w:val="22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schváli vo výške zníženej o sumu neoprávnených výdavkov alebo</w:t>
      </w:r>
    </w:p>
    <w:p w14:paraId="54BAB3EE" w14:textId="30AA4E80" w:rsidR="00392087" w:rsidRPr="00460912" w:rsidRDefault="00392087" w:rsidP="00E21CE8">
      <w:pPr>
        <w:pStyle w:val="Odsekzoznamu"/>
        <w:numPr>
          <w:ilvl w:val="0"/>
          <w:numId w:val="22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neschváli.</w:t>
      </w:r>
    </w:p>
    <w:p w14:paraId="4EF5EC5E" w14:textId="65EF1648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prípade, ak bola </w:t>
      </w:r>
      <w:proofErr w:type="spellStart"/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neschválená alebo bola schválená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zníženej sume, vykonávateľ zašle prijímateľovi žiadosť o vrátenie finančných prostriedkov na sumu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nezúčtovanej zálohovej platby. Vykonávateľ v tomto prípade môže umožniť dodatočne zúčtovať nezúčtovanú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zálohovú platbu v prípade, ak by k zúčtovaniu došlo v lehote najneskôr do ukončenia stanoveného obdobia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12 mesiacov od poskytnutia zálohovej platby.</w:t>
      </w:r>
    </w:p>
    <w:p w14:paraId="4B79A817" w14:textId="249C94C1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Zálohová platba sa považuje za zúčtovanú, ak</w:t>
      </w:r>
    </w:p>
    <w:p w14:paraId="48CBDD34" w14:textId="0ADF1360" w:rsidR="00392087" w:rsidRPr="00460912" w:rsidRDefault="00392087" w:rsidP="00392087">
      <w:pPr>
        <w:pStyle w:val="Odsekzoznamu"/>
        <w:numPr>
          <w:ilvl w:val="0"/>
          <w:numId w:val="23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je </w:t>
      </w:r>
      <w:proofErr w:type="spellStart"/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schválené v sume poskytnutej zálohovej platby,</w:t>
      </w:r>
    </w:p>
    <w:p w14:paraId="1050C410" w14:textId="70ADC6BA" w:rsidR="00392087" w:rsidRPr="00460912" w:rsidRDefault="00392087" w:rsidP="00392087">
      <w:pPr>
        <w:pStyle w:val="Odsekzoznamu"/>
        <w:numPr>
          <w:ilvl w:val="0"/>
          <w:numId w:val="23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>prijímateľ vrátil celú sumu poskytnutej zálohovej platby, resp. vrátil nezúčtovaný rozdiel poskytnutej zálohy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vykonávateľovi.</w:t>
      </w:r>
    </w:p>
    <w:p w14:paraId="17B7AE90" w14:textId="77777777" w:rsidR="00F34DBD" w:rsidRPr="00460912" w:rsidRDefault="00392087" w:rsidP="00F34DB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zaznamená v ISUF operáciu vzťahujúcu sa k zúčtovaniu zálohovej platby.</w:t>
      </w:r>
    </w:p>
    <w:p w14:paraId="1F0C9363" w14:textId="3099232B" w:rsidR="00F34DBD" w:rsidRPr="00460912" w:rsidRDefault="00F34DBD" w:rsidP="00B24D30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prípade, ak prijímateľ najneskôr do skončenia lehoty na zúčtovanie poskytnutej zálohovej platby podľa tabuľky č. 2 nepredloží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 – zúčtovanie zálohovej platby alebo nepredloží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v objeme dostatočnom na zúčtovanie každej jednej poskytnutej zálohovej platby, môže vykonávateľ umožniť prijímateľovi zúčtovať poskytnutú zálohovú platbu v dodatočnej lehote alebo požiadať prijímateľa o vrátenie nezúčtovanej zálohovej platby alebo nezúčtovaného rozdielu zálohovej platby. Pokiaľ vznikne prijímateľovi povinnosť vrátiť poskytnutú zálohovú platbu a prijímateľ nevráti poskytnutú zálohovú platbu z vlastnej iniciatívy, vykonávateľ vyzve prijímateľa na vrátenie a postupuje podľa kap. 4.8. Systému implementácie Plánu obnovy a odolnosti SR.</w:t>
      </w:r>
    </w:p>
    <w:p w14:paraId="2C9E129B" w14:textId="42033363" w:rsidR="0097088A" w:rsidRPr="00460912" w:rsidRDefault="0097088A" w:rsidP="00F34DBD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Dotácia bude regionálnemu partnerovi posúdená, ako oprávnená za predpokladu, že budú vytvorené a obsadené pracovné pozície mentorov v požadovanom počte a úväzku v regionálnom centre podľa zmluvy a mentori budú preukázateľne dosahovať požadované výsledky</w:t>
      </w:r>
      <w:r w:rsidR="00161FB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473CA21E" w14:textId="4B0B48D8" w:rsidR="0097088A" w:rsidRPr="00460912" w:rsidRDefault="0097088A" w:rsidP="00B24D30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Finančné zúčtovanie sa vykoná raz za pol roka</w:t>
      </w:r>
      <w:r w:rsidR="00161FB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 termíne podľa tabuľky č. 2</w:t>
      </w:r>
      <w:r w:rsidR="003E76AC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metodikou zjednodušených možností vykazovania nákladov</w:t>
      </w:r>
      <w:r w:rsidR="004D3F61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s tým, že </w:t>
      </w:r>
      <w:r w:rsidR="004D3F61" w:rsidRPr="00460912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vyplatenie mzdových nákladov mentorov sa považujú za náklady na zamestnancov, resp. priame náklady</w:t>
      </w:r>
      <w:r w:rsidR="004D3F61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 rámci prostriedkov mechanizmu. </w:t>
      </w:r>
    </w:p>
    <w:p w14:paraId="38B742F1" w14:textId="22D169A7" w:rsidR="0097088A" w:rsidRPr="00460912" w:rsidRDefault="0097088A" w:rsidP="00B24D30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Nepriame náklady vypočítané s použitím  paušálnej sadzby vo výške do 40 % priamych nákladov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môže regionálny partner použiť bez zdôvodnenia a uvedené náklady nepodliehajú vyúčtovacej povinnosti. Zároveň však bud</w:t>
      </w:r>
      <w:r w:rsidR="008D0C0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platiť</w:t>
      </w:r>
      <w:r w:rsidR="008D0C0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 že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súčet priamych nákladov a nepriamych nákladov prijímateľa nesmie prevyšovať sumu 1550 EUR na jedno mentorské miesto a mesiac.</w:t>
      </w:r>
    </w:p>
    <w:p w14:paraId="6DE65EBF" w14:textId="09F67796" w:rsidR="001526CF" w:rsidRPr="00460912" w:rsidRDefault="001526CF" w:rsidP="00B24D30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Priame náklady v rámci prostriedkov mechanizmu bude regionálny partner preukazovať účtovnými záznamami. Predloží:</w:t>
      </w:r>
    </w:p>
    <w:p w14:paraId="39CDBC99" w14:textId="77777777" w:rsidR="001526CF" w:rsidRPr="00460912" w:rsidRDefault="001526CF" w:rsidP="001526CF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platné pracovné zmluvy mentorov, vrátane ich dodatkov a príloh, resp. obdobný doklad o pracovnom pomere podľa personálnej politiky prijímateľa, pokiaľ došlo k ich zmene alebo doplneniu od posledného zúčtovania,</w:t>
      </w:r>
    </w:p>
    <w:p w14:paraId="24C91320" w14:textId="77777777" w:rsidR="001526CF" w:rsidRPr="00460912" w:rsidRDefault="001526CF" w:rsidP="001526CF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dokument/dokumenty preukazujúce/potvrdzujúce kvalifikáciu mentorov, správnosť ich pracovného zaradenia, správnosť výpočtu ich mzdy, pokiaľ došlo k ich zmene alebo doplneniu od posledného zúčtovania,</w:t>
      </w:r>
    </w:p>
    <w:p w14:paraId="50EF686C" w14:textId="77777777" w:rsidR="001526CF" w:rsidRPr="00F75230" w:rsidRDefault="001526CF" w:rsidP="001526CF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menný zoznam mentorov vrátane veľkosti ich úväzku, ktorých mzda v danom období (polroku) bola</w:t>
      </w: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financovaná z prostriedkov mechanizmu,</w:t>
      </w:r>
    </w:p>
    <w:p w14:paraId="0B85E11D" w14:textId="77777777" w:rsidR="001526CF" w:rsidRPr="00F75230" w:rsidRDefault="001526CF" w:rsidP="001526CF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doklad o prevode prostriedkov mechanizmu formou mzdy na účet mentora.</w:t>
      </w:r>
    </w:p>
    <w:p w14:paraId="2A19BBE6" w14:textId="77777777" w:rsidR="001526CF" w:rsidRPr="00F75230" w:rsidRDefault="001526CF" w:rsidP="001526CF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Oprávnenými na preplatenie v rámci priamych nákladov sú aj dovolenky a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mentorov.</w:t>
      </w:r>
    </w:p>
    <w:p w14:paraId="698FD8F6" w14:textId="570B87F6" w:rsidR="0097088A" w:rsidRPr="00F75230" w:rsidRDefault="0097088A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706BD011" w14:textId="7C4582DE" w:rsidR="0085234F" w:rsidRPr="00F75230" w:rsidRDefault="0085234F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Tabuľka č. 2: Harmonogram vyúčtovania prostriedkov mechanizmu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2645"/>
        <w:gridCol w:w="3397"/>
      </w:tblGrid>
      <w:tr w:rsidR="00F75230" w:rsidRPr="00F75230" w14:paraId="6E4CC058" w14:textId="77777777" w:rsidTr="007E1DC8">
        <w:tc>
          <w:tcPr>
            <w:tcW w:w="5665" w:type="dxa"/>
            <w:gridSpan w:val="2"/>
          </w:tcPr>
          <w:p w14:paraId="190D351D" w14:textId="1B9BA886" w:rsidR="0085234F" w:rsidRPr="00F75230" w:rsidRDefault="0085234F" w:rsidP="0085234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Vyúčtovanie zálohovej platby</w:t>
            </w:r>
          </w:p>
        </w:tc>
        <w:tc>
          <w:tcPr>
            <w:tcW w:w="3397" w:type="dxa"/>
            <w:vMerge w:val="restart"/>
            <w:vAlign w:val="center"/>
          </w:tcPr>
          <w:p w14:paraId="2ABB4B84" w14:textId="4FCC4DCE" w:rsidR="0085234F" w:rsidRPr="00F75230" w:rsidRDefault="0085234F" w:rsidP="0085234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Termín vyúčtovania poskytnutých prostriedkov</w:t>
            </w:r>
          </w:p>
        </w:tc>
      </w:tr>
      <w:tr w:rsidR="00F75230" w:rsidRPr="00F75230" w14:paraId="5AA3A48B" w14:textId="77777777" w:rsidTr="007E1DC8">
        <w:tc>
          <w:tcPr>
            <w:tcW w:w="3020" w:type="dxa"/>
            <w:vAlign w:val="center"/>
          </w:tcPr>
          <w:p w14:paraId="117BF56B" w14:textId="64E2CAC8" w:rsidR="0085234F" w:rsidRPr="00F75230" w:rsidRDefault="0085234F" w:rsidP="00F75230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za obdobie</w:t>
            </w:r>
          </w:p>
        </w:tc>
        <w:tc>
          <w:tcPr>
            <w:tcW w:w="2645" w:type="dxa"/>
            <w:vAlign w:val="center"/>
          </w:tcPr>
          <w:p w14:paraId="5B82D0AD" w14:textId="31B06AEE" w:rsidR="0085234F" w:rsidRPr="00F75230" w:rsidRDefault="0085234F" w:rsidP="00F75230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výška poskytnutých prostriedkov mechanizmu</w:t>
            </w:r>
          </w:p>
        </w:tc>
        <w:tc>
          <w:tcPr>
            <w:tcW w:w="3397" w:type="dxa"/>
            <w:vMerge/>
          </w:tcPr>
          <w:p w14:paraId="448C6FA3" w14:textId="44B0DAF2" w:rsidR="0085234F" w:rsidRPr="00F75230" w:rsidRDefault="0085234F" w:rsidP="0097088A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</w:tr>
      <w:tr w:rsidR="00FF3A87" w:rsidRPr="00F75230" w14:paraId="2B967DCA" w14:textId="77777777" w:rsidTr="007E1DC8">
        <w:tc>
          <w:tcPr>
            <w:tcW w:w="3020" w:type="dxa"/>
          </w:tcPr>
          <w:p w14:paraId="52EC4AA7" w14:textId="39C4DE16" w:rsidR="00FF3A87" w:rsidRPr="00FF3A87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F3A87">
              <w:rPr>
                <w:rFonts w:ascii="Arial Narrow" w:hAnsi="Arial Narrow"/>
                <w:sz w:val="22"/>
                <w:szCs w:val="22"/>
              </w:rPr>
              <w:t>od 1. 7. 2022 do 31. 12. 2022</w:t>
            </w:r>
          </w:p>
        </w:tc>
        <w:tc>
          <w:tcPr>
            <w:tcW w:w="2645" w:type="dxa"/>
          </w:tcPr>
          <w:p w14:paraId="4DF8C08F" w14:textId="77777777" w:rsidR="00FF3A87" w:rsidRPr="00F75230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</w:tcPr>
          <w:p w14:paraId="5B000A42" w14:textId="33A3B94C" w:rsidR="00FF3A87" w:rsidRPr="00551195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do 15. 1. 2023</w:t>
            </w:r>
          </w:p>
        </w:tc>
      </w:tr>
      <w:tr w:rsidR="00FF3A87" w:rsidRPr="00F75230" w14:paraId="0C9622EE" w14:textId="77777777" w:rsidTr="007E1DC8">
        <w:tc>
          <w:tcPr>
            <w:tcW w:w="3020" w:type="dxa"/>
          </w:tcPr>
          <w:p w14:paraId="476472DE" w14:textId="5088B25B" w:rsidR="00FF3A87" w:rsidRPr="00FF3A87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F3A87">
              <w:rPr>
                <w:rFonts w:ascii="Arial Narrow" w:hAnsi="Arial Narrow"/>
                <w:sz w:val="22"/>
                <w:szCs w:val="22"/>
              </w:rPr>
              <w:t>od 1. 1. 2023 do 30. 6. 2023</w:t>
            </w:r>
          </w:p>
        </w:tc>
        <w:tc>
          <w:tcPr>
            <w:tcW w:w="2645" w:type="dxa"/>
          </w:tcPr>
          <w:p w14:paraId="7397893C" w14:textId="77777777" w:rsidR="00FF3A87" w:rsidRPr="00F75230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</w:tcPr>
          <w:p w14:paraId="1778B3CB" w14:textId="25C34096" w:rsidR="00FF3A87" w:rsidRPr="00551195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 xml:space="preserve">do 15. </w:t>
            </w:r>
            <w:r w:rsidR="007E1DC8" w:rsidRPr="00551195">
              <w:rPr>
                <w:rFonts w:ascii="Arial Narrow" w:hAnsi="Arial Narrow"/>
                <w:sz w:val="22"/>
                <w:szCs w:val="22"/>
              </w:rPr>
              <w:t>7</w:t>
            </w:r>
            <w:r w:rsidRPr="00551195">
              <w:rPr>
                <w:rFonts w:ascii="Arial Narrow" w:hAnsi="Arial Narrow"/>
                <w:sz w:val="22"/>
                <w:szCs w:val="22"/>
              </w:rPr>
              <w:t>. 2023</w:t>
            </w:r>
          </w:p>
        </w:tc>
      </w:tr>
      <w:tr w:rsidR="00FF3A87" w:rsidRPr="00F75230" w14:paraId="302FFA3E" w14:textId="77777777" w:rsidTr="007E1DC8">
        <w:tc>
          <w:tcPr>
            <w:tcW w:w="3020" w:type="dxa"/>
          </w:tcPr>
          <w:p w14:paraId="20B48DD5" w14:textId="272F2806" w:rsidR="00FF3A87" w:rsidRPr="00FF3A87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F3A87">
              <w:rPr>
                <w:rFonts w:ascii="Arial Narrow" w:hAnsi="Arial Narrow"/>
                <w:sz w:val="22"/>
                <w:szCs w:val="22"/>
              </w:rPr>
              <w:t>od 1. 7. 2023 do 31. 12. 2023</w:t>
            </w:r>
          </w:p>
        </w:tc>
        <w:tc>
          <w:tcPr>
            <w:tcW w:w="2645" w:type="dxa"/>
          </w:tcPr>
          <w:p w14:paraId="49B1EE2F" w14:textId="77777777" w:rsidR="00FF3A87" w:rsidRPr="00F75230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</w:tcPr>
          <w:p w14:paraId="4A0B57B1" w14:textId="40F19E31" w:rsidR="00FF3A87" w:rsidRPr="00551195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>do 15. 1. 202</w:t>
            </w:r>
            <w:r w:rsidR="007E1DC8" w:rsidRPr="0055119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FF3A87" w:rsidRPr="00F75230" w14:paraId="4C81BAA9" w14:textId="77777777" w:rsidTr="007E1DC8">
        <w:tc>
          <w:tcPr>
            <w:tcW w:w="3020" w:type="dxa"/>
          </w:tcPr>
          <w:p w14:paraId="3B9FE74D" w14:textId="571F3549" w:rsidR="00FF3A87" w:rsidRPr="00FF3A87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F3A87">
              <w:rPr>
                <w:rFonts w:ascii="Arial Narrow" w:hAnsi="Arial Narrow"/>
                <w:sz w:val="22"/>
                <w:szCs w:val="22"/>
              </w:rPr>
              <w:t>od 1. 1. 2024 do 30. 6. 2024</w:t>
            </w:r>
          </w:p>
        </w:tc>
        <w:tc>
          <w:tcPr>
            <w:tcW w:w="2645" w:type="dxa"/>
          </w:tcPr>
          <w:p w14:paraId="00795975" w14:textId="77777777" w:rsidR="00FF3A87" w:rsidRPr="00F75230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</w:tcPr>
          <w:p w14:paraId="4A6980DF" w14:textId="75E32E1D" w:rsidR="00FF3A87" w:rsidRPr="00551195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 xml:space="preserve">do 15. </w:t>
            </w:r>
            <w:r w:rsidR="007E1DC8" w:rsidRPr="00551195">
              <w:rPr>
                <w:rFonts w:ascii="Arial Narrow" w:hAnsi="Arial Narrow"/>
                <w:sz w:val="22"/>
                <w:szCs w:val="22"/>
              </w:rPr>
              <w:t>7</w:t>
            </w:r>
            <w:r w:rsidRPr="00551195">
              <w:rPr>
                <w:rFonts w:ascii="Arial Narrow" w:hAnsi="Arial Narrow"/>
                <w:sz w:val="22"/>
                <w:szCs w:val="22"/>
              </w:rPr>
              <w:t>. 202</w:t>
            </w:r>
            <w:r w:rsidR="007E1DC8" w:rsidRPr="0055119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FF3A87" w:rsidRPr="00F75230" w14:paraId="32679361" w14:textId="77777777" w:rsidTr="007E1DC8">
        <w:tc>
          <w:tcPr>
            <w:tcW w:w="3020" w:type="dxa"/>
          </w:tcPr>
          <w:p w14:paraId="37E33F84" w14:textId="634C19D1" w:rsidR="00FF3A87" w:rsidRPr="00FF3A87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F3A87">
              <w:rPr>
                <w:rFonts w:ascii="Arial Narrow" w:hAnsi="Arial Narrow"/>
                <w:sz w:val="22"/>
                <w:szCs w:val="22"/>
              </w:rPr>
              <w:t>od 1. 7. 2024 do 31. 12. 2024</w:t>
            </w:r>
          </w:p>
        </w:tc>
        <w:tc>
          <w:tcPr>
            <w:tcW w:w="2645" w:type="dxa"/>
          </w:tcPr>
          <w:p w14:paraId="24087702" w14:textId="77777777" w:rsidR="00FF3A87" w:rsidRPr="00F75230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</w:tcPr>
          <w:p w14:paraId="73CA4936" w14:textId="1CA4C860" w:rsidR="00FF3A87" w:rsidRPr="00551195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>do 15. 1. 202</w:t>
            </w:r>
            <w:r w:rsidR="007E1DC8" w:rsidRPr="0055119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FF3A87" w:rsidRPr="00F75230" w14:paraId="6A6623DA" w14:textId="77777777" w:rsidTr="007E1DC8">
        <w:tc>
          <w:tcPr>
            <w:tcW w:w="3020" w:type="dxa"/>
          </w:tcPr>
          <w:p w14:paraId="4A8DC655" w14:textId="79876121" w:rsidR="00FF3A87" w:rsidRPr="00FF3A87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F3A87">
              <w:rPr>
                <w:rFonts w:ascii="Arial Narrow" w:hAnsi="Arial Narrow"/>
                <w:sz w:val="22"/>
                <w:szCs w:val="22"/>
              </w:rPr>
              <w:t>od 1. 1. 2025 do 31. 8. 2025</w:t>
            </w:r>
          </w:p>
        </w:tc>
        <w:tc>
          <w:tcPr>
            <w:tcW w:w="2645" w:type="dxa"/>
          </w:tcPr>
          <w:p w14:paraId="3BFE7968" w14:textId="77777777" w:rsidR="00FF3A87" w:rsidRPr="00F75230" w:rsidRDefault="00FF3A87" w:rsidP="00FF3A87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</w:tcPr>
          <w:p w14:paraId="2C844C0C" w14:textId="2B075EBC" w:rsidR="00FF3A87" w:rsidRPr="00551195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záverečné vyúčtovanie do</w:t>
            </w:r>
            <w:r w:rsidR="007E1DC8"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 15. 9. 2025</w:t>
            </w:r>
          </w:p>
        </w:tc>
      </w:tr>
    </w:tbl>
    <w:p w14:paraId="48DCAC07" w14:textId="77777777" w:rsidR="007E1DC8" w:rsidRDefault="007E1DC8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8B583C4" w14:textId="70DB41BD" w:rsidR="00E54112" w:rsidRPr="00F63B55" w:rsidRDefault="00F63B55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Vyúčtovanie finančných prostriedkov v termínoch do 15. 1. 2023, 15. 1. 2024 a 15. 1. 2025 je súčasťou p</w:t>
      </w:r>
      <w:r w:rsidR="00E54112"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riebežn</w:t>
      </w:r>
      <w:r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ej</w:t>
      </w:r>
      <w:r w:rsidR="00E54112"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monitorovac</w:t>
      </w:r>
      <w:r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ej</w:t>
      </w:r>
      <w:r w:rsidR="00E54112"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správ</w:t>
      </w:r>
      <w:r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y.</w:t>
      </w:r>
    </w:p>
    <w:p w14:paraId="483EAF56" w14:textId="520049F5" w:rsidR="0085234F" w:rsidRDefault="007E1DC8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 prípade, ak celková výška poskytnutých finančných prostriedkov pridelených vykonávateľom prijímateľovi podľa </w:t>
      </w:r>
      <w:r w:rsidRPr="007E1DC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počtu mentorov v regióne stanoveného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 časti </w:t>
      </w:r>
      <w:r w:rsidR="001A11A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Stanovenie výšky prostriedkov mechanizmu je vyššia, ako oprávnené náklady regionálneho partnera za sledované obdobie, </w:t>
      </w:r>
      <w:r w:rsidR="009A501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postupuje sa podľa časti Vysporiadanie finančných vzťahov. </w:t>
      </w:r>
      <w:r w:rsidR="004063F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0D542953" w14:textId="77777777" w:rsidR="004063F0" w:rsidRPr="0097088A" w:rsidRDefault="004063F0" w:rsidP="0097088A">
      <w:pPr>
        <w:jc w:val="both"/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</w:pPr>
    </w:p>
    <w:p w14:paraId="3B06D780" w14:textId="77777777" w:rsidR="0097088A" w:rsidRPr="00460912" w:rsidRDefault="0097088A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Na poskytnuté prostriedky mechanizmu sa:</w:t>
      </w:r>
    </w:p>
    <w:p w14:paraId="10860A8A" w14:textId="0AFEE20E" w:rsidR="0097088A" w:rsidRPr="00460912" w:rsidRDefault="0097088A" w:rsidP="001526CF">
      <w:pPr>
        <w:pStyle w:val="Odsekzoznamu"/>
        <w:numPr>
          <w:ilvl w:val="0"/>
          <w:numId w:val="11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neuplatňuje DPH,</w:t>
      </w:r>
      <w:r w:rsidR="00392087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B24D3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 výnimkou prípadov, keď nie je vymáhateľná podľa vnútroštátnych právnych predpisov o DPH,</w:t>
      </w:r>
    </w:p>
    <w:p w14:paraId="211C68F8" w14:textId="6CC89EAE" w:rsidR="0097088A" w:rsidRPr="001526CF" w:rsidRDefault="0097088A" w:rsidP="0097088A">
      <w:pPr>
        <w:pStyle w:val="Odsekzoznamu"/>
        <w:numPr>
          <w:ilvl w:val="0"/>
          <w:numId w:val="11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1526C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>uplatňujú povinnosti vymedzené zákonom č. 343/2015 Z. z. o verejnom obstarávaní a o zmene a doplnení niektorých zákonov v znení neskorších predpisov.</w:t>
      </w:r>
    </w:p>
    <w:p w14:paraId="1E76C960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b/>
          <w:sz w:val="22"/>
          <w:szCs w:val="22"/>
          <w:lang w:val="sk-SK"/>
        </w:rPr>
      </w:pPr>
      <w:r w:rsidRPr="00551195">
        <w:rPr>
          <w:rFonts w:ascii="Arial Narrow" w:hAnsi="Arial Narrow" w:cs="Arial"/>
          <w:b/>
          <w:sz w:val="22"/>
          <w:szCs w:val="22"/>
          <w:lang w:val="sk-SK"/>
        </w:rPr>
        <w:t>Oprávnenými výdavkami v rámci priamych výdavkov projektu sú:</w:t>
      </w:r>
    </w:p>
    <w:p w14:paraId="4E1835BA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610, 620  mzdy a odvody (mzdové a odvodové náklady mentorov vrátane náhrady príjmu počas PN a náhrady mzdy za dovolenku),</w:t>
      </w:r>
    </w:p>
    <w:p w14:paraId="11D1EFD9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b/>
          <w:sz w:val="22"/>
          <w:szCs w:val="22"/>
          <w:lang w:val="sk-SK"/>
        </w:rPr>
      </w:pPr>
      <w:r w:rsidRPr="00551195">
        <w:rPr>
          <w:rFonts w:ascii="Arial Narrow" w:hAnsi="Arial Narrow" w:cs="Arial"/>
          <w:b/>
          <w:sz w:val="22"/>
          <w:szCs w:val="22"/>
          <w:lang w:val="sk-SK"/>
        </w:rPr>
        <w:t>Oprávnenými výdavkami v rámci nepriamych výdavkov projektu sú:</w:t>
      </w:r>
    </w:p>
    <w:p w14:paraId="3DEB120D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610, 620  mzdy a odvody (mzdové a odvodové náklady manažmentu a administratívneho personálu projektu),</w:t>
      </w:r>
    </w:p>
    <w:p w14:paraId="7E205BBA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630  tovary a služby nevyhnutné v súvislosti so zabezpečením činnosti regionálneho centra, z toho najmä:</w:t>
      </w:r>
    </w:p>
    <w:p w14:paraId="3A6BFB10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631 001 cestovné náhrady tuzemské,</w:t>
      </w:r>
    </w:p>
    <w:p w14:paraId="5B8B5E77" w14:textId="6147A1C0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631 002 cestovné náhrady zahraničné (v súlade so skutočnosťami v zmysle podľa bodu 1 Hlavných úloh </w:t>
      </w:r>
      <w:r>
        <w:rPr>
          <w:rFonts w:ascii="Arial Narrow" w:hAnsi="Arial Narrow" w:cs="Arial"/>
          <w:sz w:val="22"/>
          <w:szCs w:val="22"/>
          <w:lang w:val="sk-SK"/>
        </w:rPr>
        <w:t>regionálneho centra</w:t>
      </w:r>
      <w:r w:rsidRPr="00551195">
        <w:rPr>
          <w:rFonts w:ascii="Arial Narrow" w:hAnsi="Arial Narrow" w:cs="Arial"/>
          <w:sz w:val="22"/>
          <w:szCs w:val="22"/>
          <w:lang w:val="sk-SK"/>
        </w:rPr>
        <w:t xml:space="preserve"> – </w:t>
      </w:r>
      <w:proofErr w:type="spellStart"/>
      <w:r w:rsidRPr="00551195">
        <w:rPr>
          <w:rFonts w:ascii="Arial Narrow" w:hAnsi="Arial Narrow" w:cs="Arial"/>
          <w:sz w:val="22"/>
          <w:szCs w:val="22"/>
          <w:lang w:val="sk-SK"/>
        </w:rPr>
        <w:t>t.j</w:t>
      </w:r>
      <w:proofErr w:type="spellEnd"/>
      <w:r w:rsidRPr="00551195">
        <w:rPr>
          <w:rFonts w:ascii="Arial Narrow" w:hAnsi="Arial Narrow" w:cs="Arial"/>
          <w:sz w:val="22"/>
          <w:szCs w:val="22"/>
          <w:lang w:val="sk-SK"/>
        </w:rPr>
        <w:t>. zahraničné stáže mentorov),</w:t>
      </w:r>
    </w:p>
    <w:p w14:paraId="0CB3EA47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632 energie, voda a komunikácie </w:t>
      </w:r>
    </w:p>
    <w:p w14:paraId="6D2F609C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632 001 energie</w:t>
      </w:r>
    </w:p>
    <w:p w14:paraId="4D9A3110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632 001 vodné, stočné</w:t>
      </w:r>
    </w:p>
    <w:p w14:paraId="2F591E56" w14:textId="14153086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632 003 poštové služby a telekomunikačné služby (faxy, mobilné telefóny, poštové a kuriérske služby, spojovacie siete – internet, počítačové siete, rezortné komunikačné siete, elektronický prenos dát),</w:t>
      </w:r>
    </w:p>
    <w:p w14:paraId="08ED95D3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materiál, najmä:</w:t>
      </w:r>
    </w:p>
    <w:p w14:paraId="1D996532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633 001 interiérové vybavenie (na zabezpečenie pracovných podmienok pre mentorov a osôb vykonávajúcich administratívu a riadenie v súvislosti s činnosťou regionálneho centra),</w:t>
      </w:r>
    </w:p>
    <w:p w14:paraId="20CBE2B8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633 002 výpočtová technika (pre mentorov a pre zabezpečenie činností súvisiacich s administratívou a riadením regionálneho centra),</w:t>
      </w:r>
    </w:p>
    <w:p w14:paraId="48C55F1F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633 003 telekomunikačná technika (pre mentorov a pre zabezpečenie činností súvisiacich s administratívou a riadením regionálneho centra),</w:t>
      </w:r>
    </w:p>
    <w:p w14:paraId="56DEFD87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633 006 všeobecný materiál (všeobecný materiál nevyhnutný pre výkon práce, napr. kancelársky papier, tonery, a pod.),</w:t>
      </w:r>
    </w:p>
    <w:p w14:paraId="43B11902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633 009 knihy, časopisy, učebnice, učebné pomôcky a kompenzačné pomôcky,</w:t>
      </w:r>
    </w:p>
    <w:p w14:paraId="7C1929F4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633 013 softvér (nevyhnutný didaktický softvér pre činnosť mentorov),</w:t>
      </w:r>
    </w:p>
    <w:p w14:paraId="6C6B79BD" w14:textId="77777777" w:rsidR="00551195" w:rsidRPr="00551195" w:rsidRDefault="00551195" w:rsidP="00551195">
      <w:pPr>
        <w:tabs>
          <w:tab w:val="left" w:pos="567"/>
        </w:tabs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635 rutinná a štandardná údržba, najmä:</w:t>
      </w:r>
    </w:p>
    <w:p w14:paraId="722A2A7D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635 001 interiérového vybavenia, (využívaného na zabezpečenie pracovných podmienok mentorov)</w:t>
      </w:r>
    </w:p>
    <w:p w14:paraId="56ACEDBA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635 002 výpočtovej techniky (používanej na činnosť mentorov a osôb vykonávajúcich administratívu a riadenie v súvislosti s činnosťou regionálneho centra),</w:t>
      </w:r>
    </w:p>
    <w:p w14:paraId="4328DD33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635 002 telekomunikačnej techniky (používanej na činnosť mentorov a osôb vykonávajúcich administratívu a riadenie v súvislosti s činnosťou regionálneho centra),</w:t>
      </w:r>
    </w:p>
    <w:p w14:paraId="11BAC532" w14:textId="77777777" w:rsidR="00551195" w:rsidRPr="00551195" w:rsidRDefault="00551195" w:rsidP="00551195">
      <w:pPr>
        <w:tabs>
          <w:tab w:val="left" w:pos="567"/>
        </w:tabs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636 nájomné za prenájom, najmä:</w:t>
      </w:r>
    </w:p>
    <w:p w14:paraId="452BD692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636 001 budov, objektov alebo ich časti (na zabezpečenie pracovných podmienok pre mentorov a osoby vykonávajúce administratívu a finančné riadenie v súvislosti s činnosťou regionálneho centra),</w:t>
      </w:r>
    </w:p>
    <w:p w14:paraId="3DD37CDA" w14:textId="77777777" w:rsidR="00551195" w:rsidRPr="00551195" w:rsidRDefault="00551195" w:rsidP="00551195">
      <w:pPr>
        <w:tabs>
          <w:tab w:val="left" w:pos="567"/>
        </w:tabs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637 služby, najmä:</w:t>
      </w:r>
    </w:p>
    <w:p w14:paraId="75697A8E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637 001 školenia, kurzy, semináre, porady, konferencie, sympóziá, (pre učiteľov z regiónu, okrem úhrady nákladov spojených so vzdelávaním mentorov)</w:t>
      </w:r>
    </w:p>
    <w:p w14:paraId="6A8F7EBD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637 004 všeobecné služby,</w:t>
      </w:r>
    </w:p>
    <w:p w14:paraId="1DFDFAE5" w14:textId="77777777" w:rsidR="00551195" w:rsidRPr="00551195" w:rsidRDefault="00551195" w:rsidP="00551195">
      <w:pPr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a ďalšie výdavky preukázateľne spojené s činnosťou centra, s výnimkou položiek definovaných v časti Neoprávnené výdavky.</w:t>
      </w:r>
    </w:p>
    <w:p w14:paraId="424B0F74" w14:textId="77777777" w:rsidR="00FA3207" w:rsidRPr="00551195" w:rsidRDefault="00FA3207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49CAD08" w14:textId="548DD416" w:rsidR="00FA3207" w:rsidRPr="001D7C3F" w:rsidRDefault="00FA3207" w:rsidP="00FA3207">
      <w:pPr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1D7C3F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 xml:space="preserve">Neoprávnenými výdavkami </w:t>
      </w:r>
      <w:r w:rsidR="001D7C3F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 xml:space="preserve">Projektu </w:t>
      </w:r>
      <w:r w:rsidRPr="001D7C3F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sú:</w:t>
      </w:r>
    </w:p>
    <w:p w14:paraId="19A6E838" w14:textId="153D01F8" w:rsidR="00FA3207" w:rsidRPr="00AD6E70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úhrada záväzkov z predchádzajúceho obdobia</w:t>
      </w:r>
      <w:r w:rsidR="004D3F6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33277DCB" w14:textId="5799F141" w:rsidR="00FA3207" w:rsidRPr="00AD6E70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úhrada výdavkov, ktoré neboli zrealizované počas platnosti zmluvy</w:t>
      </w:r>
      <w:r w:rsidR="004D3F6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0D11993C" w14:textId="0CE10CC9" w:rsidR="00FA3207" w:rsidRPr="00AD6E70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splácanie úverov, pôžičiek a úrokov z poskytnutých úverov a prijatých pôžičiek</w:t>
      </w:r>
      <w:r w:rsidR="004D3F6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77304705" w14:textId="2CD2126C" w:rsidR="00FA3207" w:rsidRPr="00AD6E70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úhrada výdavkov, ktoré nie sú v súlade s účelom činnosti </w:t>
      </w:r>
      <w:r w:rsidR="004D3F6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regionálneho centra,</w:t>
      </w:r>
    </w:p>
    <w:p w14:paraId="12217BD0" w14:textId="3938FD00" w:rsidR="00FA3207" w:rsidRPr="00B23C55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výdavky spojené s</w:t>
      </w:r>
      <w:r w:rsidR="004D3F61"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darmi</w:t>
      </w:r>
      <w:r w:rsidR="004D3F61"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4EDC5A29" w14:textId="24AECEA2" w:rsidR="006C34B5" w:rsidRPr="00B23C55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kapitálové výdavky</w:t>
      </w:r>
      <w:r w:rsidR="00B23C55"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581CF186" w14:textId="6826699E" w:rsidR="00B23C55" w:rsidRPr="00B23C55" w:rsidRDefault="00B23C55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výdavky spojené so vzdelávaním mentorov, okrem nákladov súvisiacich s vyslaním na pracovnú cestu, ak ich nehradí poskytovateľ vzdelávania.</w:t>
      </w:r>
    </w:p>
    <w:p w14:paraId="5AB7A05F" w14:textId="4AAD187C" w:rsidR="009A5015" w:rsidRPr="00C0088D" w:rsidRDefault="009A5015" w:rsidP="00073AE8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lastRenderedPageBreak/>
        <w:t>VYSPORIADANIE FINANČNÝCH VZŤAHOV</w:t>
      </w:r>
    </w:p>
    <w:p w14:paraId="5B965762" w14:textId="7ED2134A" w:rsidR="009A5015" w:rsidRPr="00C0088D" w:rsidRDefault="009A5015" w:rsidP="009A5015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2C3FFC9B" w14:textId="17588F60" w:rsidR="009A5015" w:rsidRPr="00C0088D" w:rsidRDefault="009A5015" w:rsidP="009A5015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Povinnosť vysporiadať finančné vzťahy vzniká z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titulu</w:t>
      </w:r>
    </w:p>
    <w:p w14:paraId="2DCA81A7" w14:textId="48A3CE05" w:rsidR="009A5015" w:rsidRPr="00C0088D" w:rsidRDefault="009A5015" w:rsidP="004D2F9C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finančnej opravy,</w:t>
      </w:r>
    </w:p>
    <w:p w14:paraId="113E89D2" w14:textId="20A13190" w:rsidR="009A5015" w:rsidRPr="00C0088D" w:rsidRDefault="009A5015" w:rsidP="004D2F9C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Finančná oprava sa vykonáva v prípade podvodov, korupcie a konfliktu záujmov poškodzujúcich finančné</w:t>
      </w:r>
      <w:r w:rsidR="004D2F9C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záujmy Únie, ktoré neboli členskými štátmi opravené, alebo závažného porušenia povinnosti vyplývajúcej</w:t>
      </w:r>
      <w:r w:rsidR="004D2F9C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 dohody o financovaní.</w:t>
      </w:r>
    </w:p>
    <w:p w14:paraId="2739F08B" w14:textId="1255CA89" w:rsidR="009A5015" w:rsidRPr="00C0088D" w:rsidRDefault="009A5015" w:rsidP="004D2F9C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 iných dôvodov</w:t>
      </w:r>
      <w:r w:rsidR="004D2F9C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74CDC143" w14:textId="77777777" w:rsidR="009A5015" w:rsidRPr="00C0088D" w:rsidRDefault="009A5015" w:rsidP="009A5015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 vysporiadaniu finančných vzťahov s prijímateľom pristupuje vykonávateľ najmä v nasledovných prípadoch:</w:t>
      </w:r>
    </w:p>
    <w:p w14:paraId="760F1EF8" w14:textId="6A0D6D5A" w:rsidR="009A5015" w:rsidRPr="00C0088D" w:rsidRDefault="00C0088D" w:rsidP="004D2F9C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9A5015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nevyčerpal alebo nezúčtoval poskytnutú zálohovú platbu,</w:t>
      </w:r>
    </w:p>
    <w:p w14:paraId="5C3AF29F" w14:textId="76BC45D6" w:rsidR="009A5015" w:rsidRPr="00C0088D" w:rsidRDefault="00C0088D" w:rsidP="009A5015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9A5015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použil poskytnuté finančné prostriedky v rozpore s uplatniteľnými predpismi SR alebo EÚ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9A5015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(napr. porušenie finančnej disciplíny),</w:t>
      </w:r>
    </w:p>
    <w:p w14:paraId="7D92712D" w14:textId="5AA74946" w:rsidR="000417A1" w:rsidRPr="00C0088D" w:rsidRDefault="00C0088D" w:rsidP="000417A1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porušil alebo nesplnil povinnosti stanovené v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Z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mluve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porušenie týchto povinností, resp. nesplnenie týchto povinností je spojené s povinnosťou vrátenia finančných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prostriedkov,</w:t>
      </w:r>
    </w:p>
    <w:p w14:paraId="760CCDA5" w14:textId="01C4FBB2" w:rsidR="000417A1" w:rsidRPr="00C0088D" w:rsidRDefault="00C0088D" w:rsidP="00C0088D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regionálnemu partnerovi 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boli poskytnuté prostriedky z titulu mylnej platby.</w:t>
      </w:r>
    </w:p>
    <w:p w14:paraId="2C5EB094" w14:textId="77777777" w:rsidR="00C0088D" w:rsidRPr="00C44F46" w:rsidRDefault="00C0088D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28A26B7E" w14:textId="0FEEF08E" w:rsidR="000417A1" w:rsidRPr="00C44F46" w:rsidRDefault="000417A1" w:rsidP="00C0088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Finančná oprava voči 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regionálnemu partnerovi, ako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prijímateľovi sa vykoná vrátením prostriedkov mechanizmu alebo ich časti. Sumu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zodpovedajúcu finančnej oprave vracia 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na príjmový účet 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ykonávateľa. Ak je prijímateľom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štátna rozpočtová organizácia, finančná oprava sa vykoná viazaním prostriedkov mechanizmu.</w:t>
      </w:r>
    </w:p>
    <w:p w14:paraId="7D04D471" w14:textId="77777777" w:rsidR="00C0088D" w:rsidRPr="00C44F46" w:rsidRDefault="00C0088D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5A49080" w14:textId="42949F67" w:rsidR="000417A1" w:rsidRPr="00C44F46" w:rsidRDefault="000417A1" w:rsidP="000B387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súlade s § 21 ods. 4 zákona o mechanizme je 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partner, ako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 povinný vrátiť prostriedky mechanizmu alebo ich časť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postupom podľa ustanovenia § 21 ods. 5 a 6 tohto zákona a za podmienok a uvedených v zmluve o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poskytnutí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prostriedkov mechanizmu. V prípade vysporiadania finančných vzťahov na základe vlastnej iniciatívy 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regionálneho partnera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regionálny partner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oznámi túto skutočnosť vykonávateľovi a vykonávateľ zabezpečí zodpovedajúcu evidenciu v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ISUF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(informačný systém účtovníctva fondov)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2478B9D1" w14:textId="77777777" w:rsidR="000B3879" w:rsidRPr="00C44F46" w:rsidRDefault="000B3879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5F3533B" w14:textId="540E8474" w:rsidR="000417A1" w:rsidRPr="00C44F46" w:rsidRDefault="000417A1" w:rsidP="00354032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 má 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partner, ako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povinnosť vrátiť prostriedky mechanizmu alebo ich časť a </w:t>
      </w:r>
      <w:proofErr w:type="spellStart"/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nevysporiadal</w:t>
      </w:r>
      <w:proofErr w:type="spellEnd"/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ich z vlastnej iniciatívy,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vyzve 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ho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na vrátenie prostriedkov mechanizmu alebo ich časti. V jednotlivých prípadoch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vrátenia finančných prostriedkov vykonávateľ zašle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regionálnemu partnerovi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žiadosť o vrátenie finančných prostriedkov. Ak sa finančná oprava vykonáva z titulu porušenia finančnej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disciplíny a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 regionálny partner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 vráti prostriedky mechanizmu v lehote určenej vo výzve, penále a pokuta za porušenie</w:t>
      </w:r>
    </w:p>
    <w:p w14:paraId="419CE53C" w14:textId="4BCE89B7" w:rsidR="009A5015" w:rsidRPr="00C44F46" w:rsidRDefault="000417A1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finančnej disciplíny sa neuplatňuje.</w:t>
      </w:r>
    </w:p>
    <w:p w14:paraId="7157A571" w14:textId="53728C45" w:rsidR="000417A1" w:rsidRPr="00C44F46" w:rsidRDefault="000417A1" w:rsidP="00354032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 suma, ktorá sa má vrátiť, nepresiahne 40 EUR, tieto finančné prostriedky vykonávateľ od 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regionálneho partnera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neuplatňuje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nevymáha. Pokiaľ kumulatívna suma finančných prostriedkov, ktoré má prijímateľ vrátiť, presiahne 40 EUR,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uplatní a vymáha túto úhrnnú sumu od prijímateľa.</w:t>
      </w:r>
    </w:p>
    <w:p w14:paraId="6D7278AD" w14:textId="77777777" w:rsidR="00354032" w:rsidRPr="00C44F46" w:rsidRDefault="00354032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DBAA09C" w14:textId="64EFEAF0" w:rsidR="000417A1" w:rsidRPr="00C44F46" w:rsidRDefault="000417A1" w:rsidP="00354032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 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partner, ako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 nevráti prostriedky mechanizmu alebo ich časť ani z vlastnej iniciatívy a ani na základe výzvy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vykonávateľa a povinnosť vrátiť prostriedky mechanizmu vznikla v dôsledku porušenia finančnej disciplíny,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postupuje vykonávateľ podnet Ú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radu vládneho auditu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na správne konanie vo veci porušenia finančnej disciplíny. Správcom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pohľadávky štátu z prostriedkov mechanizmu je vykonávateľ do dňa nadobudnutia právoplatnosti rozhodnutia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 porušení finančnej disciplíny. Dňom nadobudnutia právoplatnosti takéhoto rozhodnutia sa správcom pohľadávky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štátu stáva orgán, ktorý vydal rozhodnutie o porušení finančnej disciplíny. O pohľadávke štátu z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prostriedkov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mechanizmu účtuje jej správca. Odvod za porušenie finančnej disciplíny pri hospodárení s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prostriedkami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mechanizmu sa odvádza na príjmový rozpočtový účet vykonávateľa.</w:t>
      </w:r>
    </w:p>
    <w:p w14:paraId="3668663C" w14:textId="77777777" w:rsidR="00354032" w:rsidRPr="00C44F46" w:rsidRDefault="00354032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C8BD3D5" w14:textId="78D6FAB6" w:rsidR="009A5015" w:rsidRPr="00C44F46" w:rsidRDefault="000417A1" w:rsidP="00354032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 povinnosť vrátiť prostriedky mechanizmu vznikla v dôsledku iného porušenia, uplatňuje sa vrátenie 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rostriedkov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mechanizmu podľa ustanovenia § 131 až 138 Civilného sporového poriadku.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prípade, ak vznikne prijímateľovi povinnosť vrátiť prostriedky mechanizmu, môže vykonávateľ s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prijímateľom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uzavrieť dohodu o splátkach a dohodu o odklade plnenia.</w:t>
      </w:r>
    </w:p>
    <w:p w14:paraId="27228E1B" w14:textId="77777777" w:rsidR="009A5015" w:rsidRPr="00C44F46" w:rsidRDefault="009A5015" w:rsidP="00073AE8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</w:p>
    <w:p w14:paraId="6083A439" w14:textId="519047E2" w:rsidR="00E06044" w:rsidRPr="00C44F46" w:rsidRDefault="00E06044" w:rsidP="00073AE8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M</w:t>
      </w:r>
      <w:r w:rsidR="00073AE8" w:rsidRPr="00C44F46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ONITOROVANIE A PODÁVANIE SPRÁV</w:t>
      </w:r>
    </w:p>
    <w:p w14:paraId="3E9DFC3B" w14:textId="4DE23E52" w:rsidR="00E06044" w:rsidRPr="00C44F46" w:rsidRDefault="00E06044" w:rsidP="00E06044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D15D393" w14:textId="691D7E4A" w:rsidR="00073AE8" w:rsidRDefault="00073AE8" w:rsidP="00073AE8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Základom pre monitorovanie implementácie projektu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</w:t>
      </w: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 informácie a údaje predložené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prijímateľom</w:t>
      </w:r>
      <w:r w:rsidR="003B594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prostredníctvom Monitorovacích správ Projektu</w:t>
      </w:r>
      <w:r w:rsidR="00CF37C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, ktorého forma a obsah stanovuje Systém implementácie plánu obnovy a odolnosti SR. </w:t>
      </w:r>
    </w:p>
    <w:p w14:paraId="45DA8FA2" w14:textId="28FC5C60" w:rsidR="00073AE8" w:rsidRDefault="003B594B" w:rsidP="00073AE8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>Regionálny partner predkladá Monitorovaciu správu:</w:t>
      </w:r>
    </w:p>
    <w:p w14:paraId="7470918F" w14:textId="012A24B1" w:rsidR="003B594B" w:rsidRDefault="003C6AF2" w:rsidP="003C6AF2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za účelom pravidelného získavania informácií o implementácii projektu a zabezpečenia plnenia svojich úloh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</w:t>
      </w:r>
      <w:r w:rsidR="003B594B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termínoch určených podľa tabuľky č. 3,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alebo</w:t>
      </w:r>
    </w:p>
    <w:p w14:paraId="2FE6868B" w14:textId="2E2C4329" w:rsidR="00073AE8" w:rsidRPr="003C6AF2" w:rsidRDefault="003C6AF2" w:rsidP="00073AE8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 prípade potreby </w:t>
      </w:r>
      <w:r w:rsidR="00073AE8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na základe vyžiadania, ktoré vykonávateľ zašle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regionálnemu partnerovi.</w:t>
      </w:r>
    </w:p>
    <w:p w14:paraId="389954A5" w14:textId="77777777" w:rsidR="00073AE8" w:rsidRPr="00073AE8" w:rsidRDefault="00073AE8" w:rsidP="00073AE8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Monitorovanie vykonávané vykonávateľom počas realizácie projektu je zamerané napr. na:</w:t>
      </w:r>
    </w:p>
    <w:p w14:paraId="3539C750" w14:textId="76ECB98B" w:rsidR="00073AE8" w:rsidRDefault="00073AE8" w:rsidP="00073AE8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to, ako je prijímateľom zabezpečená realizácia projektu a ako prijímateľ všeobecne napreduje v</w:t>
      </w:r>
      <w:r w:rsidR="003C6AF2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implementácii</w:t>
      </w:r>
      <w:r w:rsidR="003C6AF2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projektu a ako sú prijímateľom napĺňané ciele projektu uvedené v zmluve o poskytnutí prostriedkov</w:t>
      </w:r>
      <w:r w:rsidR="003C6AF2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mechanizmu,</w:t>
      </w:r>
    </w:p>
    <w:p w14:paraId="04A00E0D" w14:textId="489B5EE1" w:rsidR="00073AE8" w:rsidRDefault="00073AE8" w:rsidP="00073AE8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riziká, ktoré môžu ohroziť implementáciu projektu a dosiahnutie jeho cieľov,</w:t>
      </w:r>
    </w:p>
    <w:p w14:paraId="580C1938" w14:textId="56A03A3B" w:rsidR="00073AE8" w:rsidRPr="003C6AF2" w:rsidRDefault="00073AE8" w:rsidP="00073AE8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plnenie iných povinností stanovených prijímateľovi v zmluve o poskytnutí prostriedkov mechanizmu.</w:t>
      </w:r>
    </w:p>
    <w:p w14:paraId="63305760" w14:textId="77777777" w:rsidR="00073AE8" w:rsidRPr="00073AE8" w:rsidRDefault="00073AE8" w:rsidP="00073AE8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súvislosti s termínmi predkladania monitorovacích správ možno monitorovacie správy projektu deliť na:</w:t>
      </w:r>
    </w:p>
    <w:p w14:paraId="5094FC81" w14:textId="2F8FAADF" w:rsidR="00073AE8" w:rsidRPr="00E54112" w:rsidRDefault="00073AE8" w:rsidP="00E54112">
      <w:pPr>
        <w:pStyle w:val="Odsekzoznamu"/>
        <w:numPr>
          <w:ilvl w:val="0"/>
          <w:numId w:val="12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E541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priebežnú,</w:t>
      </w:r>
    </w:p>
    <w:p w14:paraId="1C617005" w14:textId="664DD036" w:rsidR="00E54112" w:rsidRDefault="004063F0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073AE8"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predkladá priebežnú monitorovaciu správu v priebehu realizácie projektu, pričom lehota</w:t>
      </w:r>
      <w:r w:rsid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73AE8"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na predloženie priebežnej monitorovacej správy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</w:t>
      </w:r>
      <w:r w:rsidR="00073AE8"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naviazaná na termín predkladania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odpočtu činností podľa prílohy č. 2 Zmluvy.</w:t>
      </w:r>
      <w:r w:rsid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71C75F68" w14:textId="2EB2CCA4" w:rsidR="00E54112" w:rsidRPr="00E54112" w:rsidRDefault="00E54112" w:rsidP="00E54112">
      <w:pPr>
        <w:pStyle w:val="Odsekzoznamu"/>
        <w:numPr>
          <w:ilvl w:val="0"/>
          <w:numId w:val="12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E541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záverečnú,</w:t>
      </w:r>
    </w:p>
    <w:p w14:paraId="08A41B63" w14:textId="50FE5C36" w:rsidR="00E54112" w:rsidRPr="00E54112" w:rsidRDefault="004063F0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E54112" w:rsidRP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predkladá záverečnú monitorovaciu správu spolu so záverečn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ým vyúčtovaním poskytnutých prostriedkov podľa tabuľky č. 2</w:t>
      </w:r>
      <w:r w:rsidR="00E54112" w:rsidRP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1ABB4928" w14:textId="61E19221" w:rsidR="00E54112" w:rsidRPr="00E54112" w:rsidRDefault="00E54112" w:rsidP="00E54112">
      <w:pPr>
        <w:pStyle w:val="Odsekzoznamu"/>
        <w:numPr>
          <w:ilvl w:val="0"/>
          <w:numId w:val="12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E541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následnú,</w:t>
      </w:r>
    </w:p>
    <w:p w14:paraId="3C4B615E" w14:textId="00940EBF" w:rsidR="00E54112" w:rsidRDefault="004063F0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Regionálny partner</w:t>
      </w:r>
      <w:r w:rsidR="00E54112" w:rsidRP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predkladá následnú monitorovaciu správu po ukončení realizácie projektu, t. j. po fyzickom</w:t>
      </w:r>
      <w:r w:rsid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E54112" w:rsidRP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finančnom ukončení projektu, v období udržateľnosti projektu.</w:t>
      </w:r>
      <w:r w:rsid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50CBB160" w14:textId="2B82CC14" w:rsidR="00E54112" w:rsidRDefault="00E54112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3DBE405" w14:textId="48162E11" w:rsidR="00CF37CA" w:rsidRDefault="00CF37CA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Tabuľka č. 3: Harmonogram predloženia monitorovacích správ</w:t>
      </w:r>
    </w:p>
    <w:tbl>
      <w:tblPr>
        <w:tblStyle w:val="Mriekatabuky"/>
        <w:tblW w:w="8783" w:type="dxa"/>
        <w:tblInd w:w="284" w:type="dxa"/>
        <w:tblLook w:val="04A0" w:firstRow="1" w:lastRow="0" w:firstColumn="1" w:lastColumn="0" w:noHBand="0" w:noVBand="1"/>
      </w:tblPr>
      <w:tblGrid>
        <w:gridCol w:w="4247"/>
        <w:gridCol w:w="4536"/>
      </w:tblGrid>
      <w:tr w:rsidR="00954CBF" w14:paraId="493AEEF8" w14:textId="77777777" w:rsidTr="00954CBF">
        <w:tc>
          <w:tcPr>
            <w:tcW w:w="4247" w:type="dxa"/>
            <w:shd w:val="clear" w:color="auto" w:fill="D9D9D9" w:themeFill="background1" w:themeFillShade="D9"/>
          </w:tcPr>
          <w:p w14:paraId="150B5A9D" w14:textId="253942D6" w:rsidR="00954CBF" w:rsidRDefault="00954CBF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Druh monitorovacej správy projektu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6F9FFB6B" w14:textId="5E9243BF" w:rsidR="00954CBF" w:rsidRDefault="00954CBF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Termín predloženia</w:t>
            </w:r>
          </w:p>
        </w:tc>
      </w:tr>
      <w:tr w:rsidR="0026364D" w14:paraId="085D75AF" w14:textId="77777777" w:rsidTr="00954CBF">
        <w:tc>
          <w:tcPr>
            <w:tcW w:w="4247" w:type="dxa"/>
            <w:vMerge w:val="restart"/>
            <w:vAlign w:val="center"/>
          </w:tcPr>
          <w:p w14:paraId="74EE70DD" w14:textId="5B3BADAE" w:rsidR="0026364D" w:rsidRDefault="0026364D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Priebežná</w:t>
            </w:r>
          </w:p>
        </w:tc>
        <w:tc>
          <w:tcPr>
            <w:tcW w:w="4536" w:type="dxa"/>
          </w:tcPr>
          <w:p w14:paraId="7A6CC724" w14:textId="387AC003" w:rsidR="0026364D" w:rsidRPr="00551195" w:rsidRDefault="0026364D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>do 15. 7. 2023</w:t>
            </w:r>
          </w:p>
        </w:tc>
      </w:tr>
      <w:tr w:rsidR="0026364D" w14:paraId="537385AF" w14:textId="77777777" w:rsidTr="00954CBF">
        <w:tc>
          <w:tcPr>
            <w:tcW w:w="4247" w:type="dxa"/>
            <w:vMerge/>
          </w:tcPr>
          <w:p w14:paraId="0478758C" w14:textId="77777777" w:rsidR="0026364D" w:rsidRDefault="0026364D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1C422D77" w14:textId="58250656" w:rsidR="0026364D" w:rsidRPr="00551195" w:rsidRDefault="0026364D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>do 15. 7. 2024</w:t>
            </w:r>
          </w:p>
        </w:tc>
      </w:tr>
      <w:tr w:rsidR="00954CBF" w14:paraId="07C3A5F6" w14:textId="77777777" w:rsidTr="00954CBF">
        <w:tc>
          <w:tcPr>
            <w:tcW w:w="4247" w:type="dxa"/>
          </w:tcPr>
          <w:p w14:paraId="11DC66F7" w14:textId="5BE7C2AD" w:rsidR="00954CBF" w:rsidRDefault="0026364D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Záverečná</w:t>
            </w:r>
          </w:p>
        </w:tc>
        <w:tc>
          <w:tcPr>
            <w:tcW w:w="4536" w:type="dxa"/>
          </w:tcPr>
          <w:p w14:paraId="4F66C3C8" w14:textId="063B8049" w:rsidR="00954CBF" w:rsidRPr="00551195" w:rsidRDefault="0026364D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do 15. 9. 2025</w:t>
            </w:r>
          </w:p>
        </w:tc>
      </w:tr>
      <w:tr w:rsidR="00F766F1" w14:paraId="0182EBC2" w14:textId="77777777" w:rsidTr="000F1BEA">
        <w:tc>
          <w:tcPr>
            <w:tcW w:w="4247" w:type="dxa"/>
            <w:vMerge w:val="restart"/>
            <w:vAlign w:val="center"/>
          </w:tcPr>
          <w:p w14:paraId="77C27BD8" w14:textId="1B4378F9" w:rsidR="00F766F1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Následná</w:t>
            </w:r>
          </w:p>
        </w:tc>
        <w:tc>
          <w:tcPr>
            <w:tcW w:w="4536" w:type="dxa"/>
          </w:tcPr>
          <w:p w14:paraId="7B16177C" w14:textId="48CA386A" w:rsidR="00F766F1" w:rsidRPr="00551195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do 15. 9. 2026</w:t>
            </w:r>
          </w:p>
        </w:tc>
      </w:tr>
      <w:tr w:rsidR="00F766F1" w14:paraId="15DF2228" w14:textId="77777777" w:rsidTr="00954CBF">
        <w:tc>
          <w:tcPr>
            <w:tcW w:w="4247" w:type="dxa"/>
            <w:vMerge/>
          </w:tcPr>
          <w:p w14:paraId="56E16443" w14:textId="77777777" w:rsidR="00F766F1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1FD051CE" w14:textId="024CA0F7" w:rsidR="00F766F1" w:rsidRPr="00551195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do 15. 9. 2027</w:t>
            </w:r>
          </w:p>
        </w:tc>
      </w:tr>
      <w:tr w:rsidR="00F766F1" w14:paraId="3A6F796F" w14:textId="77777777" w:rsidTr="00954CBF">
        <w:tc>
          <w:tcPr>
            <w:tcW w:w="4247" w:type="dxa"/>
            <w:vMerge/>
          </w:tcPr>
          <w:p w14:paraId="278C6673" w14:textId="77777777" w:rsidR="00F766F1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504321AB" w14:textId="1B2AF9DD" w:rsidR="00F766F1" w:rsidRPr="00551195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do 15. 9. 2028</w:t>
            </w:r>
          </w:p>
        </w:tc>
      </w:tr>
      <w:tr w:rsidR="00F766F1" w14:paraId="0F10115D" w14:textId="77777777" w:rsidTr="00954CBF">
        <w:tc>
          <w:tcPr>
            <w:tcW w:w="4247" w:type="dxa"/>
            <w:vMerge/>
          </w:tcPr>
          <w:p w14:paraId="4B94364A" w14:textId="77777777" w:rsidR="00F766F1" w:rsidRDefault="00F766F1" w:rsidP="000F1BEA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0FF397B7" w14:textId="70C2859B" w:rsidR="00F766F1" w:rsidRPr="00551195" w:rsidRDefault="00F766F1" w:rsidP="000F1BEA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>do 15. 9. 2029</w:t>
            </w:r>
          </w:p>
        </w:tc>
      </w:tr>
      <w:tr w:rsidR="00F766F1" w14:paraId="62695AD8" w14:textId="77777777" w:rsidTr="00954CBF">
        <w:tc>
          <w:tcPr>
            <w:tcW w:w="4247" w:type="dxa"/>
            <w:vMerge/>
          </w:tcPr>
          <w:p w14:paraId="4B9D3703" w14:textId="77777777" w:rsidR="00F766F1" w:rsidRDefault="00F766F1" w:rsidP="000F1BEA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69544F0B" w14:textId="288CC431" w:rsidR="00F766F1" w:rsidRPr="00551195" w:rsidRDefault="00F766F1" w:rsidP="000F1BEA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>do 15. 9. 2030</w:t>
            </w:r>
          </w:p>
        </w:tc>
      </w:tr>
    </w:tbl>
    <w:p w14:paraId="15F21054" w14:textId="77777777" w:rsidR="00CF37CA" w:rsidRDefault="00CF37CA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0EB9F01" w14:textId="66D6BEE5" w:rsidR="00CF37CA" w:rsidRDefault="0026364D" w:rsidP="0026364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 rámci Monitorovacej správy požaduje vykonávateľ poskytnúť nasledovné údaje:</w:t>
      </w:r>
    </w:p>
    <w:p w14:paraId="11E36210" w14:textId="25C16748" w:rsidR="00CF37CA" w:rsidRDefault="003C18D1" w:rsidP="0026364D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</w:t>
      </w:r>
      <w:r w:rsidR="00CF37CA" w:rsidRPr="0026364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ákladné údaje o</w:t>
      </w:r>
      <w:r w:rsid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regionálnom partnerovi</w:t>
      </w:r>
      <w:r w:rsidR="00CF37CA" w:rsidRPr="0026364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5B35AD11" w14:textId="04CFF070" w:rsidR="00CF37CA" w:rsidRDefault="00CF37CA" w:rsidP="0095429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číslo a názov projektu,</w:t>
      </w:r>
    </w:p>
    <w:p w14:paraId="353D5A4A" w14:textId="5861929A" w:rsidR="00CF37CA" w:rsidRDefault="00CF37CA" w:rsidP="0095429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obdobie, za ktoré sa monitorovacia správa predkladá,</w:t>
      </w:r>
    </w:p>
    <w:p w14:paraId="3E8B8B37" w14:textId="62B81530" w:rsidR="00CF37CA" w:rsidRDefault="00CF37CA" w:rsidP="0095429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popis vykonaných činností súvisiacich s realizáciou projektu počas monitorovaného obdobia</w:t>
      </w:r>
      <w:r w:rsid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(odpočet činností)</w:t>
      </w: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0A68A07D" w14:textId="1C5A1436" w:rsidR="00CF37CA" w:rsidRDefault="00CF37CA" w:rsidP="0095429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identifikované problémy, riziká, prípadne prijaté opatrenia na ich odstránenie a ďalšie informácie,</w:t>
      </w:r>
    </w:p>
    <w:p w14:paraId="6B755DA6" w14:textId="34C22344" w:rsidR="00CF37CA" w:rsidRDefault="00CF37CA" w:rsidP="00CF37CA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priebeh implementácie (podľa plánu / v omeškaní), pričom v prípade omeškania sa v monitorovacej správe</w:t>
      </w:r>
      <w:r w:rsidR="0095429C"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projektu uvádza aj zdôvodnenie omeškania,</w:t>
      </w:r>
    </w:p>
    <w:p w14:paraId="7BC53800" w14:textId="7531E6C6" w:rsidR="00CF37CA" w:rsidRPr="000F1BEA" w:rsidRDefault="00CF37CA" w:rsidP="00CF37CA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popis plánovaných činností v nasledujúcom monitorovacom období, pričom v prípade indikovaného</w:t>
      </w:r>
      <w:r w:rsidR="00B36C5F"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omeškania sa osobitne uvedú plánované činnosti, ktorými sa zabezpečí realizácia projektu v</w:t>
      </w:r>
      <w:r w:rsidR="00B36C5F"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požadovanom</w:t>
      </w:r>
      <w:r w:rsidR="00B36C5F"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termíne,</w:t>
      </w:r>
    </w:p>
    <w:p w14:paraId="58024120" w14:textId="1C25730E" w:rsidR="00CF37CA" w:rsidRDefault="00CF37CA" w:rsidP="00B36C5F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suma finančných prostriedkov podľa zdrojov financovania alokovaná na realizáciu projektu celkom,</w:t>
      </w:r>
    </w:p>
    <w:p w14:paraId="50E1AB3F" w14:textId="5CBE82FA" w:rsidR="00CF37CA" w:rsidRDefault="00CF37CA" w:rsidP="00CF37CA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finančné prostriedky použité na realizáciu projektu podľa zdrojov financovania v predchádzajúcich obdobiach,</w:t>
      </w:r>
      <w:r w:rsidR="00B36C5F"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monitorovacom období a celkom kumulatívne v EUR a % z celkovej alokácie,</w:t>
      </w:r>
    </w:p>
    <w:p w14:paraId="7C73800D" w14:textId="109867E0" w:rsidR="00CF37CA" w:rsidRDefault="00CF37CA" w:rsidP="00B36C5F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zoznam príloh,</w:t>
      </w:r>
    </w:p>
    <w:p w14:paraId="76046FB3" w14:textId="6DFDC03C" w:rsidR="00CF37CA" w:rsidRDefault="00CF37CA" w:rsidP="00B36C5F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vyhlásenie o úplnosti, presnosti a správnosti údajov uvedených v monitorovacej správe,</w:t>
      </w:r>
    </w:p>
    <w:p w14:paraId="233E2555" w14:textId="013B4EC1" w:rsidR="00CF37CA" w:rsidRPr="00B36C5F" w:rsidRDefault="00CF37CA" w:rsidP="00B36C5F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miesto a dátum podpisu, meno, priezvisko, funkcia a podpis štatutárneho orgánu prijímateľa.</w:t>
      </w:r>
    </w:p>
    <w:p w14:paraId="60288FC7" w14:textId="3DFA2841" w:rsidR="00B36C5F" w:rsidRDefault="00CF37CA" w:rsidP="00B36C5F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F37C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Rozsah údajov poskytovaných </w:t>
      </w:r>
      <w:r w:rsid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regionálnym partnerom poskytne vykonávateľ vo vzore Monitorovacej správy, zostavenej podľa odporúčaní v Systéme implementácie Plánu obnovy a odolnosti SR</w:t>
      </w:r>
      <w:r w:rsid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, ktorý </w:t>
      </w:r>
      <w:r w:rsidR="00B36C5F"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zašle vykonávateľ regionálnemu partnerovi do 30. 11. 2022.</w:t>
      </w:r>
    </w:p>
    <w:p w14:paraId="43DC4A15" w14:textId="59D59C9E" w:rsidR="00B81C26" w:rsidRDefault="00B81C26" w:rsidP="00B81C26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</w:t>
      </w:r>
      <w:r w:rsidRP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prípade, ak na základe údajov získaných z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</w:t>
      </w:r>
      <w:r w:rsidRP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onitorovacej správy projektu vykonávateľ identifikuje nejasnosti,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vyzve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regionálneho partnera </w:t>
      </w:r>
      <w:r w:rsidRP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na poskytnutie vysvetlenia alebo doplnenia monitorovacej správy.</w:t>
      </w:r>
    </w:p>
    <w:p w14:paraId="723E182A" w14:textId="77777777" w:rsidR="001A04A0" w:rsidRDefault="001A04A0" w:rsidP="00B30F6D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</w:p>
    <w:p w14:paraId="1EF19059" w14:textId="6C040B9B" w:rsidR="00267343" w:rsidRPr="00B30F6D" w:rsidRDefault="00B30F6D" w:rsidP="00B30F6D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lastRenderedPageBreak/>
        <w:t>KONTROLA</w:t>
      </w:r>
    </w:p>
    <w:p w14:paraId="411DB957" w14:textId="2C5C15C0" w:rsidR="00B30F6D" w:rsidRDefault="00B30F6D" w:rsidP="00B81C26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1A094B07" w14:textId="77777777" w:rsidR="00B30F6D" w:rsidRPr="00B30F6D" w:rsidRDefault="00B30F6D" w:rsidP="00B30F6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Účelom kontroly, ktorá sa vykonáva pri implementácii Plánu obnovy je zabezpečiť potrebné uistenie, že sa všetky</w:t>
      </w:r>
    </w:p>
    <w:p w14:paraId="71901A97" w14:textId="77777777" w:rsidR="00B30F6D" w:rsidRPr="00B30F6D" w:rsidRDefault="00B30F6D" w:rsidP="00B30F6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opatrenia v rámci Plánu obnovy riadne vykonávajú a prostriedky mechanizmu sú spravované v súlade so všetkými</w:t>
      </w:r>
    </w:p>
    <w:p w14:paraId="0560F05B" w14:textId="723F3B36" w:rsidR="00B30F6D" w:rsidRDefault="00B30F6D" w:rsidP="00B30F6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uplatniteľnými predpismi, najmä pokiaľ ide o predchádzanie konfliktom záujmov, podvodom a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korupcii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predchádzanie dvojitému financovaniu z prostriedkov mechanizmu a iných prostriedkov EÚ a iných nástrojov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finančnej pomoci poskytnutej SR zo zahraničia, ako aj s inými verejnými prostriedkami a v súlade so zásadou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správneho finančného riadenia.</w:t>
      </w:r>
    </w:p>
    <w:p w14:paraId="7962E43E" w14:textId="635DB406" w:rsidR="00B30F6D" w:rsidRDefault="00B30F6D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 implementácii Plánu obnovy sa uplatní systém kontrol upravený zákonom o finančnej kontrole. Finančnú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kontrolu sú priamo v zmysle tohto zákona povinné vykonávať všetky subjekty, ktoré zabezpečujú implementáciu</w:t>
      </w:r>
      <w:r w:rsidR="00D1714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Plánu obnovy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: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NIKA, vykonávateľ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 </w:t>
      </w:r>
      <w:r w:rsidR="00D1714F" w:rsidRPr="00D1714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osoba vykonávajúca finančné nástroje</w:t>
      </w:r>
      <w:r w:rsidR="00D1714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(prostredníctvom ktorej sa poskytujú verejné prostriedky). Pri vykonávaní finančnej kontroly sa postupuje podľa všeobecne platných právnych predpisov a Systému implementácie Plánu obnovy a odolnosti SR.</w:t>
      </w:r>
    </w:p>
    <w:p w14:paraId="3BE2BF14" w14:textId="32C287F0" w:rsidR="001E513E" w:rsidRPr="001E513E" w:rsidRDefault="001E513E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inančná kontrola sa podľa zákona o finančnej kontrole vykonáva ako:</w:t>
      </w:r>
    </w:p>
    <w:p w14:paraId="04C92C13" w14:textId="7D3FC28D" w:rsidR="001E513E" w:rsidRPr="001E513E" w:rsidRDefault="001E513E" w:rsidP="001E513E">
      <w:pPr>
        <w:pStyle w:val="Odsekzoznamu"/>
        <w:numPr>
          <w:ilvl w:val="0"/>
          <w:numId w:val="13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1E513E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základná finančná kontrola,</w:t>
      </w:r>
    </w:p>
    <w:p w14:paraId="314D1AA2" w14:textId="547382FF" w:rsidR="00D1714F" w:rsidRDefault="001E513E" w:rsidP="001E513E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Základná finančná kontrola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sa vykonáva povinne v súvislosti s každou finančnou operáciou alebo jej časťou do vnútra orgánu verejnej správy, ktorý túto kontrolu vykonáva. Jej cieľom je posúdiť,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či vo finančnej operácii alebo jej časti možno alebo nemožno pokračovať, či finančnú operáciu možno vykonať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alebo nemožno vykonať, alebo či je alebo nie je potrebné vymáhať poskytnuté plnenie, ak sa finančná operácia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alebo jej časť už vykonala.</w:t>
      </w:r>
    </w:p>
    <w:p w14:paraId="3EAC0106" w14:textId="413DE01C" w:rsidR="001E513E" w:rsidRPr="001E513E" w:rsidRDefault="001E513E" w:rsidP="001E513E">
      <w:pPr>
        <w:pStyle w:val="Odsekzoznamu"/>
        <w:numPr>
          <w:ilvl w:val="0"/>
          <w:numId w:val="13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1E513E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administratívna finančná kontrola,</w:t>
      </w:r>
    </w:p>
    <w:p w14:paraId="2478DDF9" w14:textId="59DE19C4" w:rsidR="001E513E" w:rsidRPr="001E513E" w:rsidRDefault="001E513E" w:rsidP="000C4DE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Administratívna finančná kontrola sa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vykonáva povinne, avšak len v súvislosti s finančnou operáciou alebo jej časťou, ktorá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predstavuje poskytnutie verejných financií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začína prvým úkonom povinnej osoby voči oprávnenej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osobe, pričom sa ukončí najneskôr pred zrealizovaním platby alebo zúčtovaním platby. 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Administratívna finančná kontrola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skončená dňom zaslania správy z 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kontroly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povinnej osobe.</w:t>
      </w:r>
    </w:p>
    <w:p w14:paraId="4BE8534D" w14:textId="574F3DB3" w:rsidR="001E513E" w:rsidRPr="000C4DE2" w:rsidRDefault="001E513E" w:rsidP="000C4DE2">
      <w:pPr>
        <w:pStyle w:val="Odsekzoznamu"/>
        <w:numPr>
          <w:ilvl w:val="0"/>
          <w:numId w:val="13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0C4DE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finančná kontrola na mieste.</w:t>
      </w:r>
    </w:p>
    <w:p w14:paraId="19404FE1" w14:textId="60BA16DB" w:rsidR="00D1714F" w:rsidRDefault="001E513E" w:rsidP="000C4DE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Vykonanie 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finančnej kontroly na mieste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 fakultatívne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;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 potrebné vykonať v prípade, ak nie je možné tzv. „od stola“ preveriť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zistiť skutočnosti, ktoré sa považujú za potrebné na účely overenia finančnej operácie alebo jej časti. F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inančná kontrola na mieste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začína prvým úkonom oprávnenej osoby voči povinnej osobe a je skončená dňom zaslania správy z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finančnej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kontroly na mieste povinnej osobe.</w:t>
      </w:r>
    </w:p>
    <w:p w14:paraId="565E0471" w14:textId="77777777" w:rsidR="009032C5" w:rsidRPr="009032C5" w:rsidRDefault="009032C5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Vykonávanými kontrolami sa zabezpečí najmä overenie, či investície a reformy boli zrealizované, či míľniky a ciele</w:t>
      </w:r>
    </w:p>
    <w:p w14:paraId="64EBBFAC" w14:textId="4FC9D504" w:rsidR="009032C5" w:rsidRDefault="009032C5" w:rsidP="009032C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boli splnené a ich dosahovanie správne vykázané a reportované, či všetky uplatniteľné pravidlá boli dodržané</w:t>
      </w:r>
      <w:r w:rsidR="0055119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prostriedky mechanizmu boli použité na stanovený účel. NIKA a vykonávateľ pritom aktívne overujú aj možný</w:t>
      </w:r>
      <w:r w:rsidR="0055119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výskyt závažných nezrovnalostí, akými sú najmä podvod, korupcia, konflikt záujmov alebo dvojité financovanie</w:t>
      </w:r>
      <w:r w:rsidR="0055119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 prostriedkov mechanizmu a iných prostriedkov EÚ a iných nástrojov finančnej pomoci poskytnutej SR</w:t>
      </w:r>
      <w:r w:rsidR="0055119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zo zahraničia. Predchádzanie dvojitému financovaniu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 potrebné zabezpečiť aj v súvislosti s inými verejnými</w:t>
      </w:r>
      <w:r w:rsidR="0055119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prostriedkami. Pre tento účel NIKA a vykonávateľ využívajú všetky dostupné údaje a informácie, vrátane</w:t>
      </w:r>
      <w:r w:rsidR="0055119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informačného systému ARACHNE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7452303B" w14:textId="57271B42" w:rsidR="00037BC5" w:rsidRDefault="009032C5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Overenie pravidiel a postupov verejného obstarávania vykonáva vykonávateľ na úrovni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regionálneho partnera, ako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prijímateľa, keďže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regionálny partner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disponuje všetkými potrebnými dokladmi a informáciami z uskutočneného verejného obstarávania.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Overenie sa vykonáva vo fáze, kedy je verejné obstarávanie ukončené a zmluva medzi prijímateľom a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víťazným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uchádzačom je platná a účinná.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37BC5"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Overenie verejného obstarávania sa vykonáva tak, aby sa vykonávateľ uistil o súlade postupu 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regionálneho partnera </w:t>
      </w:r>
      <w:r w:rsidR="00037BC5"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so zákonom o verejnom obstarávaní a dodržaní pravidiel postupov z neho vyplývajúcich. Kontrola zo strany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37BC5"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vykonávateľa sa vzťahuje aj na overenie prípadných dodatkov po ich uzatvorení, ak 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sú </w:t>
      </w:r>
      <w:r w:rsidR="00037BC5"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relevantné. Rozsah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37BC5"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vykonaného overenia musí byť dostatočný na identifikovanie prípadných nezrovnalostí, t. j. porušení pravidiel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37BC5"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postupov verejného obstarávania s vplyvom alebo možným vplyvom na výsledok verejného obstarávania.</w:t>
      </w:r>
      <w:r w:rsid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4CD9CC49" w14:textId="6C311DDA" w:rsidR="00037BC5" w:rsidRPr="00037BC5" w:rsidRDefault="00037BC5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súvislosti s overovaním možného dvojitého financovania sa v rámci kontroly overuje, či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partner, ako </w:t>
      </w: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prijímateľ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nefinancuje projekt zároveň viacerými formami podpory. Za týmto účelom budú využívané existujúce informačné</w:t>
      </w:r>
      <w:r w:rsidR="007C1EF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systémy verejnej správy a prípadne aj ďalšie verejne prístupné informácie o prijímateľoch, príspevkoch</w:t>
      </w:r>
    </w:p>
    <w:p w14:paraId="3636CBB9" w14:textId="13842A14" w:rsidR="00037BC5" w:rsidRDefault="00037BC5" w:rsidP="00037BC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podporovaných projektoch. V prípade potreby sa pri kontrole dvojitého financovania bude vyžadovať súčinnosť</w:t>
      </w:r>
      <w:r w:rsidR="007C1EF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inej osoby</w:t>
      </w:r>
      <w:r w:rsidR="007C1EF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. </w:t>
      </w:r>
    </w:p>
    <w:p w14:paraId="118EB390" w14:textId="77777777" w:rsidR="00551195" w:rsidRDefault="00551195" w:rsidP="00551195">
      <w:pPr>
        <w:spacing w:before="120" w:line="259" w:lineRule="auto"/>
        <w:jc w:val="both"/>
        <w:rPr>
          <w:rFonts w:ascii="Arial Narrow" w:hAnsi="Arial Narrow" w:cs="Arial"/>
          <w:b/>
          <w:sz w:val="22"/>
          <w:szCs w:val="22"/>
          <w:lang w:val="sk-SK"/>
        </w:rPr>
      </w:pPr>
    </w:p>
    <w:p w14:paraId="6D90F8A5" w14:textId="4BE7AAC2" w:rsidR="00551195" w:rsidRPr="00551195" w:rsidRDefault="00551195" w:rsidP="00551195">
      <w:pPr>
        <w:spacing w:before="120" w:line="259" w:lineRule="auto"/>
        <w:jc w:val="both"/>
        <w:rPr>
          <w:rFonts w:ascii="Arial Narrow" w:hAnsi="Arial Narrow" w:cs="Arial"/>
          <w:b/>
          <w:sz w:val="22"/>
          <w:szCs w:val="22"/>
          <w:lang w:val="sk-SK"/>
        </w:rPr>
      </w:pPr>
      <w:r w:rsidRPr="00551195">
        <w:rPr>
          <w:rFonts w:ascii="Arial Narrow" w:hAnsi="Arial Narrow" w:cs="Arial"/>
          <w:b/>
          <w:sz w:val="22"/>
          <w:szCs w:val="22"/>
          <w:lang w:val="sk-SK"/>
        </w:rPr>
        <w:lastRenderedPageBreak/>
        <w:t>Spôsob výkonu kontroly</w:t>
      </w:r>
    </w:p>
    <w:p w14:paraId="6D9FC421" w14:textId="3111AD14" w:rsidR="00551195" w:rsidRPr="00551195" w:rsidRDefault="00551195" w:rsidP="00551195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Prostriedky mechanizmu budú prijímateľovi uhrádzané na základe harmonogramu stanoveného v tabuľke č. 1. Prijímateľ má povinnosť:</w:t>
      </w:r>
    </w:p>
    <w:p w14:paraId="25342AD7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v rámci zúčtovania zálohovej platby zdokladovať skutočne zamestnaných mentorov, ktorých mzdy ako priame náklady sú hradené na mesačnej báze,</w:t>
      </w:r>
    </w:p>
    <w:p w14:paraId="5D5C2F87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za účelom kontroly splnenia podmienok oprávnenosti výdavkov zabezpečiť vo svojom účtovníctve samostatné nákladové stredisko/samostatnú analytickú evidenciu príjmov a výdavkov spojených s prostriedkami mechanizmu v členení z hľadiska potrieb rozpočtového a finančného riadenia účtovnej jednotky,</w:t>
      </w:r>
    </w:p>
    <w:p w14:paraId="34983B70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bookmarkStart w:id="2" w:name="_Hlk95386074"/>
      <w:r w:rsidRPr="00551195">
        <w:rPr>
          <w:rFonts w:ascii="Arial Narrow" w:hAnsi="Arial Narrow" w:cs="Arial"/>
          <w:sz w:val="22"/>
          <w:szCs w:val="22"/>
          <w:lang w:val="sk-SK"/>
        </w:rPr>
        <w:t>postupovať v súlade s povinnosťami vyplývajúcimi z osobitných predpisov</w:t>
      </w:r>
      <w:bookmarkEnd w:id="2"/>
      <w:r w:rsidRPr="00551195">
        <w:rPr>
          <w:rFonts w:ascii="Arial Narrow" w:hAnsi="Arial Narrow" w:cs="Arial"/>
          <w:sz w:val="22"/>
          <w:szCs w:val="22"/>
          <w:lang w:val="sk-SK"/>
        </w:rPr>
        <w:t xml:space="preserve"> (napr. zákon č. 343/2015 Z. z. o verejnom obstarávaní a o zmene a doplnení niektorých zákonov v znení neskorších predpisov, zákon č. 431/2002 Z. z. o účtovníctve v znení neskorších predpisov, zákon č. 523/2004 Z. z. o rozpočtových pravidlách verejnej správy a o zmene a doplnení niektorých zákonov v znení neskorších predpisov. </w:t>
      </w:r>
    </w:p>
    <w:p w14:paraId="4F2D1905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Prijímateľ raz za polrok</w:t>
      </w:r>
      <w:r w:rsidRPr="00551195">
        <w:rPr>
          <w:rFonts w:ascii="Arial Narrow" w:hAnsi="Arial Narrow" w:cs="Arial"/>
          <w:sz w:val="22"/>
          <w:szCs w:val="22"/>
          <w:lang w:val="sk-SK"/>
        </w:rPr>
        <w:t xml:space="preserve"> v čase stanovenom v zmluve, alebo okamžite pri každej zmene predloží vykonávateľovi:</w:t>
      </w:r>
    </w:p>
    <w:p w14:paraId="1025ACC9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platné pracovné zmluvy mentorov, prípadne ich dodatky, resp. obdobný doklad o pracovnom pomere podľa personálnej politiky prijímateľa, </w:t>
      </w:r>
    </w:p>
    <w:p w14:paraId="106257F1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dokument/dokumenty preukazujúce/potvrdzujúce kvalifikáciu mentorov, správnosť ich pracovného zaradenia, správnosť výpočtu ich mzdy a doklad o prevode prostriedkov mechanizmu formou mzdy na ich účet,</w:t>
      </w:r>
    </w:p>
    <w:p w14:paraId="27D45F84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menný zoznam mentorov vrátane veľkosti ich úväzku, ktorých mzda v danom období (polroku) bola financovaná z prostriedkov mechanizmu.</w:t>
      </w:r>
    </w:p>
    <w:p w14:paraId="19610FD1" w14:textId="77777777" w:rsidR="00551195" w:rsidRPr="00551195" w:rsidRDefault="00551195" w:rsidP="00551195">
      <w:pPr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Vykonávateľ predložené dokumenty skontroluje </w:t>
      </w: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v rámci administratívnej finančnej kontroly</w:t>
      </w:r>
      <w:r w:rsidRPr="00551195">
        <w:rPr>
          <w:rFonts w:ascii="Arial Narrow" w:hAnsi="Arial Narrow" w:cs="Arial"/>
          <w:sz w:val="22"/>
          <w:szCs w:val="22"/>
          <w:lang w:val="sk-SK"/>
        </w:rPr>
        <w:t>.</w:t>
      </w:r>
    </w:p>
    <w:p w14:paraId="3BA875A1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Prijímateľ raz ročne</w:t>
      </w:r>
      <w:r w:rsidRPr="00551195">
        <w:rPr>
          <w:rFonts w:ascii="Arial Narrow" w:hAnsi="Arial Narrow" w:cs="Arial"/>
          <w:sz w:val="22"/>
          <w:szCs w:val="22"/>
          <w:lang w:val="sk-SK"/>
        </w:rPr>
        <w:t xml:space="preserve"> v čase stanovenom v zmluve a okamžite pri každej zmene predloží vykonávateľovi okrem podkladov uvedených v predchádzajúcej časti aj prehľad výstupov kontroly kvality činností vykonávaných mentormi (odpočet činnosti) podľa Manuálu k výzve, časť Účel použitia finančných prostriedkov.</w:t>
      </w:r>
    </w:p>
    <w:p w14:paraId="48B57DE0" w14:textId="77777777" w:rsidR="00551195" w:rsidRPr="00551195" w:rsidRDefault="00551195" w:rsidP="00551195">
      <w:pPr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Vykonávateľ predložené dokumenty skontroluje </w:t>
      </w: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v rámci administratívnej finančnej kontroly</w:t>
      </w:r>
      <w:r w:rsidRPr="00551195">
        <w:rPr>
          <w:rFonts w:ascii="Arial Narrow" w:hAnsi="Arial Narrow" w:cs="Arial"/>
          <w:sz w:val="22"/>
          <w:szCs w:val="22"/>
          <w:lang w:val="sk-SK"/>
        </w:rPr>
        <w:t>.</w:t>
      </w:r>
    </w:p>
    <w:p w14:paraId="75AAD2CA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Vykonávateľ počas kontroly na mieste</w:t>
      </w:r>
      <w:r w:rsidRPr="00551195">
        <w:rPr>
          <w:rFonts w:ascii="Arial Narrow" w:hAnsi="Arial Narrow" w:cs="Arial"/>
          <w:sz w:val="22"/>
          <w:szCs w:val="22"/>
          <w:lang w:val="sk-SK"/>
        </w:rPr>
        <w:t xml:space="preserve"> preverí, či prostriedky mechanizmu sú spravované v súlade so všetkými uplatniteľnými predpismi, najmä pokiaľ ide o predchádzanie konfliktom záujmov, podvodom a korupcii a predchádzanie dvojitému financovaniu z prostriedkov mechanizmu a iných prostriedkov EÚ a iných nástrojov finančnej pomoci poskytnutej SR zo zahraničia, ako aj s inými verejnými prostriedkami a v súlade so zásadou správneho finančného riadenia v zmysle Systému implementácie Plánu obnovy a odolnosti SR.</w:t>
      </w:r>
    </w:p>
    <w:p w14:paraId="3565761C" w14:textId="77777777" w:rsidR="00551195" w:rsidRPr="00551195" w:rsidRDefault="00551195" w:rsidP="00551195">
      <w:pPr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Predmetom kontroly bude:</w:t>
      </w:r>
    </w:p>
    <w:p w14:paraId="1070EB37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kvalifikačných predpokladov mentorov – kontrolovaný subjekt predloží zoznam všetkých relevantných dokladov v zmysle personálnej politiky prijímateľa,</w:t>
      </w:r>
    </w:p>
    <w:p w14:paraId="56FC44B1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činností mentorov deklarovaných v náplni práce – kontrolovaný subjekt predloží výstupy z procesov projektu,</w:t>
      </w:r>
    </w:p>
    <w:p w14:paraId="26E41E7B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aktivít v rámci deklarovaných partnerstiev, rozšírenia partnerstiev a udržateľnosti partnerstiev – kontrolovaný subjekt predloží podklady preukazujúce jeho aktivity (ako zapojil základné školy v regióne do svojej činnosti, aké nástroje vytvoril na reflexiu a vyhodnotenie partnerskej spolupráce, aké sú jeho zodpovednosti v rámci partnerstva),</w:t>
      </w:r>
    </w:p>
    <w:p w14:paraId="187228E8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oprávnenosti výdavkov projektu, resp. overenie hospodárnosti použitia výdavkov projektu – kontrolovaný subjekt predloží účtovne doklady podľa samostatného nákladového strediska/samostatnej analytickej evidencie príjmov a výdavkov spojených s prostriedkami mechanizmu v členení z hľadiska potrieb rozpočtového a finančného riadenia účtovnej jednotky,</w:t>
      </w:r>
    </w:p>
    <w:p w14:paraId="6E98060C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postupov regionálneho centra, či sú v súlade s povinnosťami vyplývajúcimi z osobitných predpisov – kontrolovaný subjekt predloží okrem podkladov podľa predchádzajúcej odrážky aj podklady k vykonaným obstarávaniam tovarov a služieb (v prípade relevantnosti) a iné podklady podľa zamerania kontroly.</w:t>
      </w:r>
    </w:p>
    <w:p w14:paraId="592CFC49" w14:textId="77777777" w:rsidR="00551195" w:rsidRPr="00551195" w:rsidRDefault="00551195" w:rsidP="00551195">
      <w:pPr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Pri kontrole na mieste kontrolovaný subjekt predloží zoznam všetkých relevantných dokladov v zmysle personálnej politiky prijímateľa vrátane osobných spisov a mzdových listov mentorov, v prípade potreby aj archivovaných v</w:t>
      </w:r>
      <w:r w:rsidRPr="00551195">
        <w:rPr>
          <w:rFonts w:ascii="Arial Narrow" w:hAnsi="Arial Narrow" w:cs="Arial"/>
          <w:sz w:val="22"/>
          <w:szCs w:val="22"/>
        </w:rPr>
        <w:t xml:space="preserve"> </w:t>
      </w:r>
      <w:r w:rsidRPr="00551195">
        <w:rPr>
          <w:rFonts w:ascii="Arial Narrow" w:hAnsi="Arial Narrow" w:cs="Arial"/>
          <w:sz w:val="22"/>
          <w:szCs w:val="22"/>
          <w:lang w:val="sk-SK"/>
        </w:rPr>
        <w:t>zmysle zákona č. 395/2002 Z. z. o archívoch a registratúrach a o doplnení niektorých zákonov v znení neskorších predpisov.</w:t>
      </w:r>
    </w:p>
    <w:p w14:paraId="4F48092E" w14:textId="77777777" w:rsidR="00551195" w:rsidRPr="00551195" w:rsidRDefault="00551195" w:rsidP="00037BC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bookmarkStart w:id="3" w:name="_GoBack"/>
      <w:bookmarkEnd w:id="3"/>
    </w:p>
    <w:sectPr w:rsidR="00551195" w:rsidRPr="0055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25E5"/>
    <w:multiLevelType w:val="multilevel"/>
    <w:tmpl w:val="BF8E4D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72FDA"/>
    <w:multiLevelType w:val="hybridMultilevel"/>
    <w:tmpl w:val="E522E5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960A0"/>
    <w:multiLevelType w:val="hybridMultilevel"/>
    <w:tmpl w:val="F544ED6E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53908"/>
    <w:multiLevelType w:val="hybridMultilevel"/>
    <w:tmpl w:val="E3AA6D3E"/>
    <w:lvl w:ilvl="0" w:tplc="FE3014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9F1563"/>
    <w:multiLevelType w:val="hybridMultilevel"/>
    <w:tmpl w:val="393073E8"/>
    <w:lvl w:ilvl="0" w:tplc="48AEB68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779E2"/>
    <w:multiLevelType w:val="hybridMultilevel"/>
    <w:tmpl w:val="6274525E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E78AC"/>
    <w:multiLevelType w:val="hybridMultilevel"/>
    <w:tmpl w:val="E95C3496"/>
    <w:lvl w:ilvl="0" w:tplc="48AEB68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A1299"/>
    <w:multiLevelType w:val="hybridMultilevel"/>
    <w:tmpl w:val="C2246E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63368"/>
    <w:multiLevelType w:val="hybridMultilevel"/>
    <w:tmpl w:val="10724E20"/>
    <w:lvl w:ilvl="0" w:tplc="674088C6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6E7C"/>
    <w:multiLevelType w:val="multilevel"/>
    <w:tmpl w:val="6AC69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52E3055"/>
    <w:multiLevelType w:val="hybridMultilevel"/>
    <w:tmpl w:val="FD8A4EB4"/>
    <w:lvl w:ilvl="0" w:tplc="9FA28026">
      <w:numFmt w:val="bullet"/>
      <w:lvlText w:val="-"/>
      <w:lvlJc w:val="left"/>
      <w:pPr>
        <w:ind w:left="1065" w:hanging="705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E36D5"/>
    <w:multiLevelType w:val="hybridMultilevel"/>
    <w:tmpl w:val="F03843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E0AFB"/>
    <w:multiLevelType w:val="hybridMultilevel"/>
    <w:tmpl w:val="B600B7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36511"/>
    <w:multiLevelType w:val="hybridMultilevel"/>
    <w:tmpl w:val="28E2CB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93604"/>
    <w:multiLevelType w:val="hybridMultilevel"/>
    <w:tmpl w:val="2488BCD4"/>
    <w:lvl w:ilvl="0" w:tplc="C7C0AB32">
      <w:start w:val="1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D7D5251"/>
    <w:multiLevelType w:val="hybridMultilevel"/>
    <w:tmpl w:val="4F1C64B8"/>
    <w:lvl w:ilvl="0" w:tplc="041B0017">
      <w:start w:val="1"/>
      <w:numFmt w:val="lowerLetter"/>
      <w:lvlText w:val="%1)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3473F"/>
    <w:multiLevelType w:val="hybridMultilevel"/>
    <w:tmpl w:val="863E7814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42817"/>
    <w:multiLevelType w:val="hybridMultilevel"/>
    <w:tmpl w:val="57A852D4"/>
    <w:lvl w:ilvl="0" w:tplc="A3046E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A2847"/>
    <w:multiLevelType w:val="hybridMultilevel"/>
    <w:tmpl w:val="B57019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72164"/>
    <w:multiLevelType w:val="hybridMultilevel"/>
    <w:tmpl w:val="1B4A55CC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91439"/>
    <w:multiLevelType w:val="hybridMultilevel"/>
    <w:tmpl w:val="9E743A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93F62"/>
    <w:multiLevelType w:val="hybridMultilevel"/>
    <w:tmpl w:val="65FA9A9A"/>
    <w:lvl w:ilvl="0" w:tplc="03ECEBD2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7320C"/>
    <w:multiLevelType w:val="hybridMultilevel"/>
    <w:tmpl w:val="D5966AD2"/>
    <w:lvl w:ilvl="0" w:tplc="A51A5E58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2"/>
  </w:num>
  <w:num w:numId="4">
    <w:abstractNumId w:val="16"/>
  </w:num>
  <w:num w:numId="5">
    <w:abstractNumId w:val="19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3"/>
  </w:num>
  <w:num w:numId="11">
    <w:abstractNumId w:val="14"/>
  </w:num>
  <w:num w:numId="12">
    <w:abstractNumId w:val="7"/>
  </w:num>
  <w:num w:numId="13">
    <w:abstractNumId w:val="1"/>
  </w:num>
  <w:num w:numId="14">
    <w:abstractNumId w:val="10"/>
  </w:num>
  <w:num w:numId="15">
    <w:abstractNumId w:val="21"/>
  </w:num>
  <w:num w:numId="16">
    <w:abstractNumId w:val="17"/>
  </w:num>
  <w:num w:numId="17">
    <w:abstractNumId w:val="6"/>
  </w:num>
  <w:num w:numId="18">
    <w:abstractNumId w:val="18"/>
  </w:num>
  <w:num w:numId="19">
    <w:abstractNumId w:val="20"/>
  </w:num>
  <w:num w:numId="20">
    <w:abstractNumId w:val="13"/>
  </w:num>
  <w:num w:numId="21">
    <w:abstractNumId w:val="11"/>
  </w:num>
  <w:num w:numId="22">
    <w:abstractNumId w:val="12"/>
  </w:num>
  <w:num w:numId="2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E64"/>
    <w:rsid w:val="00007BA0"/>
    <w:rsid w:val="00025F90"/>
    <w:rsid w:val="00037BC5"/>
    <w:rsid w:val="000417A1"/>
    <w:rsid w:val="00057C0A"/>
    <w:rsid w:val="00073AE8"/>
    <w:rsid w:val="000A45FC"/>
    <w:rsid w:val="000B0957"/>
    <w:rsid w:val="000B3879"/>
    <w:rsid w:val="000C4DE2"/>
    <w:rsid w:val="000F1BEA"/>
    <w:rsid w:val="00102B00"/>
    <w:rsid w:val="00111F46"/>
    <w:rsid w:val="00133DEB"/>
    <w:rsid w:val="00136830"/>
    <w:rsid w:val="001526CF"/>
    <w:rsid w:val="00161FB0"/>
    <w:rsid w:val="00162E42"/>
    <w:rsid w:val="00175CDE"/>
    <w:rsid w:val="001A04A0"/>
    <w:rsid w:val="001A11AB"/>
    <w:rsid w:val="001D7C3F"/>
    <w:rsid w:val="001E513E"/>
    <w:rsid w:val="001E6924"/>
    <w:rsid w:val="001F5E40"/>
    <w:rsid w:val="0026364D"/>
    <w:rsid w:val="00267343"/>
    <w:rsid w:val="00292428"/>
    <w:rsid w:val="002F37FA"/>
    <w:rsid w:val="00307FA3"/>
    <w:rsid w:val="00330BE8"/>
    <w:rsid w:val="00354032"/>
    <w:rsid w:val="00392087"/>
    <w:rsid w:val="003A3C78"/>
    <w:rsid w:val="003B594B"/>
    <w:rsid w:val="003C18D1"/>
    <w:rsid w:val="003C6AF2"/>
    <w:rsid w:val="003D5F3C"/>
    <w:rsid w:val="003E76AC"/>
    <w:rsid w:val="0040125C"/>
    <w:rsid w:val="004063F0"/>
    <w:rsid w:val="00416337"/>
    <w:rsid w:val="00446F2F"/>
    <w:rsid w:val="00460912"/>
    <w:rsid w:val="004657AA"/>
    <w:rsid w:val="004B49E0"/>
    <w:rsid w:val="004D2F9C"/>
    <w:rsid w:val="004D3F61"/>
    <w:rsid w:val="0052462A"/>
    <w:rsid w:val="00537589"/>
    <w:rsid w:val="0054217E"/>
    <w:rsid w:val="00551195"/>
    <w:rsid w:val="005577CD"/>
    <w:rsid w:val="005C32B2"/>
    <w:rsid w:val="005D122D"/>
    <w:rsid w:val="005F6143"/>
    <w:rsid w:val="00637C60"/>
    <w:rsid w:val="006A39CA"/>
    <w:rsid w:val="006C34B5"/>
    <w:rsid w:val="006F121C"/>
    <w:rsid w:val="006F48D2"/>
    <w:rsid w:val="007339C4"/>
    <w:rsid w:val="007925CE"/>
    <w:rsid w:val="007C1A54"/>
    <w:rsid w:val="007C1EF4"/>
    <w:rsid w:val="007D512A"/>
    <w:rsid w:val="007E1A4A"/>
    <w:rsid w:val="007E1DC8"/>
    <w:rsid w:val="008265E9"/>
    <w:rsid w:val="0084581A"/>
    <w:rsid w:val="0085234F"/>
    <w:rsid w:val="008B5D50"/>
    <w:rsid w:val="008D0C09"/>
    <w:rsid w:val="008F2CD5"/>
    <w:rsid w:val="009032C5"/>
    <w:rsid w:val="00915DBD"/>
    <w:rsid w:val="00946062"/>
    <w:rsid w:val="00951F6D"/>
    <w:rsid w:val="0095429C"/>
    <w:rsid w:val="00954CBF"/>
    <w:rsid w:val="00955D94"/>
    <w:rsid w:val="0097088A"/>
    <w:rsid w:val="009A5015"/>
    <w:rsid w:val="009A5E0B"/>
    <w:rsid w:val="009B76DF"/>
    <w:rsid w:val="009E682A"/>
    <w:rsid w:val="009F769E"/>
    <w:rsid w:val="00A03017"/>
    <w:rsid w:val="00AD6866"/>
    <w:rsid w:val="00AD6E70"/>
    <w:rsid w:val="00AE1DCB"/>
    <w:rsid w:val="00AF2A99"/>
    <w:rsid w:val="00B0493F"/>
    <w:rsid w:val="00B23C55"/>
    <w:rsid w:val="00B24D30"/>
    <w:rsid w:val="00B30F6D"/>
    <w:rsid w:val="00B36C5F"/>
    <w:rsid w:val="00B43877"/>
    <w:rsid w:val="00B62FF9"/>
    <w:rsid w:val="00B81C26"/>
    <w:rsid w:val="00BA3F2E"/>
    <w:rsid w:val="00BA4B39"/>
    <w:rsid w:val="00BC01A8"/>
    <w:rsid w:val="00BC6BB4"/>
    <w:rsid w:val="00BF1809"/>
    <w:rsid w:val="00C0088D"/>
    <w:rsid w:val="00C03D9B"/>
    <w:rsid w:val="00C44F46"/>
    <w:rsid w:val="00C96F0E"/>
    <w:rsid w:val="00CF37CA"/>
    <w:rsid w:val="00D151ED"/>
    <w:rsid w:val="00D1714F"/>
    <w:rsid w:val="00D91706"/>
    <w:rsid w:val="00DC2E64"/>
    <w:rsid w:val="00DD2559"/>
    <w:rsid w:val="00DF2B87"/>
    <w:rsid w:val="00E012FA"/>
    <w:rsid w:val="00E06044"/>
    <w:rsid w:val="00E21CE8"/>
    <w:rsid w:val="00E46E7D"/>
    <w:rsid w:val="00E54112"/>
    <w:rsid w:val="00E5630F"/>
    <w:rsid w:val="00E63305"/>
    <w:rsid w:val="00E643CE"/>
    <w:rsid w:val="00E710F8"/>
    <w:rsid w:val="00E73755"/>
    <w:rsid w:val="00E87FEF"/>
    <w:rsid w:val="00EB7554"/>
    <w:rsid w:val="00F10A62"/>
    <w:rsid w:val="00F1361E"/>
    <w:rsid w:val="00F34DBD"/>
    <w:rsid w:val="00F63B55"/>
    <w:rsid w:val="00F75230"/>
    <w:rsid w:val="00F766F1"/>
    <w:rsid w:val="00FA3207"/>
    <w:rsid w:val="00FC58C5"/>
    <w:rsid w:val="00FF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BC52"/>
  <w15:chartTrackingRefBased/>
  <w15:docId w15:val="{ABD5976D-EF64-4D1E-813C-501F00E4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43877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43877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B5D50"/>
    <w:rPr>
      <w:color w:val="80808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551195"/>
    <w:rPr>
      <w:rFonts w:eastAsiaTheme="minorEastAsia"/>
      <w:sz w:val="20"/>
      <w:szCs w:val="20"/>
      <w:lang w:val="en-US"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5511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1195"/>
    <w:pPr>
      <w:spacing w:after="160"/>
    </w:pPr>
    <w:rPr>
      <w:rFonts w:eastAsiaTheme="minorHAnsi"/>
      <w:lang w:val="sk-SK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119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11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1195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4912</Words>
  <Characters>28004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Weszelovszky Gabriel</cp:lastModifiedBy>
  <cp:revision>4</cp:revision>
  <dcterms:created xsi:type="dcterms:W3CDTF">2022-02-28T13:15:00Z</dcterms:created>
  <dcterms:modified xsi:type="dcterms:W3CDTF">2022-02-28T18:24:00Z</dcterms:modified>
</cp:coreProperties>
</file>