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drawings/drawing1.xml" ContentType="application/vnd.openxmlformats-officedocument.drawingml.chartshapes+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F20" w:rsidRPr="005E5FF1" w:rsidRDefault="00652A74" w:rsidP="00652A74">
      <w:pPr>
        <w:pBdr>
          <w:bottom w:val="single" w:sz="4" w:space="1" w:color="auto"/>
        </w:pBdr>
        <w:jc w:val="center"/>
        <w:rPr>
          <w:b/>
          <w:bCs/>
          <w:sz w:val="36"/>
          <w:szCs w:val="36"/>
        </w:rPr>
      </w:pPr>
      <w:r w:rsidRPr="005E5FF1">
        <w:rPr>
          <w:b/>
          <w:bCs/>
          <w:sz w:val="36"/>
          <w:szCs w:val="36"/>
        </w:rPr>
        <w:t>Ministerstvo školstva</w:t>
      </w:r>
      <w:r w:rsidR="00C20F20" w:rsidRPr="005E5FF1">
        <w:rPr>
          <w:b/>
          <w:bCs/>
          <w:sz w:val="36"/>
          <w:szCs w:val="36"/>
        </w:rPr>
        <w:t>, vedy, výskumu a</w:t>
      </w:r>
      <w:r w:rsidR="00C067CE">
        <w:rPr>
          <w:b/>
          <w:bCs/>
          <w:sz w:val="36"/>
          <w:szCs w:val="36"/>
        </w:rPr>
        <w:t xml:space="preserve"> </w:t>
      </w:r>
      <w:r w:rsidR="00C20F20" w:rsidRPr="005E5FF1">
        <w:rPr>
          <w:b/>
          <w:bCs/>
          <w:sz w:val="36"/>
          <w:szCs w:val="36"/>
        </w:rPr>
        <w:t>športu</w:t>
      </w:r>
    </w:p>
    <w:p w:rsidR="00652A74" w:rsidRPr="005E5FF1" w:rsidRDefault="00652A74" w:rsidP="00652A74">
      <w:pPr>
        <w:pBdr>
          <w:bottom w:val="single" w:sz="4" w:space="1" w:color="auto"/>
        </w:pBdr>
        <w:jc w:val="center"/>
        <w:rPr>
          <w:b/>
          <w:bCs/>
          <w:sz w:val="36"/>
          <w:szCs w:val="36"/>
        </w:rPr>
      </w:pPr>
      <w:r w:rsidRPr="005E5FF1">
        <w:rPr>
          <w:b/>
          <w:bCs/>
          <w:sz w:val="36"/>
          <w:szCs w:val="36"/>
        </w:rPr>
        <w:t>Slovenskej republiky</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rPr>
          <w:b/>
          <w:bCs/>
          <w:sz w:val="36"/>
          <w:szCs w:val="36"/>
        </w:rPr>
      </w:pPr>
      <w:r w:rsidRPr="005E5FF1">
        <w:rPr>
          <w:b/>
          <w:bCs/>
          <w:sz w:val="36"/>
          <w:szCs w:val="36"/>
        </w:rPr>
        <w:t>Výročná správa o</w:t>
      </w:r>
      <w:r w:rsidR="00C067CE">
        <w:rPr>
          <w:b/>
          <w:bCs/>
          <w:sz w:val="36"/>
          <w:szCs w:val="36"/>
        </w:rPr>
        <w:t xml:space="preserve"> </w:t>
      </w:r>
      <w:r w:rsidRPr="005E5FF1">
        <w:rPr>
          <w:b/>
          <w:bCs/>
          <w:sz w:val="36"/>
          <w:szCs w:val="36"/>
        </w:rPr>
        <w:t>sta</w:t>
      </w:r>
      <w:r w:rsidR="00EC5579" w:rsidRPr="005E5FF1">
        <w:rPr>
          <w:b/>
          <w:bCs/>
          <w:sz w:val="36"/>
          <w:szCs w:val="36"/>
        </w:rPr>
        <w:t>ve vysokého školstva za rok</w:t>
      </w:r>
      <w:r w:rsidR="00EC5579" w:rsidRPr="002F5EAB">
        <w:rPr>
          <w:b/>
          <w:bCs/>
          <w:sz w:val="36"/>
          <w:szCs w:val="36"/>
        </w:rPr>
        <w:t xml:space="preserve"> 201</w:t>
      </w:r>
      <w:r w:rsidR="009F2FB3" w:rsidRPr="002F5EAB">
        <w:rPr>
          <w:b/>
          <w:bCs/>
          <w:sz w:val="36"/>
          <w:szCs w:val="36"/>
        </w:rPr>
        <w:t>4</w:t>
      </w:r>
    </w:p>
    <w:p w:rsidR="00652A74" w:rsidRPr="005E5FF1" w:rsidRDefault="00652A74" w:rsidP="00652A74">
      <w:pPr>
        <w:spacing w:after="240"/>
        <w:jc w:val="center"/>
      </w:pPr>
      <w:r w:rsidRPr="005E5FF1">
        <w:t>(Materiál vypracovaný v súlade s § 102 ods. 2 písm. c) zákona č. 131/2002 Z. z.</w:t>
      </w:r>
      <w:r w:rsidR="00C87EED" w:rsidRPr="005E5FF1">
        <w:t xml:space="preserve"> o vysokých školách a o zmene a doplnení niektorých zákonov v znení neskorších predpisov</w:t>
      </w:r>
      <w:r w:rsidRPr="005E5FF1">
        <w:t>)</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Default="00652A74" w:rsidP="00652A74"/>
    <w:p w:rsidR="00652A74" w:rsidRDefault="00652A74"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Pr="005E5FF1" w:rsidRDefault="0025329A" w:rsidP="00652A74">
      <w:pPr>
        <w:jc w:val="center"/>
      </w:pPr>
    </w:p>
    <w:p w:rsidR="00652A74" w:rsidRPr="005E5FF1" w:rsidRDefault="00652A74" w:rsidP="00652A74">
      <w:pPr>
        <w:jc w:val="center"/>
      </w:pPr>
    </w:p>
    <w:p w:rsidR="00652A74" w:rsidRPr="005E5FF1" w:rsidRDefault="00652A74" w:rsidP="00652A74">
      <w:pPr>
        <w:pStyle w:val="Nadpis1"/>
        <w:numPr>
          <w:ilvl w:val="0"/>
          <w:numId w:val="0"/>
        </w:numPr>
        <w:jc w:val="left"/>
        <w:rPr>
          <w:b w:val="0"/>
          <w:bCs w:val="0"/>
          <w:sz w:val="26"/>
          <w:szCs w:val="26"/>
        </w:rPr>
      </w:pPr>
    </w:p>
    <w:p w:rsidR="00652A74" w:rsidRPr="005E5FF1" w:rsidRDefault="00CD0FA8" w:rsidP="00B46371">
      <w:pPr>
        <w:jc w:val="center"/>
        <w:rPr>
          <w:b/>
          <w:bCs/>
          <w:sz w:val="28"/>
          <w:szCs w:val="28"/>
        </w:rPr>
        <w:sectPr w:rsidR="00652A74" w:rsidRPr="005E5FF1">
          <w:pgSz w:w="11906" w:h="16838"/>
          <w:pgMar w:top="1417" w:right="1417" w:bottom="1417" w:left="1417" w:header="708" w:footer="708" w:gutter="0"/>
          <w:cols w:space="708"/>
          <w:docGrid w:linePitch="360"/>
        </w:sectPr>
      </w:pPr>
      <w:r w:rsidRPr="005E5FF1">
        <w:rPr>
          <w:b/>
          <w:bCs/>
          <w:sz w:val="28"/>
          <w:szCs w:val="28"/>
        </w:rPr>
        <w:t>Bratislava</w:t>
      </w:r>
      <w:r w:rsidR="00652A74" w:rsidRPr="005E5FF1">
        <w:rPr>
          <w:b/>
          <w:bCs/>
          <w:sz w:val="28"/>
          <w:szCs w:val="28"/>
        </w:rPr>
        <w:t xml:space="preserve"> </w:t>
      </w:r>
      <w:r w:rsidR="008D0403" w:rsidRPr="005E5FF1">
        <w:rPr>
          <w:b/>
          <w:bCs/>
          <w:sz w:val="28"/>
          <w:szCs w:val="28"/>
        </w:rPr>
        <w:t xml:space="preserve">august </w:t>
      </w:r>
      <w:r w:rsidR="000B3E4F">
        <w:rPr>
          <w:b/>
          <w:bCs/>
          <w:sz w:val="28"/>
          <w:szCs w:val="28"/>
        </w:rPr>
        <w:t>201</w:t>
      </w:r>
      <w:r w:rsidR="00330DEC">
        <w:rPr>
          <w:b/>
          <w:bCs/>
          <w:sz w:val="28"/>
          <w:szCs w:val="28"/>
        </w:rPr>
        <w:t>5</w:t>
      </w:r>
    </w:p>
    <w:p w:rsidR="00652A74" w:rsidRPr="005E5FF1" w:rsidRDefault="00652A74" w:rsidP="00652A74">
      <w:pPr>
        <w:pStyle w:val="Obsah1"/>
      </w:pPr>
      <w:bookmarkStart w:id="0" w:name="_Toc116541009"/>
      <w:bookmarkStart w:id="1" w:name="_Toc116541336"/>
      <w:bookmarkStart w:id="2" w:name="_Toc116547520"/>
      <w:bookmarkStart w:id="3" w:name="_Toc116548013"/>
      <w:bookmarkStart w:id="4" w:name="_Toc116555595"/>
      <w:bookmarkStart w:id="5" w:name="_Toc136920242"/>
      <w:r w:rsidRPr="005E5FF1">
        <w:lastRenderedPageBreak/>
        <w:t>Obsah</w:t>
      </w:r>
    </w:p>
    <w:p w:rsidR="00703F87" w:rsidRDefault="00652A74">
      <w:pPr>
        <w:pStyle w:val="Obsah1"/>
        <w:rPr>
          <w:rFonts w:asciiTheme="minorHAnsi" w:eastAsiaTheme="minorEastAsia" w:hAnsiTheme="minorHAnsi"/>
          <w:b w:val="0"/>
          <w:bCs w:val="0"/>
          <w:sz w:val="22"/>
          <w:szCs w:val="22"/>
        </w:rPr>
      </w:pPr>
      <w:r w:rsidRPr="005E5FF1">
        <w:fldChar w:fldCharType="begin"/>
      </w:r>
      <w:r w:rsidRPr="005E5FF1">
        <w:instrText xml:space="preserve"> TOC \o "1-5" \h \z \u </w:instrText>
      </w:r>
      <w:r w:rsidRPr="005E5FF1">
        <w:fldChar w:fldCharType="separate"/>
      </w:r>
      <w:hyperlink w:anchor="_Toc427750163" w:history="1">
        <w:r w:rsidR="00703F87" w:rsidRPr="0036290C">
          <w:rPr>
            <w:rStyle w:val="Hypertextovprepojenie"/>
          </w:rPr>
          <w:t>Zoznam grafov v textovej časti správy</w:t>
        </w:r>
        <w:r w:rsidR="00703F87">
          <w:rPr>
            <w:webHidden/>
          </w:rPr>
          <w:tab/>
        </w:r>
        <w:r w:rsidR="00703F87">
          <w:rPr>
            <w:webHidden/>
          </w:rPr>
          <w:fldChar w:fldCharType="begin"/>
        </w:r>
        <w:r w:rsidR="00703F87">
          <w:rPr>
            <w:webHidden/>
          </w:rPr>
          <w:instrText xml:space="preserve"> PAGEREF _Toc427750163 \h </w:instrText>
        </w:r>
        <w:r w:rsidR="00703F87">
          <w:rPr>
            <w:webHidden/>
          </w:rPr>
        </w:r>
        <w:r w:rsidR="00703F87">
          <w:rPr>
            <w:webHidden/>
          </w:rPr>
          <w:fldChar w:fldCharType="separate"/>
        </w:r>
        <w:r w:rsidR="005010AB">
          <w:rPr>
            <w:webHidden/>
          </w:rPr>
          <w:t>4</w:t>
        </w:r>
        <w:r w:rsidR="00703F87">
          <w:rPr>
            <w:webHidden/>
          </w:rPr>
          <w:fldChar w:fldCharType="end"/>
        </w:r>
      </w:hyperlink>
    </w:p>
    <w:p w:rsidR="00703F87" w:rsidRDefault="00B71273">
      <w:pPr>
        <w:pStyle w:val="Obsah1"/>
        <w:rPr>
          <w:rFonts w:asciiTheme="minorHAnsi" w:eastAsiaTheme="minorEastAsia" w:hAnsiTheme="minorHAnsi"/>
          <w:b w:val="0"/>
          <w:bCs w:val="0"/>
          <w:sz w:val="22"/>
          <w:szCs w:val="22"/>
        </w:rPr>
      </w:pPr>
      <w:hyperlink w:anchor="_Toc427750164" w:history="1">
        <w:r w:rsidR="00703F87" w:rsidRPr="0036290C">
          <w:rPr>
            <w:rStyle w:val="Hypertextovprepojenie"/>
          </w:rPr>
          <w:t>Výročná správa o stave vysokého školstva za rok 2014</w:t>
        </w:r>
        <w:r w:rsidR="00703F87">
          <w:rPr>
            <w:webHidden/>
          </w:rPr>
          <w:tab/>
        </w:r>
        <w:r w:rsidR="00703F87">
          <w:rPr>
            <w:webHidden/>
          </w:rPr>
          <w:fldChar w:fldCharType="begin"/>
        </w:r>
        <w:r w:rsidR="00703F87">
          <w:rPr>
            <w:webHidden/>
          </w:rPr>
          <w:instrText xml:space="preserve"> PAGEREF _Toc427750164 \h </w:instrText>
        </w:r>
        <w:r w:rsidR="00703F87">
          <w:rPr>
            <w:webHidden/>
          </w:rPr>
        </w:r>
        <w:r w:rsidR="00703F87">
          <w:rPr>
            <w:webHidden/>
          </w:rPr>
          <w:fldChar w:fldCharType="separate"/>
        </w:r>
        <w:r w:rsidR="005010AB">
          <w:rPr>
            <w:webHidden/>
          </w:rPr>
          <w:t>5</w:t>
        </w:r>
        <w:r w:rsidR="00703F87">
          <w:rPr>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65" w:history="1">
        <w:r w:rsidR="00703F87" w:rsidRPr="0036290C">
          <w:rPr>
            <w:rStyle w:val="Hypertextovprepojenie"/>
            <w:noProof/>
          </w:rPr>
          <w:t>Úvod</w:t>
        </w:r>
        <w:r w:rsidR="00703F87">
          <w:rPr>
            <w:noProof/>
            <w:webHidden/>
          </w:rPr>
          <w:tab/>
        </w:r>
        <w:r w:rsidR="00703F87">
          <w:rPr>
            <w:noProof/>
            <w:webHidden/>
          </w:rPr>
          <w:fldChar w:fldCharType="begin"/>
        </w:r>
        <w:r w:rsidR="00703F87">
          <w:rPr>
            <w:noProof/>
            <w:webHidden/>
          </w:rPr>
          <w:instrText xml:space="preserve"> PAGEREF _Toc427750165 \h </w:instrText>
        </w:r>
        <w:r w:rsidR="00703F87">
          <w:rPr>
            <w:noProof/>
            <w:webHidden/>
          </w:rPr>
        </w:r>
        <w:r w:rsidR="00703F87">
          <w:rPr>
            <w:noProof/>
            <w:webHidden/>
          </w:rPr>
          <w:fldChar w:fldCharType="separate"/>
        </w:r>
        <w:r w:rsidR="005010AB">
          <w:rPr>
            <w:noProof/>
            <w:webHidden/>
          </w:rPr>
          <w:t>6</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66" w:history="1">
        <w:r w:rsidR="00703F87" w:rsidRPr="0036290C">
          <w:rPr>
            <w:rStyle w:val="Hypertextovprepojenie"/>
            <w:noProof/>
          </w:rPr>
          <w:t>Stručný prehľad najdôležitejších informácií o vysokom školstve v roku 2014</w:t>
        </w:r>
        <w:r w:rsidR="00703F87">
          <w:rPr>
            <w:noProof/>
            <w:webHidden/>
          </w:rPr>
          <w:tab/>
        </w:r>
        <w:r w:rsidR="00703F87">
          <w:rPr>
            <w:noProof/>
            <w:webHidden/>
          </w:rPr>
          <w:fldChar w:fldCharType="begin"/>
        </w:r>
        <w:r w:rsidR="00703F87">
          <w:rPr>
            <w:noProof/>
            <w:webHidden/>
          </w:rPr>
          <w:instrText xml:space="preserve"> PAGEREF _Toc427750166 \h </w:instrText>
        </w:r>
        <w:r w:rsidR="00703F87">
          <w:rPr>
            <w:noProof/>
            <w:webHidden/>
          </w:rPr>
        </w:r>
        <w:r w:rsidR="00703F87">
          <w:rPr>
            <w:noProof/>
            <w:webHidden/>
          </w:rPr>
          <w:fldChar w:fldCharType="separate"/>
        </w:r>
        <w:r w:rsidR="005010AB">
          <w:rPr>
            <w:noProof/>
            <w:webHidden/>
          </w:rPr>
          <w:t>6</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67" w:history="1">
        <w:r w:rsidR="00703F87" w:rsidRPr="0036290C">
          <w:rPr>
            <w:rStyle w:val="Hypertextovprepojenie"/>
            <w:noProof/>
          </w:rPr>
          <w:t>Časť I</w:t>
        </w:r>
        <w:r w:rsidR="00703F87">
          <w:rPr>
            <w:noProof/>
            <w:webHidden/>
          </w:rPr>
          <w:tab/>
        </w:r>
        <w:r w:rsidR="00703F87">
          <w:rPr>
            <w:noProof/>
            <w:webHidden/>
          </w:rPr>
          <w:fldChar w:fldCharType="begin"/>
        </w:r>
        <w:r w:rsidR="00703F87">
          <w:rPr>
            <w:noProof/>
            <w:webHidden/>
          </w:rPr>
          <w:instrText xml:space="preserve"> PAGEREF _Toc427750167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68" w:history="1">
        <w:r w:rsidR="00703F87" w:rsidRPr="0036290C">
          <w:rPr>
            <w:rStyle w:val="Hypertextovprepojenie"/>
            <w:noProof/>
          </w:rPr>
          <w:t>1. Správa o činnosti vysokých škôl v roku 2014</w:t>
        </w:r>
        <w:r w:rsidR="00703F87">
          <w:rPr>
            <w:noProof/>
            <w:webHidden/>
          </w:rPr>
          <w:tab/>
        </w:r>
        <w:r w:rsidR="00703F87">
          <w:rPr>
            <w:noProof/>
            <w:webHidden/>
          </w:rPr>
          <w:fldChar w:fldCharType="begin"/>
        </w:r>
        <w:r w:rsidR="00703F87">
          <w:rPr>
            <w:noProof/>
            <w:webHidden/>
          </w:rPr>
          <w:instrText xml:space="preserve"> PAGEREF _Toc427750168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69" w:history="1">
        <w:r w:rsidR="00703F87" w:rsidRPr="0036290C">
          <w:rPr>
            <w:rStyle w:val="Hypertextovprepojenie"/>
            <w:noProof/>
          </w:rPr>
          <w:t>1.1 Právne podmienky</w:t>
        </w:r>
        <w:r w:rsidR="00703F87">
          <w:rPr>
            <w:noProof/>
            <w:webHidden/>
          </w:rPr>
          <w:tab/>
        </w:r>
        <w:r w:rsidR="00703F87">
          <w:rPr>
            <w:noProof/>
            <w:webHidden/>
          </w:rPr>
          <w:fldChar w:fldCharType="begin"/>
        </w:r>
        <w:r w:rsidR="00703F87">
          <w:rPr>
            <w:noProof/>
            <w:webHidden/>
          </w:rPr>
          <w:instrText xml:space="preserve"> PAGEREF _Toc427750169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70" w:history="1">
        <w:r w:rsidR="00703F87" w:rsidRPr="0036290C">
          <w:rPr>
            <w:rStyle w:val="Hypertextovprepojenie"/>
            <w:noProof/>
          </w:rPr>
          <w:t>1.2 Poskytovatelia vysokoškolského vzdelávania</w:t>
        </w:r>
        <w:r w:rsidR="00703F87">
          <w:rPr>
            <w:noProof/>
            <w:webHidden/>
          </w:rPr>
          <w:tab/>
        </w:r>
        <w:r w:rsidR="00703F87">
          <w:rPr>
            <w:noProof/>
            <w:webHidden/>
          </w:rPr>
          <w:fldChar w:fldCharType="begin"/>
        </w:r>
        <w:r w:rsidR="00703F87">
          <w:rPr>
            <w:noProof/>
            <w:webHidden/>
          </w:rPr>
          <w:instrText xml:space="preserve"> PAGEREF _Toc427750170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71" w:history="1">
        <w:r w:rsidR="00703F87" w:rsidRPr="0036290C">
          <w:rPr>
            <w:rStyle w:val="Hypertextovprepojenie"/>
            <w:noProof/>
          </w:rPr>
          <w:t>1.3 Poskytovanie vysokoškolského vzdelávania</w:t>
        </w:r>
        <w:r w:rsidR="00703F87">
          <w:rPr>
            <w:noProof/>
            <w:webHidden/>
          </w:rPr>
          <w:tab/>
        </w:r>
        <w:r w:rsidR="00703F87">
          <w:rPr>
            <w:noProof/>
            <w:webHidden/>
          </w:rPr>
          <w:fldChar w:fldCharType="begin"/>
        </w:r>
        <w:r w:rsidR="00703F87">
          <w:rPr>
            <w:noProof/>
            <w:webHidden/>
          </w:rPr>
          <w:instrText xml:space="preserve"> PAGEREF _Toc427750171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2" w:history="1">
        <w:r w:rsidR="00703F87" w:rsidRPr="0036290C">
          <w:rPr>
            <w:rStyle w:val="Hypertextovprepojenie"/>
            <w:noProof/>
          </w:rPr>
          <w:t>Systém vysokoškolského vzdelávania</w:t>
        </w:r>
        <w:r w:rsidR="00703F87">
          <w:rPr>
            <w:noProof/>
            <w:webHidden/>
          </w:rPr>
          <w:tab/>
        </w:r>
        <w:r w:rsidR="00703F87">
          <w:rPr>
            <w:noProof/>
            <w:webHidden/>
          </w:rPr>
          <w:fldChar w:fldCharType="begin"/>
        </w:r>
        <w:r w:rsidR="00703F87">
          <w:rPr>
            <w:noProof/>
            <w:webHidden/>
          </w:rPr>
          <w:instrText xml:space="preserve"> PAGEREF _Toc427750172 \h </w:instrText>
        </w:r>
        <w:r w:rsidR="00703F87">
          <w:rPr>
            <w:noProof/>
            <w:webHidden/>
          </w:rPr>
        </w:r>
        <w:r w:rsidR="00703F87">
          <w:rPr>
            <w:noProof/>
            <w:webHidden/>
          </w:rPr>
          <w:fldChar w:fldCharType="separate"/>
        </w:r>
        <w:r w:rsidR="005010AB">
          <w:rPr>
            <w:noProof/>
            <w:webHidden/>
          </w:rPr>
          <w:t>8</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3" w:history="1">
        <w:r w:rsidR="00703F87" w:rsidRPr="0036290C">
          <w:rPr>
            <w:rStyle w:val="Hypertextovprepojenie"/>
            <w:noProof/>
          </w:rPr>
          <w:t>Študenti</w:t>
        </w:r>
        <w:r w:rsidR="00703F87">
          <w:rPr>
            <w:noProof/>
            <w:webHidden/>
          </w:rPr>
          <w:tab/>
        </w:r>
        <w:r w:rsidR="00703F87">
          <w:rPr>
            <w:noProof/>
            <w:webHidden/>
          </w:rPr>
          <w:fldChar w:fldCharType="begin"/>
        </w:r>
        <w:r w:rsidR="00703F87">
          <w:rPr>
            <w:noProof/>
            <w:webHidden/>
          </w:rPr>
          <w:instrText xml:space="preserve"> PAGEREF _Toc427750173 \h </w:instrText>
        </w:r>
        <w:r w:rsidR="00703F87">
          <w:rPr>
            <w:noProof/>
            <w:webHidden/>
          </w:rPr>
        </w:r>
        <w:r w:rsidR="00703F87">
          <w:rPr>
            <w:noProof/>
            <w:webHidden/>
          </w:rPr>
          <w:fldChar w:fldCharType="separate"/>
        </w:r>
        <w:r w:rsidR="005010AB">
          <w:rPr>
            <w:noProof/>
            <w:webHidden/>
          </w:rPr>
          <w:t>9</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4" w:history="1">
        <w:r w:rsidR="00703F87" w:rsidRPr="0036290C">
          <w:rPr>
            <w:rStyle w:val="Hypertextovprepojenie"/>
            <w:noProof/>
          </w:rPr>
          <w:t>Prijímacie konanie na 1. stupeň</w:t>
        </w:r>
        <w:r w:rsidR="00703F87">
          <w:rPr>
            <w:noProof/>
            <w:webHidden/>
          </w:rPr>
          <w:tab/>
        </w:r>
        <w:r w:rsidR="00703F87">
          <w:rPr>
            <w:noProof/>
            <w:webHidden/>
          </w:rPr>
          <w:fldChar w:fldCharType="begin"/>
        </w:r>
        <w:r w:rsidR="00703F87">
          <w:rPr>
            <w:noProof/>
            <w:webHidden/>
          </w:rPr>
          <w:instrText xml:space="preserve"> PAGEREF _Toc427750174 \h </w:instrText>
        </w:r>
        <w:r w:rsidR="00703F87">
          <w:rPr>
            <w:noProof/>
            <w:webHidden/>
          </w:rPr>
        </w:r>
        <w:r w:rsidR="00703F87">
          <w:rPr>
            <w:noProof/>
            <w:webHidden/>
          </w:rPr>
          <w:fldChar w:fldCharType="separate"/>
        </w:r>
        <w:r w:rsidR="005010AB">
          <w:rPr>
            <w:noProof/>
            <w:webHidden/>
          </w:rPr>
          <w:t>11</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5" w:history="1">
        <w:r w:rsidR="00703F87" w:rsidRPr="0036290C">
          <w:rPr>
            <w:rStyle w:val="Hypertextovprepojenie"/>
            <w:noProof/>
          </w:rPr>
          <w:t>Prijímacie konanie na 2. stupeň</w:t>
        </w:r>
        <w:r w:rsidR="00703F87" w:rsidRPr="0036290C">
          <w:rPr>
            <w:rStyle w:val="Hypertextovprepojenie"/>
            <w:noProof/>
            <w:vertAlign w:val="superscript"/>
          </w:rPr>
          <w:t>4)</w:t>
        </w:r>
        <w:r w:rsidR="00703F87">
          <w:rPr>
            <w:noProof/>
            <w:webHidden/>
          </w:rPr>
          <w:tab/>
        </w:r>
        <w:r w:rsidR="00703F87">
          <w:rPr>
            <w:noProof/>
            <w:webHidden/>
          </w:rPr>
          <w:fldChar w:fldCharType="begin"/>
        </w:r>
        <w:r w:rsidR="00703F87">
          <w:rPr>
            <w:noProof/>
            <w:webHidden/>
          </w:rPr>
          <w:instrText xml:space="preserve"> PAGEREF _Toc427750175 \h </w:instrText>
        </w:r>
        <w:r w:rsidR="00703F87">
          <w:rPr>
            <w:noProof/>
            <w:webHidden/>
          </w:rPr>
        </w:r>
        <w:r w:rsidR="00703F87">
          <w:rPr>
            <w:noProof/>
            <w:webHidden/>
          </w:rPr>
          <w:fldChar w:fldCharType="separate"/>
        </w:r>
        <w:r w:rsidR="005010AB">
          <w:rPr>
            <w:noProof/>
            <w:webHidden/>
          </w:rPr>
          <w:t>13</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6" w:history="1">
        <w:r w:rsidR="00703F87" w:rsidRPr="0036290C">
          <w:rPr>
            <w:rStyle w:val="Hypertextovprepojenie"/>
            <w:noProof/>
          </w:rPr>
          <w:t>Dostupnosť štúdia pre občanov so špecifickými potrebami</w:t>
        </w:r>
        <w:r w:rsidR="00703F87">
          <w:rPr>
            <w:noProof/>
            <w:webHidden/>
          </w:rPr>
          <w:tab/>
        </w:r>
        <w:r w:rsidR="00703F87">
          <w:rPr>
            <w:noProof/>
            <w:webHidden/>
          </w:rPr>
          <w:fldChar w:fldCharType="begin"/>
        </w:r>
        <w:r w:rsidR="00703F87">
          <w:rPr>
            <w:noProof/>
            <w:webHidden/>
          </w:rPr>
          <w:instrText xml:space="preserve"> PAGEREF _Toc427750176 \h </w:instrText>
        </w:r>
        <w:r w:rsidR="00703F87">
          <w:rPr>
            <w:noProof/>
            <w:webHidden/>
          </w:rPr>
        </w:r>
        <w:r w:rsidR="00703F87">
          <w:rPr>
            <w:noProof/>
            <w:webHidden/>
          </w:rPr>
          <w:fldChar w:fldCharType="separate"/>
        </w:r>
        <w:r w:rsidR="005010AB">
          <w:rPr>
            <w:noProof/>
            <w:webHidden/>
          </w:rPr>
          <w:t>13</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77" w:history="1">
        <w:r w:rsidR="00703F87" w:rsidRPr="0036290C">
          <w:rPr>
            <w:rStyle w:val="Hypertextovprepojenie"/>
            <w:noProof/>
          </w:rPr>
          <w:t>Vysokoškolská mobilita</w:t>
        </w:r>
        <w:r w:rsidR="00703F87">
          <w:rPr>
            <w:noProof/>
            <w:webHidden/>
          </w:rPr>
          <w:tab/>
        </w:r>
        <w:r w:rsidR="00703F87">
          <w:rPr>
            <w:noProof/>
            <w:webHidden/>
          </w:rPr>
          <w:fldChar w:fldCharType="begin"/>
        </w:r>
        <w:r w:rsidR="00703F87">
          <w:rPr>
            <w:noProof/>
            <w:webHidden/>
          </w:rPr>
          <w:instrText xml:space="preserve"> PAGEREF _Toc427750177 \h </w:instrText>
        </w:r>
        <w:r w:rsidR="00703F87">
          <w:rPr>
            <w:noProof/>
            <w:webHidden/>
          </w:rPr>
        </w:r>
        <w:r w:rsidR="00703F87">
          <w:rPr>
            <w:noProof/>
            <w:webHidden/>
          </w:rPr>
          <w:fldChar w:fldCharType="separate"/>
        </w:r>
        <w:r w:rsidR="005010AB">
          <w:rPr>
            <w:noProof/>
            <w:webHidden/>
          </w:rPr>
          <w:t>14</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78" w:history="1">
        <w:r w:rsidR="00703F87" w:rsidRPr="0036290C">
          <w:rPr>
            <w:rStyle w:val="Hypertextovprepojenie"/>
            <w:noProof/>
          </w:rPr>
          <w:t>1.4 Zamestnanci vysokých škôl</w:t>
        </w:r>
        <w:r w:rsidR="00703F87">
          <w:rPr>
            <w:noProof/>
            <w:webHidden/>
          </w:rPr>
          <w:tab/>
        </w:r>
        <w:r w:rsidR="00703F87">
          <w:rPr>
            <w:noProof/>
            <w:webHidden/>
          </w:rPr>
          <w:fldChar w:fldCharType="begin"/>
        </w:r>
        <w:r w:rsidR="00703F87">
          <w:rPr>
            <w:noProof/>
            <w:webHidden/>
          </w:rPr>
          <w:instrText xml:space="preserve"> PAGEREF _Toc427750178 \h </w:instrText>
        </w:r>
        <w:r w:rsidR="00703F87">
          <w:rPr>
            <w:noProof/>
            <w:webHidden/>
          </w:rPr>
        </w:r>
        <w:r w:rsidR="00703F87">
          <w:rPr>
            <w:noProof/>
            <w:webHidden/>
          </w:rPr>
          <w:fldChar w:fldCharType="separate"/>
        </w:r>
        <w:r w:rsidR="005010AB">
          <w:rPr>
            <w:noProof/>
            <w:webHidden/>
          </w:rPr>
          <w:t>14</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79" w:history="1">
        <w:r w:rsidR="00703F87" w:rsidRPr="0036290C">
          <w:rPr>
            <w:rStyle w:val="Hypertextovprepojenie"/>
            <w:noProof/>
          </w:rPr>
          <w:t>1.5 Vysokoškolská veda a technika</w:t>
        </w:r>
        <w:r w:rsidR="00703F87">
          <w:rPr>
            <w:noProof/>
            <w:webHidden/>
          </w:rPr>
          <w:tab/>
        </w:r>
        <w:r w:rsidR="00703F87">
          <w:rPr>
            <w:noProof/>
            <w:webHidden/>
          </w:rPr>
          <w:fldChar w:fldCharType="begin"/>
        </w:r>
        <w:r w:rsidR="00703F87">
          <w:rPr>
            <w:noProof/>
            <w:webHidden/>
          </w:rPr>
          <w:instrText xml:space="preserve"> PAGEREF _Toc427750179 \h </w:instrText>
        </w:r>
        <w:r w:rsidR="00703F87">
          <w:rPr>
            <w:noProof/>
            <w:webHidden/>
          </w:rPr>
        </w:r>
        <w:r w:rsidR="00703F87">
          <w:rPr>
            <w:noProof/>
            <w:webHidden/>
          </w:rPr>
          <w:fldChar w:fldCharType="separate"/>
        </w:r>
        <w:r w:rsidR="005010AB">
          <w:rPr>
            <w:noProof/>
            <w:webHidden/>
          </w:rPr>
          <w:t>17</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80" w:history="1">
        <w:r w:rsidR="00703F87" w:rsidRPr="0036290C">
          <w:rPr>
            <w:rStyle w:val="Hypertextovprepojenie"/>
            <w:noProof/>
          </w:rPr>
          <w:t>Podprogram Vysokoškolská veda a technika</w:t>
        </w:r>
        <w:r w:rsidR="00703F87">
          <w:rPr>
            <w:noProof/>
            <w:webHidden/>
          </w:rPr>
          <w:tab/>
        </w:r>
        <w:r w:rsidR="00703F87">
          <w:rPr>
            <w:noProof/>
            <w:webHidden/>
          </w:rPr>
          <w:fldChar w:fldCharType="begin"/>
        </w:r>
        <w:r w:rsidR="00703F87">
          <w:rPr>
            <w:noProof/>
            <w:webHidden/>
          </w:rPr>
          <w:instrText xml:space="preserve"> PAGEREF _Toc427750180 \h </w:instrText>
        </w:r>
        <w:r w:rsidR="00703F87">
          <w:rPr>
            <w:noProof/>
            <w:webHidden/>
          </w:rPr>
        </w:r>
        <w:r w:rsidR="00703F87">
          <w:rPr>
            <w:noProof/>
            <w:webHidden/>
          </w:rPr>
          <w:fldChar w:fldCharType="separate"/>
        </w:r>
        <w:r w:rsidR="005010AB">
          <w:rPr>
            <w:noProof/>
            <w:webHidden/>
          </w:rPr>
          <w:t>17</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81" w:history="1">
        <w:r w:rsidR="00703F87" w:rsidRPr="0036290C">
          <w:rPr>
            <w:rStyle w:val="Hypertextovprepojenie"/>
            <w:noProof/>
          </w:rPr>
          <w:t>Aktivity verejných vysokých škôl v rámci štátnych programov a projektov podporovaných Agentúrou na podporu výskumu a vývoja</w:t>
        </w:r>
        <w:r w:rsidR="00703F87">
          <w:rPr>
            <w:noProof/>
            <w:webHidden/>
          </w:rPr>
          <w:tab/>
        </w:r>
        <w:r w:rsidR="00703F87">
          <w:rPr>
            <w:noProof/>
            <w:webHidden/>
          </w:rPr>
          <w:fldChar w:fldCharType="begin"/>
        </w:r>
        <w:r w:rsidR="00703F87">
          <w:rPr>
            <w:noProof/>
            <w:webHidden/>
          </w:rPr>
          <w:instrText xml:space="preserve"> PAGEREF _Toc427750181 \h </w:instrText>
        </w:r>
        <w:r w:rsidR="00703F87">
          <w:rPr>
            <w:noProof/>
            <w:webHidden/>
          </w:rPr>
        </w:r>
        <w:r w:rsidR="00703F87">
          <w:rPr>
            <w:noProof/>
            <w:webHidden/>
          </w:rPr>
          <w:fldChar w:fldCharType="separate"/>
        </w:r>
        <w:r w:rsidR="005010AB">
          <w:rPr>
            <w:noProof/>
            <w:webHidden/>
          </w:rPr>
          <w:t>18</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82" w:history="1">
        <w:r w:rsidR="00703F87" w:rsidRPr="0036290C">
          <w:rPr>
            <w:rStyle w:val="Hypertextovprepojenie"/>
            <w:noProof/>
          </w:rPr>
          <w:t>Publikačná činnosť</w:t>
        </w:r>
        <w:r w:rsidR="00703F87">
          <w:rPr>
            <w:noProof/>
            <w:webHidden/>
          </w:rPr>
          <w:tab/>
        </w:r>
        <w:r w:rsidR="00703F87">
          <w:rPr>
            <w:noProof/>
            <w:webHidden/>
          </w:rPr>
          <w:fldChar w:fldCharType="begin"/>
        </w:r>
        <w:r w:rsidR="00703F87">
          <w:rPr>
            <w:noProof/>
            <w:webHidden/>
          </w:rPr>
          <w:instrText xml:space="preserve"> PAGEREF _Toc427750182 \h </w:instrText>
        </w:r>
        <w:r w:rsidR="00703F87">
          <w:rPr>
            <w:noProof/>
            <w:webHidden/>
          </w:rPr>
        </w:r>
        <w:r w:rsidR="00703F87">
          <w:rPr>
            <w:noProof/>
            <w:webHidden/>
          </w:rPr>
          <w:fldChar w:fldCharType="separate"/>
        </w:r>
        <w:r w:rsidR="005010AB">
          <w:rPr>
            <w:noProof/>
            <w:webHidden/>
          </w:rPr>
          <w:t>18</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83" w:history="1">
        <w:r w:rsidR="00703F87" w:rsidRPr="0036290C">
          <w:rPr>
            <w:rStyle w:val="Hypertextovprepojenie"/>
            <w:noProof/>
          </w:rPr>
          <w:t>1.6 Rozvoj vysokého školstva</w:t>
        </w:r>
        <w:r w:rsidR="00703F87">
          <w:rPr>
            <w:noProof/>
            <w:webHidden/>
          </w:rPr>
          <w:tab/>
        </w:r>
        <w:r w:rsidR="00703F87">
          <w:rPr>
            <w:noProof/>
            <w:webHidden/>
          </w:rPr>
          <w:fldChar w:fldCharType="begin"/>
        </w:r>
        <w:r w:rsidR="00703F87">
          <w:rPr>
            <w:noProof/>
            <w:webHidden/>
          </w:rPr>
          <w:instrText xml:space="preserve"> PAGEREF _Toc427750183 \h </w:instrText>
        </w:r>
        <w:r w:rsidR="00703F87">
          <w:rPr>
            <w:noProof/>
            <w:webHidden/>
          </w:rPr>
        </w:r>
        <w:r w:rsidR="00703F87">
          <w:rPr>
            <w:noProof/>
            <w:webHidden/>
          </w:rPr>
          <w:fldChar w:fldCharType="separate"/>
        </w:r>
        <w:r w:rsidR="005010AB">
          <w:rPr>
            <w:noProof/>
            <w:webHidden/>
          </w:rPr>
          <w:t>20</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84" w:history="1">
        <w:r w:rsidR="00703F87" w:rsidRPr="0036290C">
          <w:rPr>
            <w:rStyle w:val="Hypertextovprepojenie"/>
            <w:noProof/>
          </w:rPr>
          <w:t>1.7 Systém sociálnej podpory študentov a sociálnych služieb</w:t>
        </w:r>
        <w:r w:rsidR="00703F87">
          <w:rPr>
            <w:noProof/>
            <w:webHidden/>
          </w:rPr>
          <w:tab/>
        </w:r>
        <w:r w:rsidR="00703F87">
          <w:rPr>
            <w:noProof/>
            <w:webHidden/>
          </w:rPr>
          <w:fldChar w:fldCharType="begin"/>
        </w:r>
        <w:r w:rsidR="00703F87">
          <w:rPr>
            <w:noProof/>
            <w:webHidden/>
          </w:rPr>
          <w:instrText xml:space="preserve"> PAGEREF _Toc427750184 \h </w:instrText>
        </w:r>
        <w:r w:rsidR="00703F87">
          <w:rPr>
            <w:noProof/>
            <w:webHidden/>
          </w:rPr>
        </w:r>
        <w:r w:rsidR="00703F87">
          <w:rPr>
            <w:noProof/>
            <w:webHidden/>
          </w:rPr>
          <w:fldChar w:fldCharType="separate"/>
        </w:r>
        <w:r w:rsidR="005010AB">
          <w:rPr>
            <w:noProof/>
            <w:webHidden/>
          </w:rPr>
          <w:t>20</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85" w:history="1">
        <w:r w:rsidR="00703F87" w:rsidRPr="0036290C">
          <w:rPr>
            <w:rStyle w:val="Hypertextovprepojenie"/>
            <w:noProof/>
          </w:rPr>
          <w:t>Časť II</w:t>
        </w:r>
        <w:r w:rsidR="00703F87">
          <w:rPr>
            <w:noProof/>
            <w:webHidden/>
          </w:rPr>
          <w:tab/>
        </w:r>
        <w:r w:rsidR="00703F87">
          <w:rPr>
            <w:noProof/>
            <w:webHidden/>
          </w:rPr>
          <w:fldChar w:fldCharType="begin"/>
        </w:r>
        <w:r w:rsidR="00703F87">
          <w:rPr>
            <w:noProof/>
            <w:webHidden/>
          </w:rPr>
          <w:instrText xml:space="preserve"> PAGEREF _Toc427750185 \h </w:instrText>
        </w:r>
        <w:r w:rsidR="00703F87">
          <w:rPr>
            <w:noProof/>
            <w:webHidden/>
          </w:rPr>
        </w:r>
        <w:r w:rsidR="00703F87">
          <w:rPr>
            <w:noProof/>
            <w:webHidden/>
          </w:rPr>
          <w:fldChar w:fldCharType="separate"/>
        </w:r>
        <w:r w:rsidR="005010AB">
          <w:rPr>
            <w:noProof/>
            <w:webHidden/>
          </w:rPr>
          <w:t>22</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86" w:history="1">
        <w:r w:rsidR="00703F87" w:rsidRPr="0036290C">
          <w:rPr>
            <w:rStyle w:val="Hypertextovprepojenie"/>
            <w:noProof/>
          </w:rPr>
          <w:t>2. Správa o hospodárení verejných vysokých škôl v roku 2014</w:t>
        </w:r>
        <w:r w:rsidR="00703F87">
          <w:rPr>
            <w:noProof/>
            <w:webHidden/>
          </w:rPr>
          <w:tab/>
        </w:r>
        <w:r w:rsidR="00703F87">
          <w:rPr>
            <w:noProof/>
            <w:webHidden/>
          </w:rPr>
          <w:fldChar w:fldCharType="begin"/>
        </w:r>
        <w:r w:rsidR="00703F87">
          <w:rPr>
            <w:noProof/>
            <w:webHidden/>
          </w:rPr>
          <w:instrText xml:space="preserve"> PAGEREF _Toc427750186 \h </w:instrText>
        </w:r>
        <w:r w:rsidR="00703F87">
          <w:rPr>
            <w:noProof/>
            <w:webHidden/>
          </w:rPr>
        </w:r>
        <w:r w:rsidR="00703F87">
          <w:rPr>
            <w:noProof/>
            <w:webHidden/>
          </w:rPr>
          <w:fldChar w:fldCharType="separate"/>
        </w:r>
        <w:r w:rsidR="005010AB">
          <w:rPr>
            <w:noProof/>
            <w:webHidden/>
          </w:rPr>
          <w:t>22</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87" w:history="1">
        <w:r w:rsidR="00703F87" w:rsidRPr="0036290C">
          <w:rPr>
            <w:rStyle w:val="Hypertextovprepojenie"/>
            <w:noProof/>
          </w:rPr>
          <w:t>2.1 Výška dotácií zo štátneho rozpočtu verejným vysokým školám v roku 2014 a spôsob ich rozdelenia</w:t>
        </w:r>
        <w:r w:rsidR="00703F87">
          <w:rPr>
            <w:noProof/>
            <w:webHidden/>
          </w:rPr>
          <w:tab/>
        </w:r>
        <w:r w:rsidR="00703F87">
          <w:rPr>
            <w:noProof/>
            <w:webHidden/>
          </w:rPr>
          <w:fldChar w:fldCharType="begin"/>
        </w:r>
        <w:r w:rsidR="00703F87">
          <w:rPr>
            <w:noProof/>
            <w:webHidden/>
          </w:rPr>
          <w:instrText xml:space="preserve"> PAGEREF _Toc427750187 \h </w:instrText>
        </w:r>
        <w:r w:rsidR="00703F87">
          <w:rPr>
            <w:noProof/>
            <w:webHidden/>
          </w:rPr>
        </w:r>
        <w:r w:rsidR="00703F87">
          <w:rPr>
            <w:noProof/>
            <w:webHidden/>
          </w:rPr>
          <w:fldChar w:fldCharType="separate"/>
        </w:r>
        <w:r w:rsidR="005010AB">
          <w:rPr>
            <w:noProof/>
            <w:webHidden/>
          </w:rPr>
          <w:t>23</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88" w:history="1">
        <w:r w:rsidR="00703F87" w:rsidRPr="0036290C">
          <w:rPr>
            <w:rStyle w:val="Hypertextovprepojenie"/>
            <w:noProof/>
          </w:rPr>
          <w:t>Výška dotácií zo štátneho rozpočtu verejným vysokým školám v roku 2014</w:t>
        </w:r>
        <w:r w:rsidR="00703F87">
          <w:rPr>
            <w:noProof/>
            <w:webHidden/>
          </w:rPr>
          <w:tab/>
        </w:r>
        <w:r w:rsidR="00703F87">
          <w:rPr>
            <w:noProof/>
            <w:webHidden/>
          </w:rPr>
          <w:fldChar w:fldCharType="begin"/>
        </w:r>
        <w:r w:rsidR="00703F87">
          <w:rPr>
            <w:noProof/>
            <w:webHidden/>
          </w:rPr>
          <w:instrText xml:space="preserve"> PAGEREF _Toc427750188 \h </w:instrText>
        </w:r>
        <w:r w:rsidR="00703F87">
          <w:rPr>
            <w:noProof/>
            <w:webHidden/>
          </w:rPr>
        </w:r>
        <w:r w:rsidR="00703F87">
          <w:rPr>
            <w:noProof/>
            <w:webHidden/>
          </w:rPr>
          <w:fldChar w:fldCharType="separate"/>
        </w:r>
        <w:r w:rsidR="005010AB">
          <w:rPr>
            <w:noProof/>
            <w:webHidden/>
          </w:rPr>
          <w:t>23</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89" w:history="1">
        <w:r w:rsidR="00703F87" w:rsidRPr="0036290C">
          <w:rPr>
            <w:rStyle w:val="Hypertextovprepojenie"/>
            <w:noProof/>
          </w:rPr>
          <w:t>Spôsob rozdelenia dotácií zo štátneho rozpočtu verejným vysokým školám</w:t>
        </w:r>
        <w:r w:rsidR="00703F87">
          <w:rPr>
            <w:noProof/>
            <w:webHidden/>
          </w:rPr>
          <w:tab/>
        </w:r>
        <w:r w:rsidR="00703F87">
          <w:rPr>
            <w:noProof/>
            <w:webHidden/>
          </w:rPr>
          <w:fldChar w:fldCharType="begin"/>
        </w:r>
        <w:r w:rsidR="00703F87">
          <w:rPr>
            <w:noProof/>
            <w:webHidden/>
          </w:rPr>
          <w:instrText xml:space="preserve"> PAGEREF _Toc427750189 \h </w:instrText>
        </w:r>
        <w:r w:rsidR="00703F87">
          <w:rPr>
            <w:noProof/>
            <w:webHidden/>
          </w:rPr>
        </w:r>
        <w:r w:rsidR="00703F87">
          <w:rPr>
            <w:noProof/>
            <w:webHidden/>
          </w:rPr>
          <w:fldChar w:fldCharType="separate"/>
        </w:r>
        <w:r w:rsidR="005010AB">
          <w:rPr>
            <w:noProof/>
            <w:webHidden/>
          </w:rPr>
          <w:t>24</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90" w:history="1">
        <w:r w:rsidR="00703F87" w:rsidRPr="0036290C">
          <w:rPr>
            <w:rStyle w:val="Hypertextovprepojenie"/>
            <w:noProof/>
          </w:rPr>
          <w:t>Jednotkové dotácie</w:t>
        </w:r>
        <w:r w:rsidR="00703F87">
          <w:rPr>
            <w:noProof/>
            <w:webHidden/>
          </w:rPr>
          <w:tab/>
        </w:r>
        <w:r w:rsidR="00703F87">
          <w:rPr>
            <w:noProof/>
            <w:webHidden/>
          </w:rPr>
          <w:fldChar w:fldCharType="begin"/>
        </w:r>
        <w:r w:rsidR="00703F87">
          <w:rPr>
            <w:noProof/>
            <w:webHidden/>
          </w:rPr>
          <w:instrText xml:space="preserve"> PAGEREF _Toc427750190 \h </w:instrText>
        </w:r>
        <w:r w:rsidR="00703F87">
          <w:rPr>
            <w:noProof/>
            <w:webHidden/>
          </w:rPr>
        </w:r>
        <w:r w:rsidR="00703F87">
          <w:rPr>
            <w:noProof/>
            <w:webHidden/>
          </w:rPr>
          <w:fldChar w:fldCharType="separate"/>
        </w:r>
        <w:r w:rsidR="005010AB">
          <w:rPr>
            <w:noProof/>
            <w:webHidden/>
          </w:rPr>
          <w:t>26</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91" w:history="1">
        <w:r w:rsidR="00703F87" w:rsidRPr="0036290C">
          <w:rPr>
            <w:rStyle w:val="Hypertextovprepojenie"/>
            <w:noProof/>
          </w:rPr>
          <w:t>2.2 Výsledky hospodárenia verejných vysokých škôl za rok 2014</w:t>
        </w:r>
        <w:r w:rsidR="00703F87">
          <w:rPr>
            <w:noProof/>
            <w:webHidden/>
          </w:rPr>
          <w:tab/>
        </w:r>
        <w:r w:rsidR="00703F87">
          <w:rPr>
            <w:noProof/>
            <w:webHidden/>
          </w:rPr>
          <w:fldChar w:fldCharType="begin"/>
        </w:r>
        <w:r w:rsidR="00703F87">
          <w:rPr>
            <w:noProof/>
            <w:webHidden/>
          </w:rPr>
          <w:instrText xml:space="preserve"> PAGEREF _Toc427750191 \h </w:instrText>
        </w:r>
        <w:r w:rsidR="00703F87">
          <w:rPr>
            <w:noProof/>
            <w:webHidden/>
          </w:rPr>
        </w:r>
        <w:r w:rsidR="00703F87">
          <w:rPr>
            <w:noProof/>
            <w:webHidden/>
          </w:rPr>
          <w:fldChar w:fldCharType="separate"/>
        </w:r>
        <w:r w:rsidR="005010AB">
          <w:rPr>
            <w:noProof/>
            <w:webHidden/>
          </w:rPr>
          <w:t>26</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92" w:history="1">
        <w:r w:rsidR="00703F87" w:rsidRPr="0036290C">
          <w:rPr>
            <w:rStyle w:val="Hypertextovprepojenie"/>
            <w:noProof/>
          </w:rPr>
          <w:t>Sumárne údaje zo súvah verejných vysokých škôl k 31. decembru 2014</w:t>
        </w:r>
        <w:r w:rsidR="00703F87">
          <w:rPr>
            <w:noProof/>
            <w:webHidden/>
          </w:rPr>
          <w:tab/>
        </w:r>
        <w:r w:rsidR="00703F87">
          <w:rPr>
            <w:noProof/>
            <w:webHidden/>
          </w:rPr>
          <w:fldChar w:fldCharType="begin"/>
        </w:r>
        <w:r w:rsidR="00703F87">
          <w:rPr>
            <w:noProof/>
            <w:webHidden/>
          </w:rPr>
          <w:instrText xml:space="preserve"> PAGEREF _Toc427750192 \h </w:instrText>
        </w:r>
        <w:r w:rsidR="00703F87">
          <w:rPr>
            <w:noProof/>
            <w:webHidden/>
          </w:rPr>
        </w:r>
        <w:r w:rsidR="00703F87">
          <w:rPr>
            <w:noProof/>
            <w:webHidden/>
          </w:rPr>
          <w:fldChar w:fldCharType="separate"/>
        </w:r>
        <w:r w:rsidR="005010AB">
          <w:rPr>
            <w:noProof/>
            <w:webHidden/>
          </w:rPr>
          <w:t>26</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93" w:history="1">
        <w:r w:rsidR="00703F87" w:rsidRPr="0036290C">
          <w:rPr>
            <w:rStyle w:val="Hypertextovprepojenie"/>
            <w:noProof/>
          </w:rPr>
          <w:t>Sumárne údaje o výnosoch a nákladoch verejných vysokých škôl</w:t>
        </w:r>
        <w:r w:rsidR="00703F87">
          <w:rPr>
            <w:noProof/>
            <w:webHidden/>
          </w:rPr>
          <w:tab/>
        </w:r>
        <w:r w:rsidR="00703F87">
          <w:rPr>
            <w:noProof/>
            <w:webHidden/>
          </w:rPr>
          <w:fldChar w:fldCharType="begin"/>
        </w:r>
        <w:r w:rsidR="00703F87">
          <w:rPr>
            <w:noProof/>
            <w:webHidden/>
          </w:rPr>
          <w:instrText xml:space="preserve"> PAGEREF _Toc427750193 \h </w:instrText>
        </w:r>
        <w:r w:rsidR="00703F87">
          <w:rPr>
            <w:noProof/>
            <w:webHidden/>
          </w:rPr>
        </w:r>
        <w:r w:rsidR="00703F87">
          <w:rPr>
            <w:noProof/>
            <w:webHidden/>
          </w:rPr>
          <w:fldChar w:fldCharType="separate"/>
        </w:r>
        <w:r w:rsidR="005010AB">
          <w:rPr>
            <w:noProof/>
            <w:webHidden/>
          </w:rPr>
          <w:t>28</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94" w:history="1">
        <w:r w:rsidR="00703F87" w:rsidRPr="0036290C">
          <w:rPr>
            <w:rStyle w:val="Hypertextovprepojenie"/>
            <w:noProof/>
          </w:rPr>
          <w:t>Štruktúra nákladov a výnosov v hlavnej činnosti</w:t>
        </w:r>
        <w:r w:rsidR="00703F87">
          <w:rPr>
            <w:noProof/>
            <w:webHidden/>
          </w:rPr>
          <w:tab/>
        </w:r>
        <w:r w:rsidR="00703F87">
          <w:rPr>
            <w:noProof/>
            <w:webHidden/>
          </w:rPr>
          <w:fldChar w:fldCharType="begin"/>
        </w:r>
        <w:r w:rsidR="00703F87">
          <w:rPr>
            <w:noProof/>
            <w:webHidden/>
          </w:rPr>
          <w:instrText xml:space="preserve"> PAGEREF _Toc427750194 \h </w:instrText>
        </w:r>
        <w:r w:rsidR="00703F87">
          <w:rPr>
            <w:noProof/>
            <w:webHidden/>
          </w:rPr>
        </w:r>
        <w:r w:rsidR="00703F87">
          <w:rPr>
            <w:noProof/>
            <w:webHidden/>
          </w:rPr>
          <w:fldChar w:fldCharType="separate"/>
        </w:r>
        <w:r w:rsidR="005010AB">
          <w:rPr>
            <w:noProof/>
            <w:webHidden/>
          </w:rPr>
          <w:t>29</w:t>
        </w:r>
        <w:r w:rsidR="00703F87">
          <w:rPr>
            <w:noProof/>
            <w:webHidden/>
          </w:rPr>
          <w:fldChar w:fldCharType="end"/>
        </w:r>
      </w:hyperlink>
    </w:p>
    <w:p w:rsidR="00703F87" w:rsidRDefault="00B71273">
      <w:pPr>
        <w:pStyle w:val="Obsah4"/>
        <w:tabs>
          <w:tab w:val="right" w:leader="dot" w:pos="9062"/>
        </w:tabs>
        <w:rPr>
          <w:rFonts w:asciiTheme="minorHAnsi" w:eastAsiaTheme="minorEastAsia" w:hAnsiTheme="minorHAnsi"/>
          <w:noProof/>
          <w:sz w:val="22"/>
          <w:szCs w:val="22"/>
        </w:rPr>
      </w:pPr>
      <w:hyperlink w:anchor="_Toc427750195" w:history="1">
        <w:r w:rsidR="00703F87" w:rsidRPr="0036290C">
          <w:rPr>
            <w:rStyle w:val="Hypertextovprepojenie"/>
            <w:noProof/>
          </w:rPr>
          <w:t>Kapitálové výdavky</w:t>
        </w:r>
        <w:r w:rsidR="00703F87">
          <w:rPr>
            <w:noProof/>
            <w:webHidden/>
          </w:rPr>
          <w:tab/>
        </w:r>
        <w:r w:rsidR="00703F87">
          <w:rPr>
            <w:noProof/>
            <w:webHidden/>
          </w:rPr>
          <w:fldChar w:fldCharType="begin"/>
        </w:r>
        <w:r w:rsidR="00703F87">
          <w:rPr>
            <w:noProof/>
            <w:webHidden/>
          </w:rPr>
          <w:instrText xml:space="preserve"> PAGEREF _Toc427750195 \h </w:instrText>
        </w:r>
        <w:r w:rsidR="00703F87">
          <w:rPr>
            <w:noProof/>
            <w:webHidden/>
          </w:rPr>
        </w:r>
        <w:r w:rsidR="00703F87">
          <w:rPr>
            <w:noProof/>
            <w:webHidden/>
          </w:rPr>
          <w:fldChar w:fldCharType="separate"/>
        </w:r>
        <w:r w:rsidR="005010AB">
          <w:rPr>
            <w:noProof/>
            <w:webHidden/>
          </w:rPr>
          <w:t>30</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96" w:history="1">
        <w:r w:rsidR="00703F87" w:rsidRPr="0036290C">
          <w:rPr>
            <w:rStyle w:val="Hypertextovprepojenie"/>
            <w:noProof/>
          </w:rPr>
          <w:t>Časť III</w:t>
        </w:r>
        <w:r w:rsidR="00703F87">
          <w:rPr>
            <w:noProof/>
            <w:webHidden/>
          </w:rPr>
          <w:tab/>
        </w:r>
        <w:r w:rsidR="00703F87">
          <w:rPr>
            <w:noProof/>
            <w:webHidden/>
          </w:rPr>
          <w:fldChar w:fldCharType="begin"/>
        </w:r>
        <w:r w:rsidR="00703F87">
          <w:rPr>
            <w:noProof/>
            <w:webHidden/>
          </w:rPr>
          <w:instrText xml:space="preserve"> PAGEREF _Toc427750196 \h </w:instrText>
        </w:r>
        <w:r w:rsidR="00703F87">
          <w:rPr>
            <w:noProof/>
            <w:webHidden/>
          </w:rPr>
        </w:r>
        <w:r w:rsidR="00703F87">
          <w:rPr>
            <w:noProof/>
            <w:webHidden/>
          </w:rPr>
          <w:fldChar w:fldCharType="separate"/>
        </w:r>
        <w:r w:rsidR="005010AB">
          <w:rPr>
            <w:noProof/>
            <w:webHidden/>
          </w:rPr>
          <w:t>31</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97" w:history="1">
        <w:r w:rsidR="00703F87" w:rsidRPr="0036290C">
          <w:rPr>
            <w:rStyle w:val="Hypertextovprepojenie"/>
            <w:noProof/>
          </w:rPr>
          <w:t>3. Záver k správe</w:t>
        </w:r>
        <w:r w:rsidR="00703F87">
          <w:rPr>
            <w:noProof/>
            <w:webHidden/>
          </w:rPr>
          <w:tab/>
        </w:r>
        <w:r w:rsidR="00703F87">
          <w:rPr>
            <w:noProof/>
            <w:webHidden/>
          </w:rPr>
          <w:fldChar w:fldCharType="begin"/>
        </w:r>
        <w:r w:rsidR="00703F87">
          <w:rPr>
            <w:noProof/>
            <w:webHidden/>
          </w:rPr>
          <w:instrText xml:space="preserve"> PAGEREF _Toc427750197 \h </w:instrText>
        </w:r>
        <w:r w:rsidR="00703F87">
          <w:rPr>
            <w:noProof/>
            <w:webHidden/>
          </w:rPr>
        </w:r>
        <w:r w:rsidR="00703F87">
          <w:rPr>
            <w:noProof/>
            <w:webHidden/>
          </w:rPr>
          <w:fldChar w:fldCharType="separate"/>
        </w:r>
        <w:r w:rsidR="005010AB">
          <w:rPr>
            <w:noProof/>
            <w:webHidden/>
          </w:rPr>
          <w:t>31</w:t>
        </w:r>
        <w:r w:rsidR="00703F87">
          <w:rPr>
            <w:noProof/>
            <w:webHidden/>
          </w:rPr>
          <w:fldChar w:fldCharType="end"/>
        </w:r>
      </w:hyperlink>
    </w:p>
    <w:p w:rsidR="00703F87" w:rsidRDefault="00B71273">
      <w:pPr>
        <w:pStyle w:val="Obsah2"/>
        <w:tabs>
          <w:tab w:val="right" w:leader="dot" w:pos="9062"/>
        </w:tabs>
        <w:rPr>
          <w:rFonts w:asciiTheme="minorHAnsi" w:eastAsiaTheme="minorEastAsia" w:hAnsiTheme="minorHAnsi"/>
          <w:b w:val="0"/>
          <w:bCs w:val="0"/>
          <w:noProof/>
          <w:sz w:val="22"/>
          <w:szCs w:val="22"/>
        </w:rPr>
      </w:pPr>
      <w:hyperlink w:anchor="_Toc427750198" w:history="1">
        <w:r w:rsidR="00703F87" w:rsidRPr="0036290C">
          <w:rPr>
            <w:rStyle w:val="Hypertextovprepojenie"/>
            <w:noProof/>
          </w:rPr>
          <w:t>Príloha č. 1 Medzinárodný projekt EUROSTUDENT V</w:t>
        </w:r>
        <w:r w:rsidR="00703F87">
          <w:rPr>
            <w:noProof/>
            <w:webHidden/>
          </w:rPr>
          <w:tab/>
        </w:r>
        <w:r w:rsidR="00703F87">
          <w:rPr>
            <w:noProof/>
            <w:webHidden/>
          </w:rPr>
          <w:fldChar w:fldCharType="begin"/>
        </w:r>
        <w:r w:rsidR="00703F87">
          <w:rPr>
            <w:noProof/>
            <w:webHidden/>
          </w:rPr>
          <w:instrText xml:space="preserve"> PAGEREF _Toc427750198 \h </w:instrText>
        </w:r>
        <w:r w:rsidR="00703F87">
          <w:rPr>
            <w:noProof/>
            <w:webHidden/>
          </w:rPr>
        </w:r>
        <w:r w:rsidR="00703F87">
          <w:rPr>
            <w:noProof/>
            <w:webHidden/>
          </w:rPr>
          <w:fldChar w:fldCharType="separate"/>
        </w:r>
        <w:r w:rsidR="005010AB">
          <w:rPr>
            <w:noProof/>
            <w:webHidden/>
          </w:rPr>
          <w:t>33</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199" w:history="1">
        <w:r w:rsidR="00703F87" w:rsidRPr="0036290C">
          <w:rPr>
            <w:rStyle w:val="Hypertextovprepojenie"/>
            <w:noProof/>
          </w:rPr>
          <w:t>Denní študenti vysokých škôl</w:t>
        </w:r>
        <w:r w:rsidR="00703F87">
          <w:rPr>
            <w:noProof/>
            <w:webHidden/>
          </w:rPr>
          <w:tab/>
        </w:r>
        <w:r w:rsidR="00703F87">
          <w:rPr>
            <w:noProof/>
            <w:webHidden/>
          </w:rPr>
          <w:fldChar w:fldCharType="begin"/>
        </w:r>
        <w:r w:rsidR="00703F87">
          <w:rPr>
            <w:noProof/>
            <w:webHidden/>
          </w:rPr>
          <w:instrText xml:space="preserve"> PAGEREF _Toc427750199 \h </w:instrText>
        </w:r>
        <w:r w:rsidR="00703F87">
          <w:rPr>
            <w:noProof/>
            <w:webHidden/>
          </w:rPr>
        </w:r>
        <w:r w:rsidR="00703F87">
          <w:rPr>
            <w:noProof/>
            <w:webHidden/>
          </w:rPr>
          <w:fldChar w:fldCharType="separate"/>
        </w:r>
        <w:r w:rsidR="005010AB">
          <w:rPr>
            <w:noProof/>
            <w:webHidden/>
          </w:rPr>
          <w:t>33</w:t>
        </w:r>
        <w:r w:rsidR="00703F87">
          <w:rPr>
            <w:noProof/>
            <w:webHidden/>
          </w:rPr>
          <w:fldChar w:fldCharType="end"/>
        </w:r>
      </w:hyperlink>
    </w:p>
    <w:p w:rsidR="00703F87" w:rsidRDefault="00B71273">
      <w:pPr>
        <w:pStyle w:val="Obsah3"/>
        <w:tabs>
          <w:tab w:val="right" w:leader="dot" w:pos="9062"/>
        </w:tabs>
        <w:rPr>
          <w:rFonts w:asciiTheme="minorHAnsi" w:eastAsiaTheme="minorEastAsia" w:hAnsiTheme="minorHAnsi"/>
          <w:noProof/>
          <w:sz w:val="22"/>
          <w:szCs w:val="22"/>
        </w:rPr>
      </w:pPr>
      <w:hyperlink w:anchor="_Toc427750200" w:history="1">
        <w:r w:rsidR="00703F87" w:rsidRPr="0036290C">
          <w:rPr>
            <w:rStyle w:val="Hypertextovprepojenie"/>
            <w:noProof/>
          </w:rPr>
          <w:t>Externí študenti vysokých škôl</w:t>
        </w:r>
        <w:r w:rsidR="00703F87">
          <w:rPr>
            <w:noProof/>
            <w:webHidden/>
          </w:rPr>
          <w:tab/>
        </w:r>
        <w:r w:rsidR="00703F87">
          <w:rPr>
            <w:noProof/>
            <w:webHidden/>
          </w:rPr>
          <w:fldChar w:fldCharType="begin"/>
        </w:r>
        <w:r w:rsidR="00703F87">
          <w:rPr>
            <w:noProof/>
            <w:webHidden/>
          </w:rPr>
          <w:instrText xml:space="preserve"> PAGEREF _Toc427750200 \h </w:instrText>
        </w:r>
        <w:r w:rsidR="00703F87">
          <w:rPr>
            <w:noProof/>
            <w:webHidden/>
          </w:rPr>
        </w:r>
        <w:r w:rsidR="00703F87">
          <w:rPr>
            <w:noProof/>
            <w:webHidden/>
          </w:rPr>
          <w:fldChar w:fldCharType="separate"/>
        </w:r>
        <w:r w:rsidR="005010AB">
          <w:rPr>
            <w:noProof/>
            <w:webHidden/>
          </w:rPr>
          <w:t>35</w:t>
        </w:r>
        <w:r w:rsidR="00703F87">
          <w:rPr>
            <w:noProof/>
            <w:webHidden/>
          </w:rPr>
          <w:fldChar w:fldCharType="end"/>
        </w:r>
      </w:hyperlink>
    </w:p>
    <w:p w:rsidR="00FF7972" w:rsidRPr="005E5FF1" w:rsidRDefault="00652A74" w:rsidP="00703F87">
      <w:pPr>
        <w:pStyle w:val="Nadpis1"/>
        <w:numPr>
          <w:ilvl w:val="0"/>
          <w:numId w:val="0"/>
        </w:numPr>
        <w:jc w:val="left"/>
      </w:pPr>
      <w:r w:rsidRPr="005E5FF1">
        <w:fldChar w:fldCharType="end"/>
      </w:r>
      <w:r w:rsidR="00FF7972">
        <w:br w:type="page"/>
      </w:r>
      <w:bookmarkStart w:id="6" w:name="_Toc395704029"/>
      <w:bookmarkStart w:id="7" w:name="_Toc427750163"/>
      <w:r w:rsidR="00FF7972" w:rsidRPr="005E5FF1">
        <w:lastRenderedPageBreak/>
        <w:t>Zoznam grafov v textovej časti správy</w:t>
      </w:r>
      <w:bookmarkEnd w:id="6"/>
      <w:bookmarkEnd w:id="7"/>
    </w:p>
    <w:p w:rsidR="009F0D68" w:rsidRDefault="00FF7972">
      <w:pPr>
        <w:pStyle w:val="Zoznamobrzkov"/>
        <w:tabs>
          <w:tab w:val="right" w:leader="dot" w:pos="9062"/>
        </w:tabs>
        <w:rPr>
          <w:rFonts w:asciiTheme="minorHAnsi" w:eastAsiaTheme="minorEastAsia" w:hAnsiTheme="minorHAnsi"/>
          <w:noProof/>
          <w:sz w:val="22"/>
          <w:szCs w:val="22"/>
        </w:rPr>
      </w:pPr>
      <w:r w:rsidRPr="005E5FF1">
        <w:fldChar w:fldCharType="begin"/>
      </w:r>
      <w:r w:rsidRPr="005E5FF1">
        <w:instrText xml:space="preserve"> TOC \c "Graf č." </w:instrText>
      </w:r>
      <w:r w:rsidRPr="005E5FF1">
        <w:fldChar w:fldCharType="separate"/>
      </w:r>
      <w:r w:rsidR="009F0D68">
        <w:rPr>
          <w:noProof/>
        </w:rPr>
        <w:t>Graf č. 1 Vývoj počtu študentov na vysokých školách</w:t>
      </w:r>
      <w:r w:rsidR="009F0D68">
        <w:rPr>
          <w:noProof/>
        </w:rPr>
        <w:tab/>
      </w:r>
      <w:r w:rsidR="009F0D68">
        <w:rPr>
          <w:noProof/>
        </w:rPr>
        <w:fldChar w:fldCharType="begin"/>
      </w:r>
      <w:r w:rsidR="009F0D68">
        <w:rPr>
          <w:noProof/>
        </w:rPr>
        <w:instrText xml:space="preserve"> PAGEREF _Toc427744997 \h </w:instrText>
      </w:r>
      <w:r w:rsidR="009F0D68">
        <w:rPr>
          <w:noProof/>
        </w:rPr>
      </w:r>
      <w:r w:rsidR="009F0D68">
        <w:rPr>
          <w:noProof/>
        </w:rPr>
        <w:fldChar w:fldCharType="separate"/>
      </w:r>
      <w:r w:rsidR="005010AB">
        <w:rPr>
          <w:noProof/>
        </w:rPr>
        <w:t>10</w:t>
      </w:r>
      <w:r w:rsidR="009F0D68">
        <w:rPr>
          <w:noProof/>
        </w:rPr>
        <w:fldChar w:fldCharType="end"/>
      </w:r>
    </w:p>
    <w:p w:rsidR="009F0D68" w:rsidRDefault="009F0D68">
      <w:pPr>
        <w:pStyle w:val="Zoznamobrzkov"/>
        <w:tabs>
          <w:tab w:val="right" w:leader="dot" w:pos="9062"/>
        </w:tabs>
        <w:rPr>
          <w:rFonts w:asciiTheme="minorHAnsi" w:eastAsiaTheme="minorEastAsia" w:hAnsiTheme="minorHAnsi"/>
          <w:noProof/>
          <w:sz w:val="22"/>
          <w:szCs w:val="22"/>
        </w:rPr>
      </w:pPr>
      <w:r>
        <w:rPr>
          <w:noProof/>
        </w:rPr>
        <w:t>Graf č. 2 Vývoj počtu prihlášok, prijatí a zápisov, prihlásených (fyzické osoby), prijatých (fyzické osoby) a zapísaných (fyzické osoby) – fyzická osoba je za všetky školy zohľadnená len raz, aj keď sa zúčastnila viacerých prijímacích konaní.</w:t>
      </w:r>
      <w:r>
        <w:rPr>
          <w:noProof/>
        </w:rPr>
        <w:tab/>
      </w:r>
      <w:r>
        <w:rPr>
          <w:noProof/>
        </w:rPr>
        <w:fldChar w:fldCharType="begin"/>
      </w:r>
      <w:r>
        <w:rPr>
          <w:noProof/>
        </w:rPr>
        <w:instrText xml:space="preserve"> PAGEREF _Toc427744998 \h </w:instrText>
      </w:r>
      <w:r>
        <w:rPr>
          <w:noProof/>
        </w:rPr>
      </w:r>
      <w:r>
        <w:rPr>
          <w:noProof/>
        </w:rPr>
        <w:fldChar w:fldCharType="separate"/>
      </w:r>
      <w:r w:rsidR="005010AB">
        <w:rPr>
          <w:noProof/>
        </w:rPr>
        <w:t>12</w:t>
      </w:r>
      <w:r>
        <w:rPr>
          <w:noProof/>
        </w:rPr>
        <w:fldChar w:fldCharType="end"/>
      </w:r>
    </w:p>
    <w:p w:rsidR="00FF7972" w:rsidRDefault="00FF7972" w:rsidP="00FF7972">
      <w:r w:rsidRPr="005E5FF1">
        <w:fldChar w:fldCharType="end"/>
      </w:r>
      <w:r w:rsidR="009F0D68" w:rsidRPr="00AC0841">
        <w:t xml:space="preserve">Graf č. </w:t>
      </w:r>
      <w:r w:rsidR="009F0D68">
        <w:t>3</w:t>
      </w:r>
      <w:r w:rsidR="009F0D68" w:rsidRPr="00FF488A">
        <w:t xml:space="preserve"> Vývoj populácie 19-ročných, počtu maturantov, počtu zapísaných celkom (fyzické osoby) a zapísaných maturantov (fyzické osoby).</w:t>
      </w:r>
      <w:r w:rsidR="009F0D68">
        <w:t>...................................................................</w:t>
      </w:r>
      <w:r w:rsidR="00F11935">
        <w:t xml:space="preserve"> 13</w:t>
      </w:r>
    </w:p>
    <w:p w:rsidR="001D4FBC" w:rsidRDefault="009F0D68" w:rsidP="004C4F33">
      <w:pPr>
        <w:jc w:val="both"/>
      </w:pPr>
      <w:r w:rsidRPr="00AC0841">
        <w:t xml:space="preserve">Graf č. </w:t>
      </w:r>
      <w:r>
        <w:t>4</w:t>
      </w:r>
      <w:r w:rsidRPr="00FF488A">
        <w:t xml:space="preserve"> Vývoj populácie 19-ročných, počtu maturantov, počtu zapísaných celkom (fyzické osoby) a zapísaných maturantov (fyzické osoby) </w:t>
      </w:r>
      <w:r w:rsidR="004C4F33">
        <w:t xml:space="preserve">ako </w:t>
      </w:r>
      <w:r w:rsidRPr="00FF488A">
        <w:t>percentuáln</w:t>
      </w:r>
      <w:r w:rsidR="004C4F33">
        <w:t>y</w:t>
      </w:r>
      <w:r w:rsidRPr="00FF488A">
        <w:t xml:space="preserve"> </w:t>
      </w:r>
      <w:r w:rsidR="004C4F33">
        <w:t>podiel na počte                19 ročných............................................................................................................................</w:t>
      </w:r>
      <w:r>
        <w:t>....</w:t>
      </w:r>
      <w:r w:rsidR="00F11935">
        <w:t xml:space="preserve"> 13</w:t>
      </w:r>
    </w:p>
    <w:p w:rsidR="00F11935" w:rsidRDefault="00F11935" w:rsidP="00FF7972">
      <w:r w:rsidRPr="00AC0841">
        <w:t xml:space="preserve">Graf č. </w:t>
      </w:r>
      <w:r>
        <w:t>5</w:t>
      </w:r>
      <w:r w:rsidRPr="00AC0841">
        <w:t xml:space="preserve"> Vývoj priem</w:t>
      </w:r>
      <w:r>
        <w:t>e</w:t>
      </w:r>
      <w:r w:rsidRPr="00AC0841">
        <w:t>rných platov zamestnancov verejných vysokých škô</w:t>
      </w:r>
      <w:r>
        <w:t>l........................ 15</w:t>
      </w:r>
    </w:p>
    <w:p w:rsidR="00F11935" w:rsidRDefault="00F11935" w:rsidP="00FF7972">
      <w:r w:rsidRPr="00AC0841">
        <w:t xml:space="preserve">Graf č. </w:t>
      </w:r>
      <w:r>
        <w:t>6</w:t>
      </w:r>
      <w:r w:rsidRPr="00AC0841">
        <w:t xml:space="preserve"> Veková štruktúra vysokoškolských učiteľov vysokých škôl (vrátane štátnych) </w:t>
      </w:r>
      <w:r w:rsidRPr="00AC0841">
        <w:br/>
        <w:t xml:space="preserve">(minimálny vek, prvý </w:t>
      </w:r>
      <w:proofErr w:type="spellStart"/>
      <w:r w:rsidRPr="00AC0841">
        <w:t>kvartil</w:t>
      </w:r>
      <w:proofErr w:type="spellEnd"/>
      <w:r w:rsidRPr="00AC0841">
        <w:t xml:space="preserve">, medián, tretí </w:t>
      </w:r>
      <w:proofErr w:type="spellStart"/>
      <w:r w:rsidRPr="00AC0841">
        <w:t>kvartil</w:t>
      </w:r>
      <w:proofErr w:type="spellEnd"/>
      <w:r w:rsidRPr="00AC0841">
        <w:t xml:space="preserve"> a maximálny vek</w:t>
      </w:r>
      <w:r>
        <w:t>).................................... 16</w:t>
      </w:r>
    </w:p>
    <w:p w:rsidR="00F11935" w:rsidRDefault="00F11935" w:rsidP="00FF7972">
      <w:r w:rsidRPr="00AC0841">
        <w:t xml:space="preserve">Graf č. </w:t>
      </w:r>
      <w:r>
        <w:t>7</w:t>
      </w:r>
      <w:r w:rsidRPr="00C31EC8">
        <w:t xml:space="preserve"> Zmeny v počte fyzických osôb k 31.12.2013 a 31.12.2014 zamestnaných na vysokej škole (vysokoškolský učiteľ, výskumný/umelecký pracovník) podľa funkcie, zdroj: Register zamestnancov vysokých </w:t>
      </w:r>
      <w:r w:rsidRPr="0046392E">
        <w:t>šk</w:t>
      </w:r>
      <w:r w:rsidRPr="00C31EC8">
        <w:t>ôl</w:t>
      </w:r>
      <w:r>
        <w:t>................................................................................................... 16</w:t>
      </w:r>
    </w:p>
    <w:p w:rsidR="009F0D68" w:rsidRPr="00F11935" w:rsidRDefault="00F11935" w:rsidP="00FF7972">
      <w:r w:rsidRPr="00F11935">
        <w:t>Graf. č 8 Priemerný citačný ohlas normalizovaný podľa vedného odboru (C-N CI) za roky 2010-2014 v porovnaní s priemernou svetovou hodnotou (pribl.1</w:t>
      </w:r>
      <w:r>
        <w:t>)........................................ 20</w:t>
      </w:r>
    </w:p>
    <w:p w:rsidR="00FF7972" w:rsidRDefault="00FF7972" w:rsidP="00FF7972"/>
    <w:p w:rsidR="00F11935" w:rsidRDefault="00F11935" w:rsidP="00FF7972"/>
    <w:p w:rsidR="00F11935" w:rsidRDefault="00F11935" w:rsidP="00FF7972"/>
    <w:p w:rsidR="00703F87" w:rsidRDefault="00703F87" w:rsidP="00FF7972"/>
    <w:p w:rsidR="00703F87" w:rsidRDefault="00703F87" w:rsidP="00FF7972"/>
    <w:p w:rsidR="00703F87" w:rsidRPr="00FF7972" w:rsidRDefault="00703F87" w:rsidP="00FF7972"/>
    <w:p w:rsidR="008108C9" w:rsidRPr="005E5FF1" w:rsidRDefault="008108C9" w:rsidP="008108C9">
      <w:r w:rsidRPr="008108C9">
        <w:rPr>
          <w:b/>
        </w:rPr>
        <w:t>Tabuľková príloha k správe</w:t>
      </w:r>
    </w:p>
    <w:p w:rsidR="00652A74" w:rsidRPr="005E5FF1" w:rsidRDefault="00513381" w:rsidP="00513381">
      <w:pPr>
        <w:rPr>
          <w:sz w:val="28"/>
          <w:szCs w:val="28"/>
        </w:rPr>
        <w:sectPr w:rsidR="00652A74" w:rsidRPr="005E5FF1" w:rsidSect="00652A74">
          <w:headerReference w:type="default" r:id="rId9"/>
          <w:footerReference w:type="default" r:id="rId10"/>
          <w:pgSz w:w="11906" w:h="16838"/>
          <w:pgMar w:top="1417" w:right="1417" w:bottom="1417" w:left="1417" w:header="708" w:footer="708" w:gutter="0"/>
          <w:cols w:space="708"/>
          <w:titlePg/>
        </w:sectPr>
      </w:pPr>
      <w:r w:rsidRPr="005E5FF1">
        <w:br w:type="page"/>
      </w:r>
    </w:p>
    <w:p w:rsidR="00652A74" w:rsidRPr="00791FE3" w:rsidRDefault="00652A74" w:rsidP="00652A74">
      <w:pPr>
        <w:pStyle w:val="Nadpis1"/>
        <w:numPr>
          <w:ilvl w:val="0"/>
          <w:numId w:val="0"/>
        </w:numPr>
      </w:pPr>
      <w:bookmarkStart w:id="8" w:name="_Toc264838372"/>
      <w:bookmarkStart w:id="9" w:name="_Toc427750164"/>
      <w:r w:rsidRPr="00791FE3">
        <w:lastRenderedPageBreak/>
        <w:t xml:space="preserve">Výročná správa o stave vysokého školstva za rok </w:t>
      </w:r>
      <w:bookmarkEnd w:id="0"/>
      <w:bookmarkEnd w:id="1"/>
      <w:bookmarkEnd w:id="2"/>
      <w:bookmarkEnd w:id="3"/>
      <w:bookmarkEnd w:id="4"/>
      <w:bookmarkEnd w:id="5"/>
      <w:r w:rsidR="00C20F20" w:rsidRPr="00791FE3">
        <w:t>201</w:t>
      </w:r>
      <w:bookmarkEnd w:id="8"/>
      <w:r w:rsidR="00330DEC" w:rsidRPr="00791FE3">
        <w:t>4</w:t>
      </w:r>
      <w:bookmarkEnd w:id="9"/>
    </w:p>
    <w:p w:rsidR="00652A74" w:rsidRPr="00791FE3" w:rsidRDefault="00652A74" w:rsidP="00652A74">
      <w:pPr>
        <w:pStyle w:val="tl12ptZa6pt"/>
      </w:pPr>
      <w:r w:rsidRPr="00791FE3">
        <w:t>Ministerstvo školstva</w:t>
      </w:r>
      <w:r w:rsidR="00C20F20" w:rsidRPr="00791FE3">
        <w:t>, vedy, výskumu a špor</w:t>
      </w:r>
      <w:r w:rsidR="00576C6F" w:rsidRPr="00791FE3">
        <w:t>t</w:t>
      </w:r>
      <w:r w:rsidR="00C20F20" w:rsidRPr="00791FE3">
        <w:t>u</w:t>
      </w:r>
      <w:r w:rsidRPr="00791FE3">
        <w:t xml:space="preserve"> </w:t>
      </w:r>
      <w:r w:rsidR="00FD1675">
        <w:t>Slovenskej republiky</w:t>
      </w:r>
      <w:r w:rsidRPr="00791FE3">
        <w:t xml:space="preserve"> (ďalej len „ministerstvo“)</w:t>
      </w:r>
      <w:r w:rsidR="00B80C5F" w:rsidRPr="00791FE3">
        <w:t xml:space="preserve"> v súlade s § 102 ods. 2 písm. c</w:t>
      </w:r>
      <w:r w:rsidRPr="00791FE3">
        <w:t>) zákona č. 131/2002 Z. z. o vysokých školách a o zmene a doplnení niektorých zákonov</w:t>
      </w:r>
      <w:r w:rsidR="00CD0FA8" w:rsidRPr="00791FE3">
        <w:t xml:space="preserve"> v znení neskorších predpisov</w:t>
      </w:r>
      <w:r w:rsidRPr="00791FE3">
        <w:t xml:space="preserve"> (ďalej len „zákon“) každoročne vypracúva a zverejňuje výročnú správu o stave vysokého školstva. Tento </w:t>
      </w:r>
      <w:r w:rsidR="00470F6A" w:rsidRPr="00791FE3">
        <w:t>dokument</w:t>
      </w:r>
      <w:r w:rsidRPr="00791FE3">
        <w:t xml:space="preserve"> obsahuje výročnú správu o sta</w:t>
      </w:r>
      <w:r w:rsidR="00CC4679" w:rsidRPr="00791FE3">
        <w:t xml:space="preserve">ve vysokého školstva za rok </w:t>
      </w:r>
      <w:r w:rsidR="00C20F20" w:rsidRPr="00791FE3">
        <w:t>201</w:t>
      </w:r>
      <w:r w:rsidR="00330DEC" w:rsidRPr="00791FE3">
        <w:t>4</w:t>
      </w:r>
      <w:r w:rsidR="00CD0FA8" w:rsidRPr="00791FE3">
        <w:t xml:space="preserve"> (ďalej len „správa“)</w:t>
      </w:r>
      <w:r w:rsidRPr="00791FE3">
        <w:t>.</w:t>
      </w:r>
    </w:p>
    <w:p w:rsidR="00652A74" w:rsidRPr="00791FE3" w:rsidRDefault="00652A74" w:rsidP="00652A74">
      <w:pPr>
        <w:pStyle w:val="tl12ptZa6pt"/>
      </w:pPr>
      <w:r w:rsidRPr="00791FE3">
        <w:rPr>
          <w:b/>
          <w:bCs/>
        </w:rPr>
        <w:t>V úvode správy</w:t>
      </w:r>
      <w:r w:rsidRPr="00791FE3">
        <w:t xml:space="preserve"> sú v stručnej forme </w:t>
      </w:r>
      <w:r w:rsidRPr="00791FE3">
        <w:rPr>
          <w:b/>
        </w:rPr>
        <w:t>zhrnuté najdôležitejšie informáci</w:t>
      </w:r>
      <w:r w:rsidR="001C2DB7" w:rsidRPr="00791FE3">
        <w:rPr>
          <w:b/>
        </w:rPr>
        <w:t>e</w:t>
      </w:r>
      <w:r w:rsidR="001C2DB7" w:rsidRPr="00791FE3">
        <w:t xml:space="preserve"> o vysokom školstve</w:t>
      </w:r>
      <w:r w:rsidR="00CC4679" w:rsidRPr="00791FE3">
        <w:t xml:space="preserve"> </w:t>
      </w:r>
      <w:r w:rsidR="00CD0FA8" w:rsidRPr="00791FE3">
        <w:t>za rok</w:t>
      </w:r>
      <w:r w:rsidR="00CC4679" w:rsidRPr="00791FE3">
        <w:t xml:space="preserve"> </w:t>
      </w:r>
      <w:r w:rsidR="00C20F20" w:rsidRPr="00791FE3">
        <w:t>201</w:t>
      </w:r>
      <w:r w:rsidR="00330DEC" w:rsidRPr="00791FE3">
        <w:t>4</w:t>
      </w:r>
      <w:r w:rsidR="00C053E9" w:rsidRPr="00791FE3">
        <w:t>.</w:t>
      </w:r>
    </w:p>
    <w:p w:rsidR="00652A74" w:rsidRPr="00791FE3" w:rsidRDefault="00652A74" w:rsidP="00652A74">
      <w:pPr>
        <w:pStyle w:val="tl12ptZa6pt"/>
      </w:pPr>
      <w:r w:rsidRPr="00791FE3">
        <w:rPr>
          <w:b/>
          <w:bCs/>
        </w:rPr>
        <w:t>Prvú časť správy</w:t>
      </w:r>
      <w:r w:rsidRPr="00791FE3">
        <w:t xml:space="preserve"> tvorí </w:t>
      </w:r>
      <w:r w:rsidRPr="00791FE3">
        <w:rPr>
          <w:b/>
          <w:bCs/>
        </w:rPr>
        <w:t>správa o činnosti</w:t>
      </w:r>
      <w:r w:rsidR="00CC4679" w:rsidRPr="00791FE3">
        <w:t xml:space="preserve"> vysokých škôl </w:t>
      </w:r>
      <w:r w:rsidR="00570835">
        <w:t xml:space="preserve">v Slovenskej republike (ďalej len „SR“) </w:t>
      </w:r>
      <w:r w:rsidR="00CC4679" w:rsidRPr="00791FE3">
        <w:t xml:space="preserve">v roku </w:t>
      </w:r>
      <w:r w:rsidR="00C20F20" w:rsidRPr="00791FE3">
        <w:t>201</w:t>
      </w:r>
      <w:r w:rsidR="00330DEC" w:rsidRPr="00791FE3">
        <w:t>4</w:t>
      </w:r>
      <w:r w:rsidRPr="00791FE3">
        <w:t xml:space="preserve">. Je zameraná na plnenie ich hlavných úloh v oblasti vysokoškolského vzdelávania, v oblasti vysokoškolskej vedy a techniky, v oblasti rozvoja a v oblasti sociálnej podpory študentov. </w:t>
      </w:r>
      <w:r w:rsidRPr="00791FE3">
        <w:rPr>
          <w:b/>
          <w:bCs/>
        </w:rPr>
        <w:t>Druhá časť</w:t>
      </w:r>
      <w:r w:rsidRPr="00791FE3">
        <w:t xml:space="preserve"> je venovaná </w:t>
      </w:r>
      <w:r w:rsidRPr="00791FE3">
        <w:rPr>
          <w:b/>
          <w:bCs/>
        </w:rPr>
        <w:t>hospodáreniu verejných vysokých škôl.</w:t>
      </w:r>
      <w:r w:rsidRPr="00791FE3">
        <w:t xml:space="preserve"> Správa je doplnená podrobnou </w:t>
      </w:r>
      <w:r w:rsidRPr="00791FE3">
        <w:rPr>
          <w:b/>
          <w:bCs/>
        </w:rPr>
        <w:t>tabuľkovou prílohou.</w:t>
      </w:r>
    </w:p>
    <w:p w:rsidR="00652A74" w:rsidRPr="00791FE3" w:rsidRDefault="00652A74" w:rsidP="00652A74">
      <w:pPr>
        <w:pStyle w:val="tl12ptZa6pt"/>
      </w:pPr>
      <w:r w:rsidRPr="00791FE3">
        <w:t xml:space="preserve">Správa vychádza z údajov, ktoré vysoké školy uviedli vo svojich </w:t>
      </w:r>
      <w:r w:rsidRPr="00791FE3">
        <w:rPr>
          <w:bCs/>
        </w:rPr>
        <w:t>výročných správach o činnosti</w:t>
      </w:r>
      <w:r w:rsidRPr="00791FE3">
        <w:t xml:space="preserve"> a </w:t>
      </w:r>
      <w:r w:rsidRPr="00791FE3">
        <w:rPr>
          <w:bCs/>
        </w:rPr>
        <w:t xml:space="preserve">výročných správach o hospodárení za rok </w:t>
      </w:r>
      <w:r w:rsidR="00C20F20" w:rsidRPr="00791FE3">
        <w:rPr>
          <w:bCs/>
        </w:rPr>
        <w:t>201</w:t>
      </w:r>
      <w:r w:rsidR="00330DEC" w:rsidRPr="00791FE3">
        <w:rPr>
          <w:bCs/>
        </w:rPr>
        <w:t>4</w:t>
      </w:r>
      <w:r w:rsidRPr="00791FE3">
        <w:t xml:space="preserve">, </w:t>
      </w:r>
      <w:r w:rsidR="00702359" w:rsidRPr="00791FE3">
        <w:t>v</w:t>
      </w:r>
      <w:r w:rsidR="008E52B8" w:rsidRPr="00791FE3">
        <w:t>ýkazníctva vysokých škôl za</w:t>
      </w:r>
      <w:r w:rsidR="005538A9" w:rsidRPr="00791FE3">
        <w:t> </w:t>
      </w:r>
      <w:r w:rsidR="008E52B8" w:rsidRPr="00791FE3">
        <w:t>rok 201</w:t>
      </w:r>
      <w:r w:rsidR="00330DEC" w:rsidRPr="00791FE3">
        <w:t>4</w:t>
      </w:r>
      <w:r w:rsidR="008E52B8" w:rsidRPr="00791FE3">
        <w:t xml:space="preserve"> a </w:t>
      </w:r>
      <w:r w:rsidRPr="00791FE3">
        <w:t>ďalej z oficiálnych štatistických údajov a z údajov, ktoré má ministerstvo k dispozícii v rámci svojej koordinačnej činnosti. V správe sa využívajú aj poznatky získané na stretnutiach so</w:t>
      </w:r>
      <w:r w:rsidR="00A152A1" w:rsidRPr="00791FE3">
        <w:t> </w:t>
      </w:r>
      <w:r w:rsidRPr="00791FE3">
        <w:t>Slo</w:t>
      </w:r>
      <w:r w:rsidR="00470F6A" w:rsidRPr="00791FE3">
        <w:t>venskou rektorskou konferenciou</w:t>
      </w:r>
      <w:r w:rsidR="00C14762" w:rsidRPr="00791FE3">
        <w:t xml:space="preserve">, </w:t>
      </w:r>
      <w:r w:rsidRPr="00791FE3">
        <w:t>Radou vysokých škôl</w:t>
      </w:r>
      <w:r w:rsidR="00C14762" w:rsidRPr="00791FE3">
        <w:t xml:space="preserve"> a Študentskou radou vysokých škôl.</w:t>
      </w:r>
    </w:p>
    <w:p w:rsidR="00652A74" w:rsidRPr="00791FE3" w:rsidRDefault="00652A74" w:rsidP="00652A74">
      <w:pPr>
        <w:pStyle w:val="tl12ptZa6pt"/>
      </w:pPr>
      <w:r w:rsidRPr="00791FE3">
        <w:t>Správa sa zaoberá n</w:t>
      </w:r>
      <w:r w:rsidR="00513E60">
        <w:t>ajmä</w:t>
      </w:r>
      <w:r w:rsidRPr="00791FE3">
        <w:t xml:space="preserve"> vysokými školami v pôsobnosti rezortu ministerstva</w:t>
      </w:r>
      <w:r w:rsidR="009A6CC1" w:rsidRPr="00791FE3">
        <w:t xml:space="preserve"> školstva</w:t>
      </w:r>
      <w:r w:rsidRPr="00791FE3">
        <w:t>, teda verejnými vysokými školami a súkromnými vysokými školami</w:t>
      </w:r>
      <w:r w:rsidR="00C053E9" w:rsidRPr="00791FE3">
        <w:t xml:space="preserve">, </w:t>
      </w:r>
      <w:r w:rsidR="00CE3AC3" w:rsidRPr="00791FE3">
        <w:t xml:space="preserve">sčasti </w:t>
      </w:r>
      <w:r w:rsidR="00C053E9" w:rsidRPr="00791FE3">
        <w:t>zahraničnými vysokými školami</w:t>
      </w:r>
      <w:r w:rsidRPr="00791FE3">
        <w:t>.</w:t>
      </w:r>
      <w:r w:rsidR="00A152A1" w:rsidRPr="00791FE3">
        <w:t xml:space="preserve"> Ak to nie je výslovne uvedené, n</w:t>
      </w:r>
      <w:r w:rsidRPr="00791FE3">
        <w:t>ezaoberá sa vysokými školami v rezort</w:t>
      </w:r>
      <w:r w:rsidR="009A6CC1" w:rsidRPr="00791FE3">
        <w:t>och</w:t>
      </w:r>
      <w:r w:rsidRPr="00791FE3">
        <w:t xml:space="preserve"> obrany, vnútra a zdravotníctva. V ďalšom, ak </w:t>
      </w:r>
      <w:r w:rsidR="002F5EAB" w:rsidRPr="00791FE3">
        <w:t xml:space="preserve">nie je </w:t>
      </w:r>
      <w:r w:rsidRPr="00791FE3">
        <w:t>uved</w:t>
      </w:r>
      <w:r w:rsidR="002F5EAB" w:rsidRPr="00791FE3">
        <w:t>ené</w:t>
      </w:r>
      <w:r w:rsidRPr="00791FE3">
        <w:t xml:space="preserve"> inak, vysokou školou </w:t>
      </w:r>
      <w:r w:rsidR="002F5EAB" w:rsidRPr="00791FE3">
        <w:t xml:space="preserve">sa </w:t>
      </w:r>
      <w:r w:rsidRPr="00791FE3">
        <w:t>rozumie</w:t>
      </w:r>
      <w:r w:rsidR="002F5EAB" w:rsidRPr="00791FE3">
        <w:t xml:space="preserve"> verejná</w:t>
      </w:r>
      <w:r w:rsidRPr="00791FE3">
        <w:t xml:space="preserve"> vysok</w:t>
      </w:r>
      <w:r w:rsidR="002F5EAB" w:rsidRPr="00791FE3">
        <w:t>á</w:t>
      </w:r>
      <w:r w:rsidRPr="00791FE3">
        <w:t xml:space="preserve"> škol</w:t>
      </w:r>
      <w:r w:rsidR="002F5EAB" w:rsidRPr="00791FE3">
        <w:t>a</w:t>
      </w:r>
      <w:r w:rsidRPr="00791FE3">
        <w:t xml:space="preserve"> alebo súkromn</w:t>
      </w:r>
      <w:r w:rsidR="002F5EAB" w:rsidRPr="00791FE3">
        <w:t>á</w:t>
      </w:r>
      <w:r w:rsidRPr="00791FE3">
        <w:t xml:space="preserve"> vysok</w:t>
      </w:r>
      <w:r w:rsidR="002F5EAB" w:rsidRPr="00791FE3">
        <w:t>á</w:t>
      </w:r>
      <w:r w:rsidRPr="00791FE3">
        <w:t xml:space="preserve"> škol</w:t>
      </w:r>
      <w:r w:rsidR="002F5EAB" w:rsidRPr="00791FE3">
        <w:t>a</w:t>
      </w:r>
      <w:r w:rsidRPr="00791FE3">
        <w:t>. V časti o hospodárení sa správa zaoberá len verejnými vysokými školami.</w:t>
      </w:r>
      <w:r w:rsidR="00B80C5F" w:rsidRPr="00791FE3">
        <w:t xml:space="preserve"> </w:t>
      </w:r>
    </w:p>
    <w:p w:rsidR="00652A74" w:rsidRPr="005E5FF1" w:rsidRDefault="007F0357" w:rsidP="00652A74">
      <w:pPr>
        <w:pStyle w:val="tl12ptZa6pt"/>
      </w:pPr>
      <w:r w:rsidRPr="00791FE3">
        <w:t xml:space="preserve">Kvôli prehľadnosti </w:t>
      </w:r>
      <w:r w:rsidR="00652A74" w:rsidRPr="00791FE3">
        <w:t>sú jednotlivé odseky v ďalšom texte číslované</w:t>
      </w:r>
      <w:r w:rsidRPr="00791FE3">
        <w:t xml:space="preserve"> priebežne</w:t>
      </w:r>
      <w:r w:rsidR="00652A74" w:rsidRPr="00791FE3">
        <w:t>.</w:t>
      </w:r>
    </w:p>
    <w:p w:rsidR="00652A74" w:rsidRPr="005E5FF1" w:rsidRDefault="00652A74" w:rsidP="00652A74">
      <w:pPr>
        <w:pStyle w:val="Nadpis2-vavo"/>
        <w:numPr>
          <w:ilvl w:val="1"/>
          <w:numId w:val="1"/>
        </w:numPr>
        <w:ind w:left="0" w:firstLine="0"/>
      </w:pPr>
      <w:bookmarkStart w:id="10" w:name="_Toc136920243"/>
      <w:r w:rsidRPr="005E5FF1">
        <w:br w:type="page"/>
      </w:r>
      <w:bookmarkStart w:id="11" w:name="_Toc264838373"/>
      <w:bookmarkStart w:id="12" w:name="_Toc427750165"/>
      <w:r w:rsidRPr="005E5FF1">
        <w:lastRenderedPageBreak/>
        <w:t>Úvod</w:t>
      </w:r>
      <w:bookmarkEnd w:id="11"/>
      <w:bookmarkEnd w:id="12"/>
    </w:p>
    <w:p w:rsidR="00652A74" w:rsidRPr="00AC0841" w:rsidRDefault="00652A74" w:rsidP="004966A1">
      <w:pPr>
        <w:pStyle w:val="Nadpis2-vavo"/>
        <w:numPr>
          <w:ilvl w:val="1"/>
          <w:numId w:val="1"/>
        </w:numPr>
        <w:ind w:left="0" w:firstLine="0"/>
      </w:pPr>
      <w:bookmarkStart w:id="13" w:name="_Toc264838374"/>
      <w:bookmarkStart w:id="14" w:name="_Toc427750166"/>
      <w:r w:rsidRPr="00AC0841">
        <w:t xml:space="preserve">Stručný prehľad najdôležitejších informácií o vysokom školstve v roku </w:t>
      </w:r>
      <w:bookmarkEnd w:id="13"/>
      <w:r w:rsidR="00C20F20" w:rsidRPr="00AC0841">
        <w:t>201</w:t>
      </w:r>
      <w:r w:rsidR="009F2FB3" w:rsidRPr="00AC0841">
        <w:t>4</w:t>
      </w:r>
      <w:bookmarkEnd w:id="14"/>
    </w:p>
    <w:p w:rsidR="00652A74" w:rsidRPr="00AC0841" w:rsidRDefault="00F377FD" w:rsidP="00C2109F">
      <w:pPr>
        <w:pStyle w:val="Zoznam1"/>
      </w:pPr>
      <w:r w:rsidRPr="00AC0841">
        <w:t xml:space="preserve">V roku </w:t>
      </w:r>
      <w:r w:rsidR="00C20F20" w:rsidRPr="00AC0841">
        <w:t>201</w:t>
      </w:r>
      <w:r w:rsidR="009F2FB3" w:rsidRPr="00AC0841">
        <w:t>4</w:t>
      </w:r>
      <w:r w:rsidR="00C769AF" w:rsidRPr="00AC0841">
        <w:rPr>
          <w:rStyle w:val="Odkaznapoznmkupodiarou"/>
        </w:rPr>
        <w:footnoteReference w:id="1"/>
      </w:r>
      <w:r w:rsidR="00923111" w:rsidRPr="00AC0841">
        <w:t>)</w:t>
      </w:r>
      <w:r w:rsidR="00C8795B" w:rsidRPr="00AC0841">
        <w:t xml:space="preserve"> </w:t>
      </w:r>
      <w:r w:rsidR="007F0357" w:rsidRPr="00AC0841">
        <w:t xml:space="preserve">bol celkový počet študentov </w:t>
      </w:r>
      <w:r w:rsidR="009F2FB3" w:rsidRPr="00AC0841">
        <w:rPr>
          <w:b/>
        </w:rPr>
        <w:t>175</w:t>
      </w:r>
      <w:r w:rsidR="00C53B51" w:rsidRPr="00AC0841">
        <w:rPr>
          <w:b/>
        </w:rPr>
        <w:t> </w:t>
      </w:r>
      <w:r w:rsidR="009F2FB3" w:rsidRPr="00AC0841">
        <w:rPr>
          <w:b/>
        </w:rPr>
        <w:t>430</w:t>
      </w:r>
      <w:r w:rsidR="00C53B51" w:rsidRPr="00AC0841">
        <w:rPr>
          <w:b/>
        </w:rPr>
        <w:t>,</w:t>
      </w:r>
      <w:r w:rsidR="00C53B51" w:rsidRPr="00AC0841">
        <w:t xml:space="preserve"> z toho 104 515 žien</w:t>
      </w:r>
      <w:r w:rsidR="007F0357" w:rsidRPr="00AC0841">
        <w:rPr>
          <w:b/>
        </w:rPr>
        <w:t xml:space="preserve">, </w:t>
      </w:r>
      <w:r w:rsidR="00A02E24" w:rsidRPr="00AC0841">
        <w:t xml:space="preserve">nastal </w:t>
      </w:r>
      <w:r w:rsidR="00A02E24" w:rsidRPr="00AC0841">
        <w:rPr>
          <w:b/>
        </w:rPr>
        <w:t>medziročný pokles</w:t>
      </w:r>
      <w:r w:rsidR="004966A1" w:rsidRPr="00AC0841">
        <w:rPr>
          <w:b/>
        </w:rPr>
        <w:t xml:space="preserve"> </w:t>
      </w:r>
      <w:r w:rsidR="004966A1" w:rsidRPr="00AC0841">
        <w:rPr>
          <w:b/>
          <w:bCs/>
        </w:rPr>
        <w:t>počtu študentov</w:t>
      </w:r>
      <w:r w:rsidR="004966A1" w:rsidRPr="00AC0841">
        <w:t xml:space="preserve"> vysokých škôl</w:t>
      </w:r>
      <w:r w:rsidR="00A02E24" w:rsidRPr="00AC0841">
        <w:t xml:space="preserve"> o</w:t>
      </w:r>
      <w:r w:rsidR="009F2FB3" w:rsidRPr="00AC0841">
        <w:t> </w:t>
      </w:r>
      <w:r w:rsidR="009F2FB3" w:rsidRPr="00AC0841">
        <w:rPr>
          <w:b/>
        </w:rPr>
        <w:t>13 455</w:t>
      </w:r>
      <w:r w:rsidR="00382B53" w:rsidRPr="00AC0841">
        <w:rPr>
          <w:b/>
        </w:rPr>
        <w:t xml:space="preserve"> (</w:t>
      </w:r>
      <w:r w:rsidR="009F2FB3" w:rsidRPr="00AC0841">
        <w:rPr>
          <w:b/>
        </w:rPr>
        <w:t>7,12 </w:t>
      </w:r>
      <w:r w:rsidR="004A3F31" w:rsidRPr="00AC0841">
        <w:rPr>
          <w:b/>
        </w:rPr>
        <w:t>%)</w:t>
      </w:r>
      <w:r w:rsidR="00673AE2" w:rsidRPr="00AC0841">
        <w:t xml:space="preserve">, z toho </w:t>
      </w:r>
      <w:r w:rsidR="009F2FB3" w:rsidRPr="00AC0841">
        <w:rPr>
          <w:b/>
        </w:rPr>
        <w:t>9 133</w:t>
      </w:r>
      <w:r w:rsidR="00673AE2" w:rsidRPr="00AC0841">
        <w:t xml:space="preserve"> na</w:t>
      </w:r>
      <w:r w:rsidR="00C53B51" w:rsidRPr="00AC0841">
        <w:t> </w:t>
      </w:r>
      <w:r w:rsidR="00673AE2" w:rsidRPr="00AC0841">
        <w:t>verejných vysokých školách a</w:t>
      </w:r>
      <w:r w:rsidR="009F2FB3" w:rsidRPr="00AC0841">
        <w:t> </w:t>
      </w:r>
      <w:r w:rsidR="009F2FB3" w:rsidRPr="00AC0841">
        <w:rPr>
          <w:b/>
        </w:rPr>
        <w:t>4 322</w:t>
      </w:r>
      <w:r w:rsidR="00673AE2" w:rsidRPr="00AC0841">
        <w:t xml:space="preserve"> na súkromných vysokých školách.</w:t>
      </w:r>
      <w:r w:rsidR="00C34C34" w:rsidRPr="00AC0841">
        <w:t xml:space="preserve"> </w:t>
      </w:r>
      <w:r w:rsidR="00783251" w:rsidRPr="00AC0841">
        <w:t xml:space="preserve">Rovnako sa znížil </w:t>
      </w:r>
      <w:r w:rsidR="0088473E" w:rsidRPr="00AC0841">
        <w:t xml:space="preserve">počet </w:t>
      </w:r>
      <w:r w:rsidR="00123B80" w:rsidRPr="00AC0841">
        <w:t>študentov iného štátneho občianstva</w:t>
      </w:r>
      <w:r w:rsidR="001342E1" w:rsidRPr="00AC0841">
        <w:t xml:space="preserve"> (</w:t>
      </w:r>
      <w:r w:rsidR="00375FFB" w:rsidRPr="00AC0841">
        <w:t xml:space="preserve">celkom </w:t>
      </w:r>
      <w:r w:rsidR="00CA3DCF" w:rsidRPr="00AC0841">
        <w:t>o </w:t>
      </w:r>
      <w:r w:rsidR="00783251" w:rsidRPr="00AC0841">
        <w:rPr>
          <w:b/>
        </w:rPr>
        <w:t>319</w:t>
      </w:r>
      <w:r w:rsidR="00CA3DCF" w:rsidRPr="00AC0841">
        <w:rPr>
          <w:b/>
        </w:rPr>
        <w:t xml:space="preserve"> </w:t>
      </w:r>
      <w:r w:rsidR="00CA3DCF" w:rsidRPr="00AC0841">
        <w:t>študentov</w:t>
      </w:r>
      <w:r w:rsidR="00375FFB" w:rsidRPr="00AC0841">
        <w:t>)</w:t>
      </w:r>
      <w:r w:rsidR="00783251" w:rsidRPr="00AC0841">
        <w:t>.</w:t>
      </w:r>
      <w:r w:rsidR="00123B80" w:rsidRPr="00AC0841">
        <w:t xml:space="preserve"> </w:t>
      </w:r>
      <w:r w:rsidR="00A02E24" w:rsidRPr="00AC0841">
        <w:t xml:space="preserve">Najviac študentov </w:t>
      </w:r>
      <w:r w:rsidR="00DD045B" w:rsidRPr="00AC0841">
        <w:t xml:space="preserve">verejných vysokých škôl v prvých dvoch stupňoch </w:t>
      </w:r>
      <w:r w:rsidR="00A02E24" w:rsidRPr="00AC0841">
        <w:t>št</w:t>
      </w:r>
      <w:r w:rsidR="0096172F" w:rsidRPr="00AC0841">
        <w:t>udovalo v spoločenských vedách,</w:t>
      </w:r>
      <w:r w:rsidR="00A02E24" w:rsidRPr="00AC0841">
        <w:t xml:space="preserve"> náukách </w:t>
      </w:r>
      <w:r w:rsidR="0096172F" w:rsidRPr="00AC0841">
        <w:t xml:space="preserve">a službách </w:t>
      </w:r>
      <w:r w:rsidR="00A02E24" w:rsidRPr="00AC0841">
        <w:t>(</w:t>
      </w:r>
      <w:r w:rsidR="00783251" w:rsidRPr="00AC0841">
        <w:t>57,32 </w:t>
      </w:r>
      <w:r w:rsidR="00B6384C" w:rsidRPr="00AC0841">
        <w:t>%</w:t>
      </w:r>
      <w:r w:rsidR="00783251" w:rsidRPr="00AC0841">
        <w:t>, čo v porovnaní s predchádzajúcim rokom predstavovalo nárast o 2,67 percentuálneho bodu</w:t>
      </w:r>
      <w:r w:rsidR="00DC0135" w:rsidRPr="00AC0841">
        <w:t>)</w:t>
      </w:r>
      <w:r w:rsidR="00A02E24" w:rsidRPr="00AC0841">
        <w:t>.</w:t>
      </w:r>
      <w:r w:rsidR="00A67471" w:rsidRPr="00AC0841">
        <w:t xml:space="preserve"> Podiel žien na celkovom počte vysokoškolských študentov v roku 2014 dosiahol 59,58 %</w:t>
      </w:r>
      <w:r w:rsidR="00F4382F">
        <w:t xml:space="preserve"> v prípade doktorandského štúdia 47,86 %</w:t>
      </w:r>
      <w:r w:rsidR="00A67471" w:rsidRPr="00AC0841">
        <w:t xml:space="preserve">. </w:t>
      </w:r>
      <w:r w:rsidR="00F4382F">
        <w:t>Podiel žien študentiek</w:t>
      </w:r>
      <w:r w:rsidR="00A67471" w:rsidRPr="00AC0841">
        <w:t> na súkromných vysokých školách bol 64,50 %</w:t>
      </w:r>
      <w:r w:rsidR="00F4382F">
        <w:t>.</w:t>
      </w:r>
    </w:p>
    <w:p w:rsidR="002A4661" w:rsidRPr="00AC0841" w:rsidRDefault="000F7926" w:rsidP="00C2109F">
      <w:pPr>
        <w:pStyle w:val="Zoznam1"/>
        <w:rPr>
          <w:strike/>
        </w:rPr>
      </w:pPr>
      <w:r w:rsidRPr="00AC0841">
        <w:t xml:space="preserve">V priebehu roka </w:t>
      </w:r>
      <w:r w:rsidR="00C20F20" w:rsidRPr="00AC0841">
        <w:t>201</w:t>
      </w:r>
      <w:r w:rsidR="00783251" w:rsidRPr="00AC0841">
        <w:t>4</w:t>
      </w:r>
      <w:r w:rsidR="002A4661" w:rsidRPr="00AC0841">
        <w:t xml:space="preserve"> </w:t>
      </w:r>
      <w:r w:rsidR="002A4661" w:rsidRPr="00AC0841">
        <w:rPr>
          <w:b/>
          <w:bCs/>
        </w:rPr>
        <w:t>riadne skončilo vysokoškolské štúdium</w:t>
      </w:r>
      <w:r w:rsidR="002A4661" w:rsidRPr="00AC0841">
        <w:t xml:space="preserve"> na verejných </w:t>
      </w:r>
      <w:r w:rsidR="005435FE" w:rsidRPr="00AC0841">
        <w:t xml:space="preserve">a súkromných </w:t>
      </w:r>
      <w:r w:rsidR="002A4661" w:rsidRPr="00AC0841">
        <w:t xml:space="preserve">vysokých školách </w:t>
      </w:r>
      <w:r w:rsidR="00783251" w:rsidRPr="00AC0841">
        <w:rPr>
          <w:b/>
        </w:rPr>
        <w:t>62 012</w:t>
      </w:r>
      <w:r w:rsidR="002168E3" w:rsidRPr="00AC0841">
        <w:t xml:space="preserve"> študentov</w:t>
      </w:r>
      <w:r w:rsidR="00C53B51" w:rsidRPr="00AC0841">
        <w:t xml:space="preserve">, z toho 39 074 žien, </w:t>
      </w:r>
      <w:r w:rsidR="00EB41DF" w:rsidRPr="00AC0841">
        <w:t>čo</w:t>
      </w:r>
      <w:r w:rsidR="00783251" w:rsidRPr="00AC0841">
        <w:t xml:space="preserve"> predstavuje medziročný pokles o 5,73 %</w:t>
      </w:r>
      <w:r w:rsidR="00EB41DF" w:rsidRPr="00AC0841">
        <w:t xml:space="preserve"> </w:t>
      </w:r>
      <w:r w:rsidR="00783251" w:rsidRPr="00AC0841">
        <w:t>(3 767</w:t>
      </w:r>
      <w:r w:rsidR="00EB41DF" w:rsidRPr="00AC0841">
        <w:t xml:space="preserve"> študentov</w:t>
      </w:r>
      <w:r w:rsidR="00783251" w:rsidRPr="00AC0841">
        <w:t>)</w:t>
      </w:r>
      <w:r w:rsidR="00EB41DF" w:rsidRPr="00AC0841">
        <w:t xml:space="preserve">. </w:t>
      </w:r>
      <w:r w:rsidR="009C57FB" w:rsidRPr="00AC0841">
        <w:t xml:space="preserve">Pod tento stav sa podpísal </w:t>
      </w:r>
      <w:r w:rsidR="00CE3AC3" w:rsidRPr="00AC0841">
        <w:t xml:space="preserve">najmä </w:t>
      </w:r>
      <w:r w:rsidR="009C57FB" w:rsidRPr="00AC0841">
        <w:t xml:space="preserve">pokles absolventov </w:t>
      </w:r>
      <w:r w:rsidR="00D75B8B" w:rsidRPr="00AC0841">
        <w:t>externej</w:t>
      </w:r>
      <w:r w:rsidR="009C57FB" w:rsidRPr="00AC0841">
        <w:t xml:space="preserve"> formy štúdia o</w:t>
      </w:r>
      <w:r w:rsidR="00D75B8B" w:rsidRPr="00AC0841">
        <w:t> </w:t>
      </w:r>
      <w:r w:rsidR="00D75B8B" w:rsidRPr="00AC0841">
        <w:rPr>
          <w:b/>
        </w:rPr>
        <w:t>3 127</w:t>
      </w:r>
      <w:r w:rsidR="009C57FB" w:rsidRPr="00AC0841">
        <w:t>, pričom v </w:t>
      </w:r>
      <w:r w:rsidR="00D75B8B" w:rsidRPr="00AC0841">
        <w:t>denne</w:t>
      </w:r>
      <w:r w:rsidR="004D1ED1" w:rsidRPr="00AC0841">
        <w:t>j</w:t>
      </w:r>
      <w:r w:rsidR="009C57FB" w:rsidRPr="00AC0841">
        <w:t xml:space="preserve"> forme sa počet absolventov </w:t>
      </w:r>
      <w:r w:rsidR="0052145A" w:rsidRPr="00AC0841">
        <w:t xml:space="preserve">znížil o </w:t>
      </w:r>
      <w:r w:rsidR="00D75B8B" w:rsidRPr="00AC0841">
        <w:rPr>
          <w:b/>
        </w:rPr>
        <w:t>640</w:t>
      </w:r>
      <w:r w:rsidR="009C57FB" w:rsidRPr="00AC0841">
        <w:t>.</w:t>
      </w:r>
      <w:r w:rsidR="00F366E7" w:rsidRPr="00AC0841">
        <w:t xml:space="preserve"> </w:t>
      </w:r>
    </w:p>
    <w:p w:rsidR="009C57FB" w:rsidRPr="00AC0841" w:rsidRDefault="009C57FB" w:rsidP="00C2109F">
      <w:pPr>
        <w:pStyle w:val="Zoznam1"/>
      </w:pPr>
      <w:r w:rsidRPr="00AC0841">
        <w:t xml:space="preserve">O štúdium na vysokej škole v prvom stupni a spojenom prvom a druhom stupni sa uchádzalo </w:t>
      </w:r>
      <w:r w:rsidR="00A921D4" w:rsidRPr="00AC0841">
        <w:rPr>
          <w:b/>
        </w:rPr>
        <w:t>48 9</w:t>
      </w:r>
      <w:r w:rsidR="0004275F" w:rsidRPr="00AC0841">
        <w:rPr>
          <w:b/>
        </w:rPr>
        <w:t>61</w:t>
      </w:r>
      <w:r w:rsidRPr="00AC0841">
        <w:rPr>
          <w:b/>
        </w:rPr>
        <w:t xml:space="preserve"> uchádzačov – občanov SR</w:t>
      </w:r>
      <w:r w:rsidRPr="00AC0841">
        <w:t xml:space="preserve">, čo je </w:t>
      </w:r>
      <w:r w:rsidR="0004275F" w:rsidRPr="00AC0841">
        <w:t xml:space="preserve">opäť </w:t>
      </w:r>
      <w:r w:rsidRPr="00AC0841">
        <w:t xml:space="preserve">nižší počet </w:t>
      </w:r>
      <w:r w:rsidR="0004275F" w:rsidRPr="00AC0841">
        <w:t xml:space="preserve">ako v predchádzajúcich rokoch </w:t>
      </w:r>
      <w:r w:rsidRPr="00AC0841">
        <w:t>a oprot</w:t>
      </w:r>
      <w:r w:rsidR="00753B09" w:rsidRPr="00AC0841">
        <w:t>i minulému roku pokles o</w:t>
      </w:r>
      <w:r w:rsidR="00EB7EFB" w:rsidRPr="00AC0841">
        <w:t xml:space="preserve"> </w:t>
      </w:r>
      <w:r w:rsidR="0004275F" w:rsidRPr="00AC0841">
        <w:t>5</w:t>
      </w:r>
      <w:r w:rsidR="00753B09" w:rsidRPr="00AC0841">
        <w:t xml:space="preserve"> </w:t>
      </w:r>
      <w:r w:rsidR="00A921D4" w:rsidRPr="00AC0841">
        <w:t>600</w:t>
      </w:r>
      <w:r w:rsidR="00753B09" w:rsidRPr="00AC0841">
        <w:t xml:space="preserve"> </w:t>
      </w:r>
      <w:r w:rsidRPr="00AC0841">
        <w:t xml:space="preserve">uchádzačov. Títo uchádzači na štúdium podali spolu s cudzincami </w:t>
      </w:r>
      <w:r w:rsidR="00A921D4" w:rsidRPr="00AC0841">
        <w:rPr>
          <w:b/>
        </w:rPr>
        <w:t>90 856</w:t>
      </w:r>
      <w:r w:rsidRPr="00AC0841">
        <w:rPr>
          <w:b/>
        </w:rPr>
        <w:t xml:space="preserve"> prihlášok</w:t>
      </w:r>
      <w:r w:rsidRPr="00AC0841">
        <w:t xml:space="preserve">, čo je najnižší počet za </w:t>
      </w:r>
      <w:r w:rsidR="00166704" w:rsidRPr="00AC0841">
        <w:t>ostatné roky</w:t>
      </w:r>
      <w:r w:rsidRPr="00AC0841">
        <w:t xml:space="preserve">. Od úspešných uchádzačov bolo uskutočnených </w:t>
      </w:r>
      <w:r w:rsidR="00A921D4" w:rsidRPr="00AC0841">
        <w:rPr>
          <w:b/>
        </w:rPr>
        <w:t>40 594</w:t>
      </w:r>
      <w:r w:rsidRPr="00AC0841">
        <w:t xml:space="preserve"> zápisov na štúdium, z toho </w:t>
      </w:r>
      <w:r w:rsidR="00A921D4" w:rsidRPr="00AC0841">
        <w:t>38 190</w:t>
      </w:r>
      <w:r w:rsidRPr="00AC0841">
        <w:t xml:space="preserve"> od osôb štátnej príslušnosti SR a</w:t>
      </w:r>
      <w:r w:rsidR="00A921D4" w:rsidRPr="00AC0841">
        <w:t> 2 404</w:t>
      </w:r>
      <w:r w:rsidRPr="00AC0841">
        <w:t xml:space="preserve"> od cudzincov.</w:t>
      </w:r>
    </w:p>
    <w:p w:rsidR="004560DA" w:rsidRPr="00AC0841" w:rsidRDefault="00652A74" w:rsidP="00C2109F">
      <w:pPr>
        <w:pStyle w:val="Zoznam1"/>
      </w:pPr>
      <w:r w:rsidRPr="00AC0841">
        <w:rPr>
          <w:b/>
          <w:bCs/>
        </w:rPr>
        <w:t>Priemerný plat zamestnanca</w:t>
      </w:r>
      <w:r w:rsidRPr="00AC0841">
        <w:t xml:space="preserve"> ve</w:t>
      </w:r>
      <w:r w:rsidR="002772F4" w:rsidRPr="00AC0841">
        <w:t xml:space="preserve">rejnej vysokej školy v roku </w:t>
      </w:r>
      <w:r w:rsidR="006C225A" w:rsidRPr="00AC0841">
        <w:t>20</w:t>
      </w:r>
      <w:r w:rsidR="007C2D5C" w:rsidRPr="00AC0841">
        <w:t>1</w:t>
      </w:r>
      <w:r w:rsidR="00D75B8B" w:rsidRPr="00AC0841">
        <w:t>4</w:t>
      </w:r>
      <w:r w:rsidRPr="00AC0841">
        <w:t xml:space="preserve"> bol </w:t>
      </w:r>
      <w:r w:rsidR="00D75B8B" w:rsidRPr="00AC0841">
        <w:rPr>
          <w:b/>
          <w:bCs/>
        </w:rPr>
        <w:t>1 042,</w:t>
      </w:r>
      <w:r w:rsidR="00157298" w:rsidRPr="00AC0841">
        <w:rPr>
          <w:b/>
          <w:bCs/>
        </w:rPr>
        <w:t>60</w:t>
      </w:r>
      <w:r w:rsidR="00D75B8B" w:rsidRPr="00AC0841">
        <w:rPr>
          <w:b/>
          <w:bCs/>
        </w:rPr>
        <w:t> </w:t>
      </w:r>
      <w:r w:rsidR="009962DA" w:rsidRPr="00AC0841">
        <w:rPr>
          <w:b/>
          <w:bCs/>
        </w:rPr>
        <w:t>€,</w:t>
      </w:r>
      <w:r w:rsidR="00BF770F" w:rsidRPr="00AC0841">
        <w:t xml:space="preserve"> čo je </w:t>
      </w:r>
      <w:r w:rsidR="00A6788D" w:rsidRPr="00AC0841">
        <w:rPr>
          <w:b/>
          <w:bCs/>
        </w:rPr>
        <w:t>o</w:t>
      </w:r>
      <w:r w:rsidR="00261D20" w:rsidRPr="00AC0841">
        <w:rPr>
          <w:b/>
          <w:bCs/>
        </w:rPr>
        <w:t> </w:t>
      </w:r>
      <w:r w:rsidR="00A632AD" w:rsidRPr="00AC0841">
        <w:rPr>
          <w:b/>
          <w:bCs/>
        </w:rPr>
        <w:t>5</w:t>
      </w:r>
      <w:r w:rsidR="00261D20" w:rsidRPr="00AC0841">
        <w:rPr>
          <w:b/>
          <w:bCs/>
        </w:rPr>
        <w:t>,</w:t>
      </w:r>
      <w:r w:rsidR="00D75B8B" w:rsidRPr="00AC0841">
        <w:rPr>
          <w:b/>
          <w:bCs/>
        </w:rPr>
        <w:t>7</w:t>
      </w:r>
      <w:r w:rsidR="00157298" w:rsidRPr="00AC0841">
        <w:rPr>
          <w:b/>
          <w:bCs/>
        </w:rPr>
        <w:t>7</w:t>
      </w:r>
      <w:r w:rsidR="00D75B8B" w:rsidRPr="00AC0841">
        <w:rPr>
          <w:b/>
          <w:bCs/>
        </w:rPr>
        <w:t> </w:t>
      </w:r>
      <w:r w:rsidR="00BF770F" w:rsidRPr="00AC0841">
        <w:rPr>
          <w:b/>
          <w:bCs/>
        </w:rPr>
        <w:t>% viac</w:t>
      </w:r>
      <w:r w:rsidR="009962DA" w:rsidRPr="00AC0841">
        <w:t xml:space="preserve"> ako v roku </w:t>
      </w:r>
      <w:r w:rsidR="006C225A" w:rsidRPr="00AC0841">
        <w:t>20</w:t>
      </w:r>
      <w:r w:rsidR="00F366E7" w:rsidRPr="00AC0841">
        <w:t>1</w:t>
      </w:r>
      <w:r w:rsidR="00D75B8B" w:rsidRPr="00AC0841">
        <w:t>3</w:t>
      </w:r>
      <w:r w:rsidR="00483FC9" w:rsidRPr="00AC0841">
        <w:t xml:space="preserve">. </w:t>
      </w:r>
      <w:r w:rsidR="00BF770F" w:rsidRPr="00AC0841">
        <w:t>Priemerný plat vysokoškol</w:t>
      </w:r>
      <w:r w:rsidRPr="00AC0841">
        <w:t>ského učiteľa verejn</w:t>
      </w:r>
      <w:r w:rsidR="002772F4" w:rsidRPr="00AC0841">
        <w:t xml:space="preserve">ej vysokej školy v roku </w:t>
      </w:r>
      <w:r w:rsidR="00C20F20" w:rsidRPr="00AC0841">
        <w:t>201</w:t>
      </w:r>
      <w:r w:rsidR="00D75B8B" w:rsidRPr="00AC0841">
        <w:t>4</w:t>
      </w:r>
      <w:r w:rsidR="00A95F41" w:rsidRPr="00AC0841">
        <w:t xml:space="preserve"> bol </w:t>
      </w:r>
      <w:r w:rsidR="00D75B8B" w:rsidRPr="00AC0841">
        <w:t>1 322,</w:t>
      </w:r>
      <w:r w:rsidR="00157298" w:rsidRPr="00AC0841">
        <w:t>60</w:t>
      </w:r>
      <w:r w:rsidR="00D75B8B" w:rsidRPr="00AC0841">
        <w:t> </w:t>
      </w:r>
      <w:r w:rsidR="009962DA" w:rsidRPr="00AC0841">
        <w:t>€</w:t>
      </w:r>
      <w:r w:rsidR="003E6FD3" w:rsidRPr="00AC0841">
        <w:t>, čo je o</w:t>
      </w:r>
      <w:r w:rsidR="00D75B8B" w:rsidRPr="00AC0841">
        <w:t> 6,2</w:t>
      </w:r>
      <w:r w:rsidR="00157298" w:rsidRPr="00AC0841">
        <w:t>2</w:t>
      </w:r>
      <w:r w:rsidR="00D75B8B" w:rsidRPr="00AC0841">
        <w:t> </w:t>
      </w:r>
      <w:r w:rsidR="009962DA" w:rsidRPr="005C09B8">
        <w:t>%</w:t>
      </w:r>
      <w:r w:rsidR="009962DA" w:rsidRPr="00AC0841">
        <w:t xml:space="preserve"> viac ako v roku </w:t>
      </w:r>
      <w:r w:rsidR="006C225A" w:rsidRPr="00AC0841">
        <w:t>20</w:t>
      </w:r>
      <w:r w:rsidR="003675F2" w:rsidRPr="00AC0841">
        <w:t>1</w:t>
      </w:r>
      <w:r w:rsidR="00D75B8B" w:rsidRPr="00AC0841">
        <w:t>3</w:t>
      </w:r>
      <w:r w:rsidRPr="00AC0841">
        <w:t xml:space="preserve">. </w:t>
      </w:r>
      <w:r w:rsidR="009962DA" w:rsidRPr="00AC0841">
        <w:t xml:space="preserve">V roku </w:t>
      </w:r>
      <w:r w:rsidR="00C20F20" w:rsidRPr="00AC0841">
        <w:t>201</w:t>
      </w:r>
      <w:r w:rsidR="00D75B8B" w:rsidRPr="00AC0841">
        <w:t>4</w:t>
      </w:r>
      <w:r w:rsidR="00A95F41" w:rsidRPr="00AC0841">
        <w:t xml:space="preserve"> bol p</w:t>
      </w:r>
      <w:r w:rsidRPr="00AC0841">
        <w:t>riemerný plat profesora ve</w:t>
      </w:r>
      <w:r w:rsidR="00A6788D" w:rsidRPr="00AC0841">
        <w:t xml:space="preserve">rejnej </w:t>
      </w:r>
      <w:r w:rsidR="002772F4" w:rsidRPr="00AC0841">
        <w:t xml:space="preserve">vysokej školy </w:t>
      </w:r>
      <w:r w:rsidR="00D75B8B" w:rsidRPr="00AC0841">
        <w:rPr>
          <w:b/>
        </w:rPr>
        <w:t>1 947,</w:t>
      </w:r>
      <w:r w:rsidR="00157298" w:rsidRPr="00AC0841">
        <w:rPr>
          <w:b/>
        </w:rPr>
        <w:t>80</w:t>
      </w:r>
      <w:r w:rsidR="00D75B8B" w:rsidRPr="00AC0841">
        <w:rPr>
          <w:b/>
        </w:rPr>
        <w:t> </w:t>
      </w:r>
      <w:r w:rsidR="009962DA" w:rsidRPr="00AC0841">
        <w:rPr>
          <w:b/>
        </w:rPr>
        <w:t xml:space="preserve"> €</w:t>
      </w:r>
      <w:r w:rsidR="002F2AD2" w:rsidRPr="00AC0841">
        <w:rPr>
          <w:b/>
        </w:rPr>
        <w:t>,</w:t>
      </w:r>
      <w:r w:rsidR="002F2AD2" w:rsidRPr="00AC0841">
        <w:t xml:space="preserve"> čo predstavuje nárast</w:t>
      </w:r>
      <w:r w:rsidR="003675F2" w:rsidRPr="00AC0841">
        <w:t xml:space="preserve"> o</w:t>
      </w:r>
      <w:r w:rsidR="00D75B8B" w:rsidRPr="00AC0841">
        <w:t> 5,3</w:t>
      </w:r>
      <w:r w:rsidR="00157298" w:rsidRPr="00AC0841">
        <w:t>2</w:t>
      </w:r>
      <w:r w:rsidR="00D75B8B" w:rsidRPr="005C09B8">
        <w:t> </w:t>
      </w:r>
      <w:r w:rsidR="003675F2" w:rsidRPr="005C09B8">
        <w:t>%</w:t>
      </w:r>
      <w:r w:rsidRPr="00AC0841">
        <w:rPr>
          <w:b/>
        </w:rPr>
        <w:t>.</w:t>
      </w:r>
      <w:r w:rsidR="004560DA" w:rsidRPr="00AC0841">
        <w:t xml:space="preserve"> </w:t>
      </w:r>
    </w:p>
    <w:p w:rsidR="00652A74" w:rsidRPr="00AC0841" w:rsidRDefault="004560DA" w:rsidP="00C2109F">
      <w:pPr>
        <w:pStyle w:val="Zoznam1"/>
      </w:pPr>
      <w:r w:rsidRPr="00AC0841">
        <w:t>Veková štruktúra profesorov a docentov vysokých škôl sa medziročne významne nezmenila.</w:t>
      </w:r>
      <w:r w:rsidR="0096172F" w:rsidRPr="00AC0841">
        <w:t xml:space="preserve"> Medián </w:t>
      </w:r>
      <w:r w:rsidR="00753B09" w:rsidRPr="00AC0841">
        <w:t xml:space="preserve">veku </w:t>
      </w:r>
      <w:r w:rsidR="0096172F" w:rsidRPr="00AC0841">
        <w:t xml:space="preserve">vysokoškolského učiteľa vo funkcii profesora bol </w:t>
      </w:r>
      <w:r w:rsidR="00544C65" w:rsidRPr="00AC0841">
        <w:t>6</w:t>
      </w:r>
      <w:r w:rsidR="00C067CE" w:rsidRPr="00AC0841">
        <w:t>2</w:t>
      </w:r>
      <w:r w:rsidR="004C00D2" w:rsidRPr="00AC0841">
        <w:t> </w:t>
      </w:r>
      <w:r w:rsidR="0096172F" w:rsidRPr="00AC0841">
        <w:t>rokov.</w:t>
      </w:r>
    </w:p>
    <w:p w:rsidR="004A429E" w:rsidRPr="00AC0841" w:rsidRDefault="002B6419" w:rsidP="00C2109F">
      <w:pPr>
        <w:pStyle w:val="Zoznam1"/>
      </w:pPr>
      <w:r w:rsidRPr="00AC0841">
        <w:rPr>
          <w:b/>
          <w:bCs/>
        </w:rPr>
        <w:t>Podpora vysokoškolskej vedy a techniky</w:t>
      </w:r>
      <w:r w:rsidRPr="00AC0841">
        <w:t xml:space="preserve"> v rámci finančných prostriedkov vyčlenených na vysoké školstvo v kapitole ministerstva </w:t>
      </w:r>
      <w:r w:rsidR="0012210B" w:rsidRPr="00AC0841">
        <w:t xml:space="preserve">v roku 2014 predstavovala </w:t>
      </w:r>
      <w:r w:rsidR="0012210B" w:rsidRPr="00AC0841">
        <w:rPr>
          <w:b/>
        </w:rPr>
        <w:t>143 113 463</w:t>
      </w:r>
      <w:r w:rsidR="0012210B" w:rsidRPr="00AC0841">
        <w:rPr>
          <w:b/>
          <w:bCs/>
        </w:rPr>
        <w:t xml:space="preserve"> €</w:t>
      </w:r>
      <w:r w:rsidR="0012210B" w:rsidRPr="00AC0841">
        <w:t>.</w:t>
      </w:r>
    </w:p>
    <w:p w:rsidR="002B6419" w:rsidRPr="00AC0841" w:rsidRDefault="0012210B" w:rsidP="00C2109F">
      <w:pPr>
        <w:pStyle w:val="Zoznam1"/>
      </w:pPr>
      <w:r w:rsidRPr="00AC0841">
        <w:rPr>
          <w:rStyle w:val="Zoznam1CharChar"/>
          <w:lang w:val="sk-SK"/>
        </w:rPr>
        <w:t xml:space="preserve">V rámci schváleného rozpočtu na vysoké školstvo bola na dotácie verejným vysokým školám vyčlenená čiastka </w:t>
      </w:r>
      <w:r w:rsidRPr="00AC0841">
        <w:rPr>
          <w:rStyle w:val="Zoznam1CharChar"/>
          <w:b/>
          <w:lang w:val="sk-SK"/>
        </w:rPr>
        <w:t xml:space="preserve">442 296 981 </w:t>
      </w:r>
      <w:r w:rsidRPr="00AC0841">
        <w:rPr>
          <w:rStyle w:val="Zoznam1CharChar"/>
          <w:b/>
          <w:bCs/>
          <w:lang w:val="sk-SK"/>
        </w:rPr>
        <w:t>€</w:t>
      </w:r>
      <w:r w:rsidRPr="00AC0841">
        <w:rPr>
          <w:rStyle w:val="Zoznam1CharChar"/>
          <w:lang w:val="sk-SK"/>
        </w:rPr>
        <w:t xml:space="preserve">. </w:t>
      </w:r>
      <w:r w:rsidRPr="00AC0841">
        <w:t xml:space="preserve">V priebehu roka 2014 bol schválený rozpočet verejných vysokých škôl upravený na objem </w:t>
      </w:r>
      <w:r w:rsidRPr="00AC0841">
        <w:rPr>
          <w:b/>
        </w:rPr>
        <w:t>440 608 061 €.</w:t>
      </w:r>
      <w:r w:rsidR="002B6419" w:rsidRPr="00AC0841">
        <w:t xml:space="preserve"> </w:t>
      </w:r>
    </w:p>
    <w:p w:rsidR="002B6419" w:rsidRPr="00AC0841" w:rsidRDefault="0012210B" w:rsidP="00C2109F">
      <w:pPr>
        <w:pStyle w:val="Zoznam1"/>
      </w:pPr>
      <w:r w:rsidRPr="00AC0841">
        <w:t xml:space="preserve">Verejné vysoké školy hospodária podľa rozpočtu výnosov a nákladov. </w:t>
      </w:r>
      <w:r w:rsidRPr="00AC0841">
        <w:rPr>
          <w:b/>
        </w:rPr>
        <w:t>Celkové náklady</w:t>
      </w:r>
      <w:r w:rsidRPr="00AC0841">
        <w:t xml:space="preserve"> verejných vysokých škôl v roku 2014 </w:t>
      </w:r>
      <w:r w:rsidRPr="00AC0841">
        <w:rPr>
          <w:b/>
        </w:rPr>
        <w:t>v hlavnej činnosti</w:t>
      </w:r>
      <w:r w:rsidRPr="00AC0841">
        <w:t xml:space="preserve"> predstavovali </w:t>
      </w:r>
      <w:r w:rsidRPr="00AC0841">
        <w:rPr>
          <w:b/>
        </w:rPr>
        <w:t>680 833 699 €</w:t>
      </w:r>
      <w:r w:rsidRPr="00AC0841">
        <w:t xml:space="preserve"> a </w:t>
      </w:r>
      <w:r w:rsidRPr="00AC0841">
        <w:rPr>
          <w:b/>
        </w:rPr>
        <w:t>celkové výnosy</w:t>
      </w:r>
      <w:r w:rsidRPr="00AC0841">
        <w:t xml:space="preserve"> verejných vysokých škôl v roku 2014 </w:t>
      </w:r>
      <w:r w:rsidRPr="00AC0841">
        <w:rPr>
          <w:b/>
        </w:rPr>
        <w:t>v hlavnej činnosti boli 684 423 912 €</w:t>
      </w:r>
      <w:r w:rsidRPr="00AC0841">
        <w:t>.</w:t>
      </w:r>
      <w:r w:rsidR="002B6419" w:rsidRPr="00AC0841">
        <w:t xml:space="preserve"> </w:t>
      </w:r>
    </w:p>
    <w:p w:rsidR="00652A74" w:rsidRPr="00AC0841" w:rsidRDefault="0012210B" w:rsidP="00C2109F">
      <w:pPr>
        <w:pStyle w:val="Zoznam1"/>
      </w:pPr>
      <w:r w:rsidRPr="00AC0841">
        <w:t>V roku 2014 skončilo s </w:t>
      </w:r>
      <w:r w:rsidRPr="00AC0841">
        <w:rPr>
          <w:b/>
          <w:bCs/>
        </w:rPr>
        <w:t>kladným výsledkom hospodárenia</w:t>
      </w:r>
      <w:r w:rsidRPr="00AC0841">
        <w:t xml:space="preserve"> (hlavná a podnikateľská činnosť spolu) svoje hospodárenie</w:t>
      </w:r>
      <w:r w:rsidRPr="00AC0841">
        <w:rPr>
          <w:b/>
        </w:rPr>
        <w:t xml:space="preserve"> 17 </w:t>
      </w:r>
      <w:r w:rsidRPr="00AC0841">
        <w:rPr>
          <w:b/>
          <w:bCs/>
        </w:rPr>
        <w:t>verejných vysokých škôl</w:t>
      </w:r>
      <w:r w:rsidRPr="00AC0841">
        <w:t xml:space="preserve">. Hospodársky výsledok verejných vysokých škôl za rok 2014 v hlavnej činnosti bol zisk vo výške </w:t>
      </w:r>
      <w:r w:rsidRPr="00AC0841">
        <w:rPr>
          <w:b/>
        </w:rPr>
        <w:t xml:space="preserve">3 590 214 € </w:t>
      </w:r>
      <w:r w:rsidRPr="00AC0841">
        <w:t>a v podnikateľskej činnosti bol zisk v objeme</w:t>
      </w:r>
      <w:r w:rsidRPr="00AC0841">
        <w:rPr>
          <w:b/>
        </w:rPr>
        <w:t xml:space="preserve"> 4 190 576 €.</w:t>
      </w:r>
      <w:r w:rsidRPr="00AC0841">
        <w:t xml:space="preserve"> Celkový hospodársky výsledok (pred odvedením dane z príjmov) bol </w:t>
      </w:r>
      <w:r w:rsidRPr="00AC0841">
        <w:rPr>
          <w:b/>
          <w:bCs/>
        </w:rPr>
        <w:t>zisk v objeme 7 780 789 €</w:t>
      </w:r>
      <w:r w:rsidR="002B6419" w:rsidRPr="00AC0841">
        <w:t>.</w:t>
      </w:r>
    </w:p>
    <w:p w:rsidR="00B602A0" w:rsidRPr="00AC0841" w:rsidRDefault="001772E1" w:rsidP="00C2109F">
      <w:pPr>
        <w:pStyle w:val="Zoznam1"/>
      </w:pPr>
      <w:r w:rsidRPr="00AC0841">
        <w:lastRenderedPageBreak/>
        <w:t xml:space="preserve">Správa a jej tabuľková príloha aj v tomto roku poskytuje ďalšie podrobné informácie o stave vysokého školstva v SR za rok </w:t>
      </w:r>
      <w:r w:rsidR="00C20F20" w:rsidRPr="00AC0841">
        <w:t>201</w:t>
      </w:r>
      <w:r w:rsidR="009F2FB3" w:rsidRPr="00AC0841">
        <w:t>4</w:t>
      </w:r>
      <w:r w:rsidRPr="00AC0841">
        <w:t>.</w:t>
      </w:r>
      <w:r w:rsidR="009C4D0F" w:rsidRPr="00AC0841">
        <w:t xml:space="preserve"> </w:t>
      </w:r>
    </w:p>
    <w:p w:rsidR="00652A74" w:rsidRPr="005E5FF1" w:rsidRDefault="00652A74" w:rsidP="00652A74">
      <w:pPr>
        <w:pStyle w:val="Nadpis2-vavo"/>
        <w:numPr>
          <w:ilvl w:val="1"/>
          <w:numId w:val="1"/>
        </w:numPr>
        <w:ind w:left="0" w:firstLine="0"/>
      </w:pPr>
      <w:bookmarkStart w:id="15" w:name="_Toc136920244"/>
      <w:bookmarkEnd w:id="10"/>
      <w:r w:rsidRPr="005E5FF1">
        <w:br w:type="page"/>
      </w:r>
      <w:bookmarkStart w:id="16" w:name="_Toc264838375"/>
      <w:bookmarkStart w:id="17" w:name="_Toc427750167"/>
      <w:r w:rsidRPr="005E5FF1">
        <w:lastRenderedPageBreak/>
        <w:t>Časť I</w:t>
      </w:r>
      <w:bookmarkEnd w:id="15"/>
      <w:bookmarkEnd w:id="16"/>
      <w:bookmarkEnd w:id="17"/>
    </w:p>
    <w:p w:rsidR="00652A74" w:rsidRPr="00AC0841" w:rsidRDefault="00652A74" w:rsidP="00652A74">
      <w:pPr>
        <w:pStyle w:val="Nadpis2-vavo"/>
        <w:numPr>
          <w:ilvl w:val="1"/>
          <w:numId w:val="1"/>
        </w:numPr>
        <w:ind w:left="0" w:firstLine="0"/>
      </w:pPr>
      <w:bookmarkStart w:id="18" w:name="_Toc136920245"/>
      <w:bookmarkStart w:id="19" w:name="_Toc264838376"/>
      <w:bookmarkStart w:id="20" w:name="_Toc427750168"/>
      <w:r w:rsidRPr="005E5FF1">
        <w:t xml:space="preserve">1. </w:t>
      </w:r>
      <w:r w:rsidRPr="00AC0841">
        <w:t xml:space="preserve">Správa o činnosti vysokých škôl v roku </w:t>
      </w:r>
      <w:bookmarkEnd w:id="18"/>
      <w:r w:rsidR="00C20F20" w:rsidRPr="00AC0841">
        <w:t>201</w:t>
      </w:r>
      <w:bookmarkEnd w:id="19"/>
      <w:r w:rsidR="0095378B" w:rsidRPr="00AC0841">
        <w:t>4</w:t>
      </w:r>
      <w:bookmarkEnd w:id="20"/>
    </w:p>
    <w:p w:rsidR="00652A74" w:rsidRPr="00AC0841" w:rsidRDefault="007B6CC9" w:rsidP="00C2109F">
      <w:pPr>
        <w:pStyle w:val="Zoznam1"/>
      </w:pPr>
      <w:r w:rsidRPr="00AC0841">
        <w:t xml:space="preserve">Prvá časť správy sa zameriava na hlavné činnosti </w:t>
      </w:r>
      <w:r w:rsidR="001B55E8" w:rsidRPr="00AC0841">
        <w:t xml:space="preserve">vysokých škôl v roku </w:t>
      </w:r>
      <w:r w:rsidR="00C20F20" w:rsidRPr="00AC0841">
        <w:t>201</w:t>
      </w:r>
      <w:r w:rsidR="0095378B" w:rsidRPr="00AC0841">
        <w:t>4</w:t>
      </w:r>
      <w:r w:rsidR="0082267A" w:rsidRPr="00AC0841">
        <w:t xml:space="preserve"> a podmienky, za kto</w:t>
      </w:r>
      <w:r w:rsidR="00774D7B" w:rsidRPr="00AC0841">
        <w:t>rých tieto činnosti vykonávajú.</w:t>
      </w:r>
    </w:p>
    <w:p w:rsidR="00C8332D" w:rsidRPr="00AC0841" w:rsidRDefault="001F3A84" w:rsidP="001F3A84">
      <w:pPr>
        <w:pStyle w:val="Nadpis3-vavo"/>
        <w:tabs>
          <w:tab w:val="clear" w:pos="1080"/>
        </w:tabs>
        <w:ind w:left="0" w:firstLine="0"/>
      </w:pPr>
      <w:bookmarkStart w:id="21" w:name="_Toc264838377"/>
      <w:bookmarkStart w:id="22" w:name="_Toc427750169"/>
      <w:r w:rsidRPr="00AC0841">
        <w:t xml:space="preserve">1.1 </w:t>
      </w:r>
      <w:r w:rsidR="0071629D" w:rsidRPr="00AC0841">
        <w:t>Právne podmienky</w:t>
      </w:r>
      <w:bookmarkEnd w:id="21"/>
      <w:bookmarkEnd w:id="22"/>
      <w:r w:rsidR="003018A1" w:rsidRPr="00AC0841">
        <w:t xml:space="preserve"> </w:t>
      </w:r>
    </w:p>
    <w:p w:rsidR="00A45C0C" w:rsidRPr="00AC0841" w:rsidRDefault="0071629D" w:rsidP="00C2109F">
      <w:pPr>
        <w:pStyle w:val="Zoznam1"/>
      </w:pPr>
      <w:r w:rsidRPr="00AC0841">
        <w:t>V roku 201</w:t>
      </w:r>
      <w:r w:rsidR="00A8081F" w:rsidRPr="00AC0841">
        <w:t>4</w:t>
      </w:r>
      <w:r w:rsidRPr="00AC0841">
        <w:t xml:space="preserve"> </w:t>
      </w:r>
      <w:r w:rsidR="0095378B" w:rsidRPr="00AC0841">
        <w:t>v rámci vykonávacích predpisov boli vydané</w:t>
      </w:r>
      <w:r w:rsidRPr="00AC0841">
        <w:t>:</w:t>
      </w:r>
      <w:r w:rsidR="00A45C0C" w:rsidRPr="00AC0841">
        <w:t xml:space="preserve"> </w:t>
      </w:r>
    </w:p>
    <w:p w:rsidR="0095378B" w:rsidRPr="00AC0841" w:rsidRDefault="00A8081F" w:rsidP="00C2109F">
      <w:pPr>
        <w:pStyle w:val="Zoznam1"/>
        <w:numPr>
          <w:ilvl w:val="0"/>
          <w:numId w:val="14"/>
        </w:numPr>
      </w:pPr>
      <w:r w:rsidRPr="00AC0841">
        <w:t xml:space="preserve">vyhláška </w:t>
      </w:r>
      <w:proofErr w:type="spellStart"/>
      <w:r w:rsidRPr="00AC0841">
        <w:t>MŠVVaŠ</w:t>
      </w:r>
      <w:proofErr w:type="spellEnd"/>
      <w:r w:rsidRPr="00AC0841">
        <w:t xml:space="preserve"> SR č. 157/2014 Z. z., ktorou sa novelizuje vyhláška o priznávaní sociálneho štipendia študentom vysokých škôl</w:t>
      </w:r>
      <w:r w:rsidR="007D3E74">
        <w:t>; okrem legislatívno-technických úprav sa zmenil</w:t>
      </w:r>
      <w:r w:rsidRPr="00AC0841">
        <w:t xml:space="preserve"> spôsob určovania okruhu spoločne posudzovaných osôb v súvislosti s príjmom študenta získaného darovaním, </w:t>
      </w:r>
    </w:p>
    <w:p w:rsidR="0088243E" w:rsidRPr="00AC0841" w:rsidRDefault="002F6EEE" w:rsidP="00C2109F">
      <w:pPr>
        <w:pStyle w:val="Zoznam1"/>
        <w:numPr>
          <w:ilvl w:val="0"/>
          <w:numId w:val="16"/>
        </w:numPr>
      </w:pPr>
      <w:r w:rsidRPr="00AC0841">
        <w:t xml:space="preserve">opatrenie </w:t>
      </w:r>
      <w:proofErr w:type="spellStart"/>
      <w:r w:rsidR="006B6BA1" w:rsidRPr="00AC0841">
        <w:t>MŠVVaŠ</w:t>
      </w:r>
      <w:proofErr w:type="spellEnd"/>
      <w:r w:rsidR="006B6BA1" w:rsidRPr="00AC0841">
        <w:t xml:space="preserve"> SR </w:t>
      </w:r>
      <w:r w:rsidRPr="00AC0841">
        <w:t xml:space="preserve">oznámené pod č. </w:t>
      </w:r>
      <w:r w:rsidR="0095378B" w:rsidRPr="00AC0841">
        <w:t xml:space="preserve">235/2014 </w:t>
      </w:r>
      <w:r w:rsidRPr="00AC0841">
        <w:t>Z. z.</w:t>
      </w:r>
      <w:r w:rsidR="0095378B" w:rsidRPr="00AC0841">
        <w:t>, ktorým sa ustanovuje suma</w:t>
      </w:r>
      <w:r w:rsidRPr="00AC0841">
        <w:t xml:space="preserve"> maximáln</w:t>
      </w:r>
      <w:r w:rsidR="0095378B" w:rsidRPr="00AC0841">
        <w:t>eho</w:t>
      </w:r>
      <w:r w:rsidRPr="00AC0841">
        <w:t xml:space="preserve"> ročn</w:t>
      </w:r>
      <w:r w:rsidR="0095378B" w:rsidRPr="00AC0841">
        <w:t>ého</w:t>
      </w:r>
      <w:r w:rsidRPr="00AC0841">
        <w:t xml:space="preserve"> školn</w:t>
      </w:r>
      <w:r w:rsidR="0095378B" w:rsidRPr="00AC0841">
        <w:t>ého na akademický rok 2015/2016</w:t>
      </w:r>
      <w:r w:rsidRPr="00AC0841">
        <w:t xml:space="preserve"> pre študijné programy v externej forme štúdia </w:t>
      </w:r>
      <w:r w:rsidR="0095378B" w:rsidRPr="00AC0841">
        <w:t>uskutočňované na verejných vysokých školách a na štátnych vysokých školách</w:t>
      </w:r>
      <w:r w:rsidR="004C00D2" w:rsidRPr="00AC0841">
        <w:t>.</w:t>
      </w:r>
    </w:p>
    <w:p w:rsidR="00774D7B" w:rsidRPr="00AC0841" w:rsidRDefault="001F3A84" w:rsidP="00347D61">
      <w:pPr>
        <w:pStyle w:val="Nadpis3-vavo"/>
        <w:tabs>
          <w:tab w:val="clear" w:pos="1080"/>
        </w:tabs>
        <w:ind w:left="0" w:firstLine="0"/>
      </w:pPr>
      <w:bookmarkStart w:id="23" w:name="_Toc264838378"/>
      <w:bookmarkStart w:id="24" w:name="_Toc427750170"/>
      <w:r w:rsidRPr="00AC0841">
        <w:t xml:space="preserve">1.2 </w:t>
      </w:r>
      <w:r w:rsidR="00774D7B" w:rsidRPr="00AC0841">
        <w:t>Poskytovatelia vysokoškolského vzdelávania</w:t>
      </w:r>
      <w:bookmarkEnd w:id="23"/>
      <w:bookmarkEnd w:id="24"/>
    </w:p>
    <w:p w:rsidR="00E83856" w:rsidRPr="00AC0841" w:rsidRDefault="00CC4679" w:rsidP="00C2109F">
      <w:pPr>
        <w:pStyle w:val="Zoznam1"/>
      </w:pPr>
      <w:r w:rsidRPr="00AC0841">
        <w:t xml:space="preserve">V roku </w:t>
      </w:r>
      <w:r w:rsidR="00C20F20" w:rsidRPr="00AC0841">
        <w:t>201</w:t>
      </w:r>
      <w:r w:rsidR="0095378B" w:rsidRPr="00AC0841">
        <w:t>4</w:t>
      </w:r>
      <w:r w:rsidRPr="00AC0841">
        <w:t xml:space="preserve"> posky</w:t>
      </w:r>
      <w:r w:rsidR="0026583D" w:rsidRPr="00AC0841">
        <w:t>tovalo vysokoškolské vzdelávanie</w:t>
      </w:r>
      <w:r w:rsidRPr="00AC0841">
        <w:t xml:space="preserve"> 20 verejných vysokých škôl,</w:t>
      </w:r>
      <w:r w:rsidR="00A36E84" w:rsidRPr="00AC0841">
        <w:t xml:space="preserve"> tri štátne vysoké školy a 1</w:t>
      </w:r>
      <w:r w:rsidR="00844032" w:rsidRPr="00AC0841">
        <w:t>3</w:t>
      </w:r>
      <w:r w:rsidRPr="00AC0841">
        <w:t xml:space="preserve"> súkromných vysokých škôl. Okrem </w:t>
      </w:r>
      <w:r w:rsidR="006D5BCA" w:rsidRPr="00AC0841">
        <w:t xml:space="preserve">nich </w:t>
      </w:r>
      <w:r w:rsidR="00DB7DA1" w:rsidRPr="00AC0841">
        <w:t xml:space="preserve">oprávnenie na poskytovanie vysokoškolského vzdelávania </w:t>
      </w:r>
      <w:r w:rsidRPr="00AC0841">
        <w:t xml:space="preserve">na území </w:t>
      </w:r>
      <w:r w:rsidR="004C4F33">
        <w:t>SR</w:t>
      </w:r>
      <w:r w:rsidR="00DB7DA1" w:rsidRPr="00AC0841">
        <w:t xml:space="preserve"> mal</w:t>
      </w:r>
      <w:r w:rsidR="00FA0D36" w:rsidRPr="00AC0841">
        <w:t>o aj päť</w:t>
      </w:r>
      <w:r w:rsidRPr="00AC0841">
        <w:t xml:space="preserve"> zahraničn</w:t>
      </w:r>
      <w:r w:rsidR="00FA0D36" w:rsidRPr="00AC0841">
        <w:t>ých</w:t>
      </w:r>
      <w:r w:rsidRPr="00AC0841">
        <w:t xml:space="preserve"> vysok</w:t>
      </w:r>
      <w:r w:rsidR="00FA0D36" w:rsidRPr="00AC0841">
        <w:t>ých škôl, z toho štyri vysok</w:t>
      </w:r>
      <w:r w:rsidRPr="00AC0841">
        <w:t>é školy so sídlom v Českej republike</w:t>
      </w:r>
      <w:r w:rsidR="0005334C" w:rsidRPr="00AC0841">
        <w:t xml:space="preserve">, </w:t>
      </w:r>
      <w:r w:rsidR="00DB7DA1" w:rsidRPr="00AC0841">
        <w:t>aktívne ho využívali</w:t>
      </w:r>
      <w:r w:rsidR="00A82A7F" w:rsidRPr="00AC0841">
        <w:t xml:space="preserve"> dve</w:t>
      </w:r>
      <w:r w:rsidR="00A82A7F" w:rsidRPr="00AC0841">
        <w:rPr>
          <w:rStyle w:val="Odkaznapoznmkupodiarou"/>
        </w:rPr>
        <w:footnoteReference w:id="2"/>
      </w:r>
      <w:r w:rsidR="00DB7DA1" w:rsidRPr="00AC0841">
        <w:t>)</w:t>
      </w:r>
      <w:r w:rsidR="00FA0D36" w:rsidRPr="00AC0841">
        <w:t xml:space="preserve"> a jedna so sídlom v Nemeckej spolkovej republike (</w:t>
      </w:r>
      <w:proofErr w:type="spellStart"/>
      <w:r w:rsidR="00FA0D36" w:rsidRPr="00AC0841">
        <w:rPr>
          <w:color w:val="000000"/>
        </w:rPr>
        <w:t>Hochschule</w:t>
      </w:r>
      <w:proofErr w:type="spellEnd"/>
      <w:r w:rsidR="00FA0D36" w:rsidRPr="00AC0841">
        <w:rPr>
          <w:color w:val="000000"/>
        </w:rPr>
        <w:t xml:space="preserve"> </w:t>
      </w:r>
      <w:proofErr w:type="spellStart"/>
      <w:r w:rsidR="00FA0D36" w:rsidRPr="00AC0841">
        <w:rPr>
          <w:color w:val="000000"/>
        </w:rPr>
        <w:t>Fresenius</w:t>
      </w:r>
      <w:proofErr w:type="spellEnd"/>
      <w:r w:rsidR="00FA0D36" w:rsidRPr="00AC0841">
        <w:rPr>
          <w:color w:val="000000"/>
        </w:rPr>
        <w:t xml:space="preserve"> </w:t>
      </w:r>
      <w:proofErr w:type="spellStart"/>
      <w:r w:rsidR="00FA0D36" w:rsidRPr="00AC0841">
        <w:rPr>
          <w:color w:val="000000"/>
        </w:rPr>
        <w:t>gGmbH</w:t>
      </w:r>
      <w:proofErr w:type="spellEnd"/>
      <w:r w:rsidR="00FA0D36" w:rsidRPr="00AC0841">
        <w:rPr>
          <w:color w:val="000000"/>
        </w:rPr>
        <w:t xml:space="preserve">), ktorej bolo udelené oprávnenie na poskytovanie vysokoškolského vzdelávania na území </w:t>
      </w:r>
      <w:r w:rsidR="004C4F33">
        <w:rPr>
          <w:color w:val="000000"/>
        </w:rPr>
        <w:t>SR</w:t>
      </w:r>
      <w:r w:rsidR="00FA0D36" w:rsidRPr="00AC0841">
        <w:rPr>
          <w:color w:val="000000"/>
        </w:rPr>
        <w:t xml:space="preserve"> 20. augusta 2014.</w:t>
      </w:r>
    </w:p>
    <w:p w:rsidR="00E035E1" w:rsidRPr="00AC0841" w:rsidRDefault="00A260F4" w:rsidP="00C2109F">
      <w:pPr>
        <w:pStyle w:val="Zoznam1"/>
      </w:pPr>
      <w:r w:rsidRPr="00AC0841">
        <w:t xml:space="preserve">Dňa </w:t>
      </w:r>
      <w:r w:rsidR="00E035E1" w:rsidRPr="00AC0841">
        <w:t xml:space="preserve">2. septembra 2013 požiadala právnická osoba Technologický Inštitút A. </w:t>
      </w:r>
      <w:proofErr w:type="spellStart"/>
      <w:r w:rsidR="00E035E1" w:rsidRPr="00AC0841">
        <w:t>Ruprechta</w:t>
      </w:r>
      <w:proofErr w:type="spellEnd"/>
      <w:r w:rsidR="00E035E1" w:rsidRPr="00AC0841">
        <w:t xml:space="preserve"> a. s. </w:t>
      </w:r>
      <w:r w:rsidR="00E04CC2" w:rsidRPr="00AC0841">
        <w:t xml:space="preserve">so sídlom v Bratislave </w:t>
      </w:r>
      <w:r w:rsidR="00E035E1" w:rsidRPr="00AC0841">
        <w:t xml:space="preserve">o udelenie štátneho súhlasu na pôsobenie ako súkromná vysoká škola s názvom Technologický Inštitút A. </w:t>
      </w:r>
      <w:proofErr w:type="spellStart"/>
      <w:r w:rsidR="00E035E1" w:rsidRPr="00AC0841">
        <w:t>Ruprechta</w:t>
      </w:r>
      <w:proofErr w:type="spellEnd"/>
      <w:r w:rsidR="00E04CC2" w:rsidRPr="00AC0841">
        <w:t xml:space="preserve"> so sídlom v Šamoríne</w:t>
      </w:r>
      <w:r w:rsidR="0015626B" w:rsidRPr="00AC0841">
        <w:t xml:space="preserve">, </w:t>
      </w:r>
      <w:r w:rsidR="00301AB3" w:rsidRPr="00AC0841">
        <w:t>v</w:t>
      </w:r>
      <w:r w:rsidR="0015626B" w:rsidRPr="00AC0841">
        <w:t xml:space="preserve"> </w:t>
      </w:r>
      <w:r w:rsidR="00301AB3" w:rsidRPr="00AC0841">
        <w:t>roku 201</w:t>
      </w:r>
      <w:r w:rsidR="0015626B" w:rsidRPr="00AC0841">
        <w:t>4</w:t>
      </w:r>
      <w:r w:rsidR="00301AB3" w:rsidRPr="00AC0841">
        <w:t xml:space="preserve"> o</w:t>
      </w:r>
      <w:r w:rsidR="002F5EAB" w:rsidRPr="00AC0841">
        <w:t> </w:t>
      </w:r>
      <w:r w:rsidR="00301AB3" w:rsidRPr="00AC0841">
        <w:t>udelení štátneho súhlasu nebolo rozhodnuté.</w:t>
      </w:r>
    </w:p>
    <w:p w:rsidR="0015626B" w:rsidRPr="00AC0841" w:rsidRDefault="00A260F4" w:rsidP="00C2109F">
      <w:pPr>
        <w:pStyle w:val="Zoznam1"/>
      </w:pPr>
      <w:r w:rsidRPr="00AC0841">
        <w:t xml:space="preserve">Dňa </w:t>
      </w:r>
      <w:r w:rsidR="0015626B" w:rsidRPr="00AC0841">
        <w:t>20. mája 2014 požiadala právnická osoba COGNOS Slovakia s.r.o., so sídlom v</w:t>
      </w:r>
      <w:r w:rsidR="00E04CC2" w:rsidRPr="00AC0841">
        <w:t> </w:t>
      </w:r>
      <w:r w:rsidR="0015626B" w:rsidRPr="00AC0841">
        <w:t>Bratislave o udelenie štátneho súhlasu na pôsobenie ako súkromná vysoká škola s</w:t>
      </w:r>
      <w:r w:rsidR="00E04CC2" w:rsidRPr="00AC0841">
        <w:t xml:space="preserve"> </w:t>
      </w:r>
      <w:r w:rsidR="0015626B" w:rsidRPr="00AC0841">
        <w:t>názvom Vysoká škola ekonómie a</w:t>
      </w:r>
      <w:r w:rsidR="00E04CC2" w:rsidRPr="00AC0841">
        <w:t> </w:t>
      </w:r>
      <w:r w:rsidR="0015626B" w:rsidRPr="00AC0841">
        <w:t>podnikania</w:t>
      </w:r>
      <w:r w:rsidR="00E04CC2" w:rsidRPr="00AC0841">
        <w:t xml:space="preserve"> so sídlom v Banskej Bystrici</w:t>
      </w:r>
      <w:r w:rsidR="0015626B" w:rsidRPr="00AC0841">
        <w:t>, v roku 2014 o udelení štátneho súhlasu nebolo rozhodnuté.</w:t>
      </w:r>
    </w:p>
    <w:p w:rsidR="002613A8" w:rsidRPr="00AC0841" w:rsidRDefault="00092E47" w:rsidP="00C2109F">
      <w:pPr>
        <w:pStyle w:val="Zoznam1"/>
      </w:pPr>
      <w:r w:rsidRPr="00AC0841">
        <w:t>N</w:t>
      </w:r>
      <w:r w:rsidR="002613A8" w:rsidRPr="00AC0841">
        <w:t>a konci roka 201</w:t>
      </w:r>
      <w:r w:rsidRPr="00AC0841">
        <w:t>4</w:t>
      </w:r>
      <w:r w:rsidR="002613A8" w:rsidRPr="00AC0841">
        <w:t xml:space="preserve"> v Slovenskej republike pôsobilo 2</w:t>
      </w:r>
      <w:r w:rsidR="004219C7" w:rsidRPr="00AC0841">
        <w:t>2</w:t>
      </w:r>
      <w:r w:rsidR="002613A8" w:rsidRPr="00AC0841">
        <w:t xml:space="preserve"> univerzitných vysokých škôl, </w:t>
      </w:r>
      <w:r w:rsidR="004219C7" w:rsidRPr="00AC0841">
        <w:t>dvanásť</w:t>
      </w:r>
      <w:r w:rsidR="002613A8" w:rsidRPr="00AC0841">
        <w:t xml:space="preserve"> vysokých škôl, ktoré nie sú začlenené medzi univerzitné vysoké školy ani medzi odborné vysoké školy a dve odborné vysoké školy.</w:t>
      </w:r>
    </w:p>
    <w:p w:rsidR="00EA6AFB" w:rsidRPr="00AC0841" w:rsidRDefault="001F3A84" w:rsidP="001F3A84">
      <w:pPr>
        <w:pStyle w:val="Nadpis3-vavo"/>
        <w:tabs>
          <w:tab w:val="clear" w:pos="1080"/>
        </w:tabs>
        <w:ind w:left="0" w:firstLine="0"/>
      </w:pPr>
      <w:bookmarkStart w:id="25" w:name="_Toc264838379"/>
      <w:bookmarkStart w:id="26" w:name="_Toc427750171"/>
      <w:r w:rsidRPr="00AC0841">
        <w:t xml:space="preserve">1.3 </w:t>
      </w:r>
      <w:r w:rsidR="00EA6AFB" w:rsidRPr="00AC0841">
        <w:t>Poskytovanie vysokoškolského vzdelávania</w:t>
      </w:r>
      <w:bookmarkEnd w:id="25"/>
      <w:bookmarkEnd w:id="26"/>
    </w:p>
    <w:p w:rsidR="009366D8" w:rsidRPr="00AC0841" w:rsidRDefault="009366D8" w:rsidP="00652A74">
      <w:pPr>
        <w:pStyle w:val="Nadpis4"/>
        <w:rPr>
          <w:lang w:val="sk-SK"/>
        </w:rPr>
      </w:pPr>
      <w:bookmarkStart w:id="27" w:name="_Toc264838380"/>
      <w:bookmarkStart w:id="28" w:name="_Toc427750172"/>
      <w:bookmarkStart w:id="29" w:name="_Toc136920247"/>
      <w:r w:rsidRPr="00AC0841">
        <w:rPr>
          <w:lang w:val="sk-SK"/>
        </w:rPr>
        <w:t>Systém vysokoškolského vzdelávania</w:t>
      </w:r>
      <w:bookmarkEnd w:id="27"/>
      <w:bookmarkEnd w:id="28"/>
    </w:p>
    <w:p w:rsidR="00D0696E" w:rsidRPr="00AC0841" w:rsidRDefault="00FE2206" w:rsidP="00C2109F">
      <w:pPr>
        <w:pStyle w:val="Zoznam1"/>
      </w:pPr>
      <w:r w:rsidRPr="00AC0841">
        <w:t xml:space="preserve">V roku </w:t>
      </w:r>
      <w:r w:rsidR="00040177" w:rsidRPr="00AC0841">
        <w:t>2014 bolo možné vysokoškolské vzdelanie v niektorom z jeho stupňov získať v 370 študijných odboroch. Prvý stupeň vysokoškolského vzdelávania bolo možné študovať v</w:t>
      </w:r>
      <w:r w:rsidR="00092E47" w:rsidRPr="00AC0841">
        <w:t> </w:t>
      </w:r>
      <w:r w:rsidR="00040177" w:rsidRPr="00AC0841">
        <w:t xml:space="preserve">178 študijných odboroch, druhý stupeň </w:t>
      </w:r>
      <w:r w:rsidR="00092E47" w:rsidRPr="00AC0841">
        <w:t xml:space="preserve">taktiež </w:t>
      </w:r>
      <w:r w:rsidR="00040177" w:rsidRPr="00AC0841">
        <w:t>v 178 študijných odboroch</w:t>
      </w:r>
      <w:r w:rsidR="00092E47" w:rsidRPr="00AC0841">
        <w:t>,</w:t>
      </w:r>
      <w:r w:rsidR="00040177" w:rsidRPr="00AC0841">
        <w:t xml:space="preserve"> tretí stupeň vysokoškolského vzdelávania v 325 študijných odboroch. Študijné odbory sú rozčlenené do</w:t>
      </w:r>
      <w:r w:rsidR="008A7B73">
        <w:t> </w:t>
      </w:r>
      <w:r w:rsidR="00040177" w:rsidRPr="00AC0841">
        <w:t>9</w:t>
      </w:r>
      <w:r w:rsidR="008A7B73">
        <w:t> </w:t>
      </w:r>
      <w:r w:rsidR="00040177" w:rsidRPr="00AC0841">
        <w:t>skupín: výchova a vzdelávanie (10 odborov), humanitné vedy a umenie (45), sociálne, ekonomické a právne vedy (57), prírodné vedy (6</w:t>
      </w:r>
      <w:r w:rsidR="00040177" w:rsidRPr="00AC0841">
        <w:rPr>
          <w:color w:val="1F497D"/>
        </w:rPr>
        <w:t>1</w:t>
      </w:r>
      <w:r w:rsidR="00040177" w:rsidRPr="00AC0841">
        <w:t xml:space="preserve">), konštruovanie, technológie, výroba a </w:t>
      </w:r>
      <w:r w:rsidR="00040177" w:rsidRPr="00AC0841">
        <w:lastRenderedPageBreak/>
        <w:t>komunikácie (67), poľnohospodárske a veterinárske vedy (39), zdravotníctvo (47), služby (22) a informatické vedy, matematika a informačné a komunikačné technológie (22).</w:t>
      </w:r>
      <w:r w:rsidR="004076B0" w:rsidRPr="00AC0841">
        <w:t xml:space="preserve"> </w:t>
      </w:r>
    </w:p>
    <w:p w:rsidR="00D0696E" w:rsidRPr="00AC0841" w:rsidRDefault="00D0696E" w:rsidP="00C2109F">
      <w:pPr>
        <w:pStyle w:val="Zoznam1"/>
      </w:pPr>
      <w:r w:rsidRPr="00AC0841">
        <w:t>V</w:t>
      </w:r>
      <w:r w:rsidR="00CB632B" w:rsidRPr="00AC0841">
        <w:t xml:space="preserve"> prípade sústavy študijných odborov SR bolo rozhodnuté o </w:t>
      </w:r>
      <w:r w:rsidR="00CB632B" w:rsidRPr="00AC0841">
        <w:rPr>
          <w:bCs/>
        </w:rPr>
        <w:t>24</w:t>
      </w:r>
      <w:r w:rsidR="00CB632B" w:rsidRPr="00AC0841">
        <w:t xml:space="preserve"> podaných návrhoch na zmenu sústavy. V jednom prípade bolo rozhodnuté negatívne a navrhované zmeny neboli schválené. V 19 prípadoch bolo rozhodnuté pozitívne o zmenách v opisoch študijných odborov, a to </w:t>
      </w:r>
      <w:r w:rsidR="00253731">
        <w:t xml:space="preserve">o </w:t>
      </w:r>
      <w:r w:rsidR="00CB632B" w:rsidRPr="00AC0841">
        <w:t xml:space="preserve">študijných odboroch: politológia, poľnohospodárska a lesnícka technika, orientálne jazyky a kultúry, muzikológia, psychológia, konštrukcie a procesy výroby drevárskych výrobkov, tanečné umenie, dejiny a teória divadelného umenia, dejiny a teória filmového umenia a multimédií, genetika, hutníctvo, výrobná technika, aplikovaná mechanika, vodné stavby, aplikovaná mechanika (opakovaný návrh na zmenu opisu študijného odboru), stavebníctvo, vodné hospodárstvo, </w:t>
      </w:r>
      <w:proofErr w:type="spellStart"/>
      <w:r w:rsidR="00CB632B" w:rsidRPr="00AC0841">
        <w:t>hydromeliorácie</w:t>
      </w:r>
      <w:proofErr w:type="spellEnd"/>
      <w:r w:rsidR="00CB632B" w:rsidRPr="00AC0841">
        <w:t xml:space="preserve">, inžinierske konštrukcie a dopravné stavby. V ďalších </w:t>
      </w:r>
      <w:r w:rsidR="00CB632B" w:rsidRPr="00AC0841">
        <w:rPr>
          <w:bCs/>
        </w:rPr>
        <w:t>dvoch</w:t>
      </w:r>
      <w:r w:rsidR="00CB632B" w:rsidRPr="00AC0841">
        <w:t xml:space="preserve"> prípadoch pozitívneho rozhodnutia išlo o zaradenie dvoch nových študijných odborov do sústavy, a to študijného odboru lesnícke technológie a študijného odboru ekosystémové služby lesov. V dvoch prípadoch bolo rozhodnuté o zrušení študijného odboru, a to študijného odb</w:t>
      </w:r>
      <w:r w:rsidR="00AC6B84" w:rsidRPr="00AC0841">
        <w:t xml:space="preserve">oru teória politiky a </w:t>
      </w:r>
      <w:r w:rsidR="00CB632B" w:rsidRPr="00AC0841">
        <w:t>hutníctvo kovov (obidva študijné odbory s odloženou účinnosťou od 1. januára 2016)</w:t>
      </w:r>
      <w:r w:rsidRPr="00AC0841">
        <w:t>.</w:t>
      </w:r>
    </w:p>
    <w:p w:rsidR="004076B0" w:rsidRPr="00AC0841" w:rsidRDefault="0078451D" w:rsidP="00C2109F">
      <w:pPr>
        <w:pStyle w:val="Zoznam1"/>
      </w:pPr>
      <w:r w:rsidRPr="00AC0841">
        <w:t>V roku 201</w:t>
      </w:r>
      <w:r w:rsidR="00915807" w:rsidRPr="00AC0841">
        <w:t>4</w:t>
      </w:r>
      <w:r w:rsidRPr="00AC0841">
        <w:t xml:space="preserve"> minister </w:t>
      </w:r>
      <w:r w:rsidR="006831FB">
        <w:t xml:space="preserve">školstva, vedy, výskumu a športu </w:t>
      </w:r>
      <w:r w:rsidR="004C4F33">
        <w:t>SR</w:t>
      </w:r>
      <w:r w:rsidR="006831FB">
        <w:t xml:space="preserve"> </w:t>
      </w:r>
      <w:r w:rsidRPr="00AC0841">
        <w:t>rozhodol na základe vyjadrenia Akreditačnej komisie o</w:t>
      </w:r>
      <w:r w:rsidR="00915807" w:rsidRPr="00AC0841">
        <w:t xml:space="preserve"> 29</w:t>
      </w:r>
      <w:r w:rsidR="00AC6B84" w:rsidRPr="00AC0841">
        <w:t>1</w:t>
      </w:r>
      <w:r w:rsidRPr="00AC0841">
        <w:t xml:space="preserve"> právach vysokých škôl o spôsobilosti vysokej školy na jednotlivé činnosti podľa zákona o vysokých školách. Sumárne počty jednotlivý</w:t>
      </w:r>
      <w:r w:rsidR="00D867CA" w:rsidRPr="00AC0841">
        <w:t>ch typov rozhodnutí sú nasledujúce:</w:t>
      </w:r>
      <w:r w:rsidR="0088243E" w:rsidRPr="00AC0841">
        <w:t xml:space="preserve"> </w:t>
      </w:r>
    </w:p>
    <w:tbl>
      <w:tblPr>
        <w:tblW w:w="8760" w:type="dxa"/>
        <w:jc w:val="center"/>
        <w:tblInd w:w="65" w:type="dxa"/>
        <w:tblCellMar>
          <w:left w:w="70" w:type="dxa"/>
          <w:right w:w="70" w:type="dxa"/>
        </w:tblCellMar>
        <w:tblLook w:val="04A0" w:firstRow="1" w:lastRow="0" w:firstColumn="1" w:lastColumn="0" w:noHBand="0" w:noVBand="1"/>
      </w:tblPr>
      <w:tblGrid>
        <w:gridCol w:w="1480"/>
        <w:gridCol w:w="1240"/>
        <w:gridCol w:w="1300"/>
        <w:gridCol w:w="1260"/>
        <w:gridCol w:w="1120"/>
        <w:gridCol w:w="1400"/>
        <w:gridCol w:w="960"/>
      </w:tblGrid>
      <w:tr w:rsidR="004076B0" w:rsidRPr="00AC0841" w:rsidTr="005E5FF1">
        <w:trPr>
          <w:trHeight w:val="445"/>
          <w:jc w:val="center"/>
        </w:trPr>
        <w:tc>
          <w:tcPr>
            <w:tcW w:w="1480" w:type="dxa"/>
            <w:vMerge w:val="restart"/>
            <w:tcBorders>
              <w:top w:val="single" w:sz="4" w:space="0" w:color="auto"/>
              <w:left w:val="single" w:sz="4" w:space="0" w:color="auto"/>
              <w:bottom w:val="single" w:sz="4" w:space="0" w:color="000000"/>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Typ rozhodnutia</w:t>
            </w:r>
          </w:p>
        </w:tc>
        <w:tc>
          <w:tcPr>
            <w:tcW w:w="4920" w:type="dxa"/>
            <w:gridSpan w:val="4"/>
            <w:tcBorders>
              <w:top w:val="single" w:sz="4" w:space="0" w:color="auto"/>
              <w:left w:val="nil"/>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Študijné programy</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Habilitačné a inauguračné konanie</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Spolu</w:t>
            </w:r>
          </w:p>
        </w:tc>
      </w:tr>
      <w:tr w:rsidR="004076B0" w:rsidRPr="00AC0841" w:rsidTr="005E5FF1">
        <w:trPr>
          <w:trHeight w:val="410"/>
          <w:jc w:val="center"/>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4076B0" w:rsidRPr="00AC0841" w:rsidRDefault="004076B0">
            <w:pPr>
              <w:rPr>
                <w:color w:val="000000"/>
                <w:sz w:val="16"/>
                <w:szCs w:val="16"/>
              </w:rPr>
            </w:pPr>
          </w:p>
        </w:tc>
        <w:tc>
          <w:tcPr>
            <w:tcW w:w="1240" w:type="dxa"/>
            <w:tcBorders>
              <w:top w:val="nil"/>
              <w:left w:val="nil"/>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I. stupeň</w:t>
            </w:r>
          </w:p>
        </w:tc>
        <w:tc>
          <w:tcPr>
            <w:tcW w:w="1300" w:type="dxa"/>
            <w:tcBorders>
              <w:top w:val="nil"/>
              <w:left w:val="nil"/>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II. stupeň</w:t>
            </w:r>
          </w:p>
        </w:tc>
        <w:tc>
          <w:tcPr>
            <w:tcW w:w="1260" w:type="dxa"/>
            <w:tcBorders>
              <w:top w:val="nil"/>
              <w:left w:val="nil"/>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spojeného I+II stupňa</w:t>
            </w:r>
          </w:p>
        </w:tc>
        <w:tc>
          <w:tcPr>
            <w:tcW w:w="1120" w:type="dxa"/>
            <w:tcBorders>
              <w:top w:val="nil"/>
              <w:left w:val="nil"/>
              <w:bottom w:val="single" w:sz="4" w:space="0" w:color="auto"/>
              <w:right w:val="single" w:sz="4" w:space="0" w:color="auto"/>
            </w:tcBorders>
            <w:vAlign w:val="center"/>
            <w:hideMark/>
          </w:tcPr>
          <w:p w:rsidR="004076B0" w:rsidRPr="00AC0841" w:rsidRDefault="004076B0">
            <w:pPr>
              <w:jc w:val="center"/>
              <w:rPr>
                <w:color w:val="000000"/>
                <w:sz w:val="16"/>
                <w:szCs w:val="16"/>
              </w:rPr>
            </w:pPr>
            <w:r w:rsidRPr="00AC0841">
              <w:rPr>
                <w:color w:val="000000"/>
                <w:sz w:val="16"/>
                <w:szCs w:val="16"/>
              </w:rPr>
              <w:t>III. stupeň</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p>
        </w:tc>
      </w:tr>
      <w:tr w:rsidR="004076B0" w:rsidRPr="00AC0841" w:rsidTr="005E5FF1">
        <w:trPr>
          <w:trHeight w:val="600"/>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Priznanie práva (nové</w:t>
            </w:r>
            <w:r w:rsidR="00D867CA" w:rsidRPr="00AC0841">
              <w:rPr>
                <w:color w:val="000000"/>
                <w:sz w:val="16"/>
                <w:szCs w:val="16"/>
              </w:rPr>
              <w:t xml:space="preserve"> aj opätovné priznania</w:t>
            </w:r>
            <w:r w:rsidRPr="00AC0841">
              <w:rPr>
                <w:color w:val="000000"/>
                <w:sz w:val="16"/>
                <w:szCs w:val="16"/>
              </w:rPr>
              <w:t>)</w:t>
            </w:r>
          </w:p>
        </w:tc>
        <w:tc>
          <w:tcPr>
            <w:tcW w:w="124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72</w:t>
            </w:r>
          </w:p>
        </w:tc>
        <w:tc>
          <w:tcPr>
            <w:tcW w:w="1300" w:type="dxa"/>
            <w:tcBorders>
              <w:top w:val="nil"/>
              <w:left w:val="nil"/>
              <w:bottom w:val="single" w:sz="4" w:space="0" w:color="auto"/>
              <w:right w:val="single" w:sz="4" w:space="0" w:color="auto"/>
            </w:tcBorders>
            <w:vAlign w:val="center"/>
            <w:hideMark/>
          </w:tcPr>
          <w:p w:rsidR="004076B0" w:rsidRPr="00AC0841" w:rsidRDefault="00AC6B84" w:rsidP="00AC6B84">
            <w:pPr>
              <w:jc w:val="right"/>
              <w:rPr>
                <w:color w:val="000000"/>
                <w:sz w:val="16"/>
                <w:szCs w:val="16"/>
              </w:rPr>
            </w:pPr>
            <w:r w:rsidRPr="00AC0841">
              <w:rPr>
                <w:color w:val="000000"/>
                <w:sz w:val="16"/>
                <w:szCs w:val="16"/>
              </w:rPr>
              <w:t>58</w:t>
            </w:r>
          </w:p>
        </w:tc>
        <w:tc>
          <w:tcPr>
            <w:tcW w:w="12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0</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40</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11</w:t>
            </w:r>
          </w:p>
        </w:tc>
        <w:tc>
          <w:tcPr>
            <w:tcW w:w="9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181</w:t>
            </w:r>
          </w:p>
        </w:tc>
      </w:tr>
      <w:tr w:rsidR="004076B0" w:rsidRPr="00AC0841" w:rsidTr="005E5FF1">
        <w:trPr>
          <w:trHeight w:val="227"/>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Pozastavenie práva</w:t>
            </w:r>
          </w:p>
        </w:tc>
        <w:tc>
          <w:tcPr>
            <w:tcW w:w="124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5</w:t>
            </w:r>
          </w:p>
        </w:tc>
        <w:tc>
          <w:tcPr>
            <w:tcW w:w="13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10</w:t>
            </w:r>
          </w:p>
        </w:tc>
        <w:tc>
          <w:tcPr>
            <w:tcW w:w="1260" w:type="dxa"/>
            <w:tcBorders>
              <w:top w:val="nil"/>
              <w:left w:val="nil"/>
              <w:bottom w:val="single" w:sz="4" w:space="0" w:color="auto"/>
              <w:right w:val="single" w:sz="4" w:space="0" w:color="auto"/>
            </w:tcBorders>
            <w:vAlign w:val="center"/>
            <w:hideMark/>
          </w:tcPr>
          <w:p w:rsidR="004076B0" w:rsidRPr="00AC0841" w:rsidRDefault="00D867CA" w:rsidP="00D867CA">
            <w:pPr>
              <w:jc w:val="right"/>
              <w:rPr>
                <w:color w:val="000000"/>
                <w:sz w:val="16"/>
                <w:szCs w:val="16"/>
              </w:rPr>
            </w:pPr>
            <w:r w:rsidRPr="00AC0841">
              <w:rPr>
                <w:color w:val="000000"/>
                <w:sz w:val="16"/>
                <w:szCs w:val="16"/>
              </w:rPr>
              <w:t>0</w:t>
            </w:r>
            <w:r w:rsidR="004076B0" w:rsidRPr="00AC0841">
              <w:rPr>
                <w:color w:val="000000"/>
                <w:sz w:val="16"/>
                <w:szCs w:val="16"/>
              </w:rPr>
              <w:t> </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7</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0</w:t>
            </w:r>
          </w:p>
        </w:tc>
        <w:tc>
          <w:tcPr>
            <w:tcW w:w="9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22</w:t>
            </w:r>
          </w:p>
        </w:tc>
      </w:tr>
      <w:tr w:rsidR="004076B0" w:rsidRPr="00AC0841" w:rsidTr="005E5FF1">
        <w:trPr>
          <w:trHeight w:val="227"/>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Obnovenie práva</w:t>
            </w:r>
          </w:p>
        </w:tc>
        <w:tc>
          <w:tcPr>
            <w:tcW w:w="124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8</w:t>
            </w:r>
          </w:p>
        </w:tc>
        <w:tc>
          <w:tcPr>
            <w:tcW w:w="13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20</w:t>
            </w:r>
          </w:p>
        </w:tc>
        <w:tc>
          <w:tcPr>
            <w:tcW w:w="1260" w:type="dxa"/>
            <w:tcBorders>
              <w:top w:val="nil"/>
              <w:left w:val="nil"/>
              <w:bottom w:val="single" w:sz="4" w:space="0" w:color="auto"/>
              <w:right w:val="single" w:sz="4" w:space="0" w:color="auto"/>
            </w:tcBorders>
            <w:vAlign w:val="center"/>
            <w:hideMark/>
          </w:tcPr>
          <w:p w:rsidR="004076B0" w:rsidRPr="00AC0841" w:rsidRDefault="00AC6B84" w:rsidP="00D867CA">
            <w:pPr>
              <w:jc w:val="right"/>
              <w:rPr>
                <w:color w:val="000000"/>
                <w:sz w:val="16"/>
                <w:szCs w:val="16"/>
              </w:rPr>
            </w:pPr>
            <w:r w:rsidRPr="00AC0841">
              <w:rPr>
                <w:color w:val="000000"/>
                <w:sz w:val="16"/>
                <w:szCs w:val="16"/>
              </w:rPr>
              <w:t>0</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13</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0</w:t>
            </w:r>
          </w:p>
        </w:tc>
        <w:tc>
          <w:tcPr>
            <w:tcW w:w="9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41</w:t>
            </w:r>
          </w:p>
        </w:tc>
      </w:tr>
      <w:tr w:rsidR="004076B0" w:rsidRPr="00AC0841" w:rsidTr="005E5FF1">
        <w:trPr>
          <w:trHeight w:val="227"/>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Odňatie práva</w:t>
            </w:r>
          </w:p>
        </w:tc>
        <w:tc>
          <w:tcPr>
            <w:tcW w:w="1240" w:type="dxa"/>
            <w:tcBorders>
              <w:top w:val="nil"/>
              <w:left w:val="nil"/>
              <w:bottom w:val="single" w:sz="4" w:space="0" w:color="auto"/>
              <w:right w:val="single" w:sz="4" w:space="0" w:color="auto"/>
            </w:tcBorders>
            <w:vAlign w:val="center"/>
            <w:hideMark/>
          </w:tcPr>
          <w:p w:rsidR="004076B0" w:rsidRPr="00AC0841" w:rsidRDefault="004076B0">
            <w:pPr>
              <w:jc w:val="right"/>
              <w:rPr>
                <w:color w:val="000000"/>
                <w:sz w:val="16"/>
                <w:szCs w:val="16"/>
              </w:rPr>
            </w:pPr>
            <w:r w:rsidRPr="00AC0841">
              <w:rPr>
                <w:color w:val="000000"/>
                <w:sz w:val="16"/>
                <w:szCs w:val="16"/>
              </w:rPr>
              <w:t>2</w:t>
            </w:r>
          </w:p>
        </w:tc>
        <w:tc>
          <w:tcPr>
            <w:tcW w:w="13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2</w:t>
            </w:r>
          </w:p>
        </w:tc>
        <w:tc>
          <w:tcPr>
            <w:tcW w:w="1260" w:type="dxa"/>
            <w:tcBorders>
              <w:top w:val="nil"/>
              <w:left w:val="nil"/>
              <w:bottom w:val="single" w:sz="4" w:space="0" w:color="auto"/>
              <w:right w:val="single" w:sz="4" w:space="0" w:color="auto"/>
            </w:tcBorders>
            <w:vAlign w:val="center"/>
            <w:hideMark/>
          </w:tcPr>
          <w:p w:rsidR="004076B0" w:rsidRPr="00AC0841" w:rsidRDefault="00AC6B84" w:rsidP="00D867CA">
            <w:pPr>
              <w:jc w:val="right"/>
              <w:rPr>
                <w:color w:val="000000"/>
                <w:sz w:val="16"/>
                <w:szCs w:val="16"/>
              </w:rPr>
            </w:pPr>
            <w:r w:rsidRPr="00AC0841">
              <w:rPr>
                <w:color w:val="000000"/>
                <w:sz w:val="16"/>
                <w:szCs w:val="16"/>
              </w:rPr>
              <w:t>0</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0</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2</w:t>
            </w:r>
          </w:p>
        </w:tc>
        <w:tc>
          <w:tcPr>
            <w:tcW w:w="960" w:type="dxa"/>
            <w:tcBorders>
              <w:top w:val="nil"/>
              <w:left w:val="nil"/>
              <w:bottom w:val="single" w:sz="4" w:space="0" w:color="auto"/>
              <w:right w:val="single" w:sz="4" w:space="0" w:color="auto"/>
            </w:tcBorders>
            <w:vAlign w:val="center"/>
            <w:hideMark/>
          </w:tcPr>
          <w:p w:rsidR="004076B0" w:rsidRPr="00AC0841" w:rsidRDefault="00AC6B84" w:rsidP="00101235">
            <w:pPr>
              <w:jc w:val="right"/>
              <w:rPr>
                <w:color w:val="000000"/>
                <w:sz w:val="16"/>
                <w:szCs w:val="16"/>
              </w:rPr>
            </w:pPr>
            <w:r w:rsidRPr="00AC0841">
              <w:rPr>
                <w:color w:val="000000"/>
                <w:sz w:val="16"/>
                <w:szCs w:val="16"/>
              </w:rPr>
              <w:t>6</w:t>
            </w:r>
          </w:p>
        </w:tc>
      </w:tr>
      <w:tr w:rsidR="004076B0" w:rsidRPr="00AC0841" w:rsidTr="005E5FF1">
        <w:trPr>
          <w:trHeight w:val="227"/>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Zamietnutie žiadosti</w:t>
            </w:r>
          </w:p>
        </w:tc>
        <w:tc>
          <w:tcPr>
            <w:tcW w:w="124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8</w:t>
            </w:r>
          </w:p>
        </w:tc>
        <w:tc>
          <w:tcPr>
            <w:tcW w:w="13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14</w:t>
            </w:r>
          </w:p>
        </w:tc>
        <w:tc>
          <w:tcPr>
            <w:tcW w:w="1260" w:type="dxa"/>
            <w:tcBorders>
              <w:top w:val="nil"/>
              <w:left w:val="nil"/>
              <w:bottom w:val="single" w:sz="4" w:space="0" w:color="auto"/>
              <w:right w:val="single" w:sz="4" w:space="0" w:color="auto"/>
            </w:tcBorders>
            <w:vAlign w:val="center"/>
            <w:hideMark/>
          </w:tcPr>
          <w:p w:rsidR="004076B0" w:rsidRPr="00AC0841" w:rsidRDefault="00AC6B84" w:rsidP="00D867CA">
            <w:pPr>
              <w:jc w:val="right"/>
              <w:rPr>
                <w:color w:val="000000"/>
                <w:sz w:val="16"/>
                <w:szCs w:val="16"/>
              </w:rPr>
            </w:pPr>
            <w:r w:rsidRPr="00AC0841">
              <w:rPr>
                <w:color w:val="000000"/>
                <w:sz w:val="16"/>
                <w:szCs w:val="16"/>
              </w:rPr>
              <w:t>0</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14</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5</w:t>
            </w:r>
          </w:p>
        </w:tc>
        <w:tc>
          <w:tcPr>
            <w:tcW w:w="9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41</w:t>
            </w:r>
          </w:p>
        </w:tc>
      </w:tr>
      <w:tr w:rsidR="004076B0" w:rsidRPr="00AC0841" w:rsidTr="005E5FF1">
        <w:trPr>
          <w:trHeight w:val="227"/>
          <w:jc w:val="center"/>
        </w:trPr>
        <w:tc>
          <w:tcPr>
            <w:tcW w:w="1480" w:type="dxa"/>
            <w:tcBorders>
              <w:top w:val="nil"/>
              <w:left w:val="single" w:sz="4" w:space="0" w:color="auto"/>
              <w:bottom w:val="single" w:sz="4" w:space="0" w:color="auto"/>
              <w:right w:val="single" w:sz="4" w:space="0" w:color="auto"/>
            </w:tcBorders>
            <w:vAlign w:val="center"/>
            <w:hideMark/>
          </w:tcPr>
          <w:p w:rsidR="004076B0" w:rsidRPr="00AC0841" w:rsidRDefault="004076B0">
            <w:pPr>
              <w:rPr>
                <w:color w:val="000000"/>
                <w:sz w:val="16"/>
                <w:szCs w:val="16"/>
              </w:rPr>
            </w:pPr>
            <w:r w:rsidRPr="00AC0841">
              <w:rPr>
                <w:color w:val="000000"/>
                <w:sz w:val="16"/>
                <w:szCs w:val="16"/>
              </w:rPr>
              <w:t>Spolu</w:t>
            </w:r>
          </w:p>
        </w:tc>
        <w:tc>
          <w:tcPr>
            <w:tcW w:w="124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95</w:t>
            </w:r>
          </w:p>
        </w:tc>
        <w:tc>
          <w:tcPr>
            <w:tcW w:w="13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104</w:t>
            </w:r>
          </w:p>
        </w:tc>
        <w:tc>
          <w:tcPr>
            <w:tcW w:w="12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0</w:t>
            </w:r>
          </w:p>
        </w:tc>
        <w:tc>
          <w:tcPr>
            <w:tcW w:w="112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74</w:t>
            </w:r>
          </w:p>
        </w:tc>
        <w:tc>
          <w:tcPr>
            <w:tcW w:w="140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18</w:t>
            </w:r>
          </w:p>
        </w:tc>
        <w:tc>
          <w:tcPr>
            <w:tcW w:w="960" w:type="dxa"/>
            <w:tcBorders>
              <w:top w:val="nil"/>
              <w:left w:val="nil"/>
              <w:bottom w:val="single" w:sz="4" w:space="0" w:color="auto"/>
              <w:right w:val="single" w:sz="4" w:space="0" w:color="auto"/>
            </w:tcBorders>
            <w:vAlign w:val="center"/>
            <w:hideMark/>
          </w:tcPr>
          <w:p w:rsidR="004076B0" w:rsidRPr="00AC0841" w:rsidRDefault="00AC6B84">
            <w:pPr>
              <w:jc w:val="right"/>
              <w:rPr>
                <w:color w:val="000000"/>
                <w:sz w:val="16"/>
                <w:szCs w:val="16"/>
              </w:rPr>
            </w:pPr>
            <w:r w:rsidRPr="00AC0841">
              <w:rPr>
                <w:color w:val="000000"/>
                <w:sz w:val="16"/>
                <w:szCs w:val="16"/>
              </w:rPr>
              <w:t>291</w:t>
            </w:r>
          </w:p>
        </w:tc>
      </w:tr>
    </w:tbl>
    <w:p w:rsidR="004B2F40" w:rsidRPr="00AC0841" w:rsidRDefault="004B2F40" w:rsidP="00C2109F">
      <w:pPr>
        <w:pStyle w:val="Zoznam1"/>
        <w:numPr>
          <w:ilvl w:val="0"/>
          <w:numId w:val="0"/>
        </w:numPr>
      </w:pPr>
    </w:p>
    <w:p w:rsidR="00D867CA" w:rsidRPr="00AC0841" w:rsidRDefault="00915807" w:rsidP="00C2109F">
      <w:pPr>
        <w:pStyle w:val="Zoznam1"/>
      </w:pPr>
      <w:r w:rsidRPr="00AC0841">
        <w:t>V siedmych prípadoch bolo rozhodnuté o priznaní práva udeľovať absolventom spoločných študijných programov (slovenské vysoké školy v spolupráci so zahraničnými vysokými školami) príslušné akademické tituly</w:t>
      </w:r>
      <w:r w:rsidR="00D867CA" w:rsidRPr="00AC0841">
        <w:t>.</w:t>
      </w:r>
    </w:p>
    <w:p w:rsidR="00915807" w:rsidRPr="00AC0841" w:rsidRDefault="00915807" w:rsidP="00C2109F">
      <w:pPr>
        <w:pStyle w:val="Zoznam1"/>
      </w:pPr>
      <w:r w:rsidRPr="00AC0841">
        <w:t>Práva uskutočňovať habilitačné konanie a konanie na vymenúvanie profesorov bolo odňaté dvom vysokým školám, a to UVLF Košic</w:t>
      </w:r>
      <w:r w:rsidR="008C15B0" w:rsidRPr="00AC0841">
        <w:t>e</w:t>
      </w:r>
      <w:r w:rsidRPr="00AC0841">
        <w:t xml:space="preserve"> a KU Ružomber</w:t>
      </w:r>
      <w:r w:rsidR="008C15B0" w:rsidRPr="00AC0841">
        <w:t>ok</w:t>
      </w:r>
      <w:r w:rsidRPr="00AC0841">
        <w:t xml:space="preserve"> na základe vyjadrenia Akreditačnej komisie, že vysok</w:t>
      </w:r>
      <w:r w:rsidR="00101235" w:rsidRPr="00AC0841">
        <w:t>é</w:t>
      </w:r>
      <w:r w:rsidRPr="00AC0841">
        <w:t xml:space="preserve"> škol</w:t>
      </w:r>
      <w:r w:rsidR="00101235" w:rsidRPr="00AC0841">
        <w:t>y</w:t>
      </w:r>
      <w:r w:rsidRPr="00AC0841">
        <w:t xml:space="preserve"> nedodržal</w:t>
      </w:r>
      <w:r w:rsidR="00101235" w:rsidRPr="00AC0841">
        <w:t>i</w:t>
      </w:r>
      <w:r w:rsidRPr="00AC0841">
        <w:t xml:space="preserve"> pri vymenúvacom konaní kritériá na vymenovanie, čím sa uplatnila novela zákona o vysokých školách pre takéto prípady, účinná od 1. januára 2013.</w:t>
      </w:r>
    </w:p>
    <w:p w:rsidR="00652A74" w:rsidRPr="00AC0841" w:rsidRDefault="00652A74" w:rsidP="00652A74">
      <w:pPr>
        <w:pStyle w:val="Nadpis4"/>
        <w:rPr>
          <w:lang w:val="sk-SK"/>
        </w:rPr>
      </w:pPr>
      <w:bookmarkStart w:id="30" w:name="_Toc264838381"/>
      <w:bookmarkStart w:id="31" w:name="_Toc427750173"/>
      <w:r w:rsidRPr="00AC0841">
        <w:rPr>
          <w:lang w:val="sk-SK"/>
        </w:rPr>
        <w:t>Študenti</w:t>
      </w:r>
      <w:bookmarkEnd w:id="29"/>
      <w:bookmarkEnd w:id="30"/>
      <w:bookmarkEnd w:id="31"/>
    </w:p>
    <w:p w:rsidR="00F85688" w:rsidRPr="00AC0841" w:rsidRDefault="00C13D1D" w:rsidP="00C2109F">
      <w:pPr>
        <w:pStyle w:val="Zoznam1"/>
      </w:pPr>
      <w:r w:rsidRPr="00AC0841">
        <w:t xml:space="preserve">Medziročne bolo zaznamenané </w:t>
      </w:r>
      <w:r w:rsidRPr="00AC0841">
        <w:rPr>
          <w:b/>
        </w:rPr>
        <w:t>zníženie</w:t>
      </w:r>
      <w:r w:rsidRPr="00AC0841">
        <w:t xml:space="preserve"> počtu študentov na vysokých školách na</w:t>
      </w:r>
      <w:r w:rsidR="00C07DC0" w:rsidRPr="00AC0841">
        <w:t> </w:t>
      </w:r>
      <w:r w:rsidR="00221F37" w:rsidRPr="00AC0841">
        <w:rPr>
          <w:b/>
        </w:rPr>
        <w:t>175 430</w:t>
      </w:r>
      <w:r w:rsidRPr="00AC0841">
        <w:rPr>
          <w:b/>
        </w:rPr>
        <w:t xml:space="preserve"> študentov </w:t>
      </w:r>
      <w:r w:rsidRPr="00AC0841">
        <w:t>(pokles o</w:t>
      </w:r>
      <w:r w:rsidR="00221F37" w:rsidRPr="00AC0841">
        <w:t> </w:t>
      </w:r>
      <w:r w:rsidR="00221F37" w:rsidRPr="00AC0841">
        <w:rPr>
          <w:b/>
        </w:rPr>
        <w:t>13 455</w:t>
      </w:r>
      <w:r w:rsidRPr="00AC0841">
        <w:t xml:space="preserve"> študentov</w:t>
      </w:r>
      <w:r w:rsidR="0026515B" w:rsidRPr="00AC0841">
        <w:t>,</w:t>
      </w:r>
      <w:r w:rsidR="008C37EA" w:rsidRPr="00AC0841">
        <w:t xml:space="preserve"> o</w:t>
      </w:r>
      <w:r w:rsidR="00221F37" w:rsidRPr="00AC0841">
        <w:t> 7,12 </w:t>
      </w:r>
      <w:r w:rsidR="0026515B" w:rsidRPr="00AC0841">
        <w:t>%</w:t>
      </w:r>
      <w:r w:rsidRPr="00AC0841">
        <w:t>).</w:t>
      </w:r>
      <w:r w:rsidR="0074625D" w:rsidRPr="00AC0841">
        <w:rPr>
          <w:b/>
        </w:rPr>
        <w:t xml:space="preserve"> </w:t>
      </w:r>
      <w:r w:rsidR="00F81EBE" w:rsidRPr="00AC0841">
        <w:t>V</w:t>
      </w:r>
      <w:r w:rsidR="00A56D4C" w:rsidRPr="00AC0841">
        <w:t>erejné vysoké školy zaznamenali</w:t>
      </w:r>
      <w:r w:rsidR="00A56D4C" w:rsidRPr="00AC0841">
        <w:rPr>
          <w:b/>
        </w:rPr>
        <w:t xml:space="preserve"> </w:t>
      </w:r>
      <w:r w:rsidR="00A56D4C" w:rsidRPr="00AC0841">
        <w:t>m</w:t>
      </w:r>
      <w:r w:rsidR="00231B0C" w:rsidRPr="00AC0841">
        <w:t xml:space="preserve">edziročný </w:t>
      </w:r>
      <w:r w:rsidR="00994AA7" w:rsidRPr="00AC0841">
        <w:t>pokles</w:t>
      </w:r>
      <w:r w:rsidR="00231B0C" w:rsidRPr="00AC0841">
        <w:t xml:space="preserve"> </w:t>
      </w:r>
      <w:r w:rsidR="00801657" w:rsidRPr="00AC0841">
        <w:t xml:space="preserve">počtu študentov </w:t>
      </w:r>
      <w:r w:rsidR="00231B0C" w:rsidRPr="00AC0841">
        <w:t>o</w:t>
      </w:r>
      <w:r w:rsidR="00221F37" w:rsidRPr="00AC0841">
        <w:t> </w:t>
      </w:r>
      <w:r w:rsidR="00221F37" w:rsidRPr="00AC0841">
        <w:rPr>
          <w:b/>
        </w:rPr>
        <w:t>9 133</w:t>
      </w:r>
      <w:r w:rsidR="00231B0C" w:rsidRPr="00AC0841">
        <w:t xml:space="preserve">, </w:t>
      </w:r>
      <w:r w:rsidR="00A56D4C" w:rsidRPr="00AC0841">
        <w:t>na súkr</w:t>
      </w:r>
      <w:r w:rsidR="00C17AD7" w:rsidRPr="00AC0841">
        <w:t xml:space="preserve">omných vysokých školách </w:t>
      </w:r>
      <w:r w:rsidR="00261D20" w:rsidRPr="00AC0841">
        <w:t xml:space="preserve">počet študentov </w:t>
      </w:r>
      <w:r w:rsidR="00C7564B" w:rsidRPr="00AC0841">
        <w:t>klesol</w:t>
      </w:r>
      <w:r w:rsidR="00261D20" w:rsidRPr="00AC0841">
        <w:t xml:space="preserve"> o</w:t>
      </w:r>
      <w:r w:rsidR="00221F37" w:rsidRPr="00AC0841">
        <w:t> </w:t>
      </w:r>
      <w:r w:rsidR="00221F37" w:rsidRPr="00AC0841">
        <w:rPr>
          <w:b/>
        </w:rPr>
        <w:t>4 322</w:t>
      </w:r>
      <w:r w:rsidR="00C17AD7" w:rsidRPr="00AC0841">
        <w:t xml:space="preserve"> študentov</w:t>
      </w:r>
      <w:r w:rsidR="0007285D" w:rsidRPr="00AC0841">
        <w:t>.</w:t>
      </w:r>
      <w:r w:rsidR="00AD3D98" w:rsidRPr="00AC0841">
        <w:t xml:space="preserve"> Podiel študentov na súkromných vysokých školách tak medziročne </w:t>
      </w:r>
      <w:r w:rsidR="00C7564B" w:rsidRPr="00AC0841">
        <w:t>klesol</w:t>
      </w:r>
      <w:r w:rsidR="00AD3D98" w:rsidRPr="00AC0841">
        <w:t xml:space="preserve"> </w:t>
      </w:r>
      <w:r w:rsidR="00A53FB8" w:rsidRPr="00AC0841">
        <w:t xml:space="preserve">na </w:t>
      </w:r>
      <w:r w:rsidR="00A53FB8" w:rsidRPr="00AC0841">
        <w:rPr>
          <w:b/>
        </w:rPr>
        <w:t>15</w:t>
      </w:r>
      <w:r w:rsidR="00221F37" w:rsidRPr="00AC0841">
        <w:rPr>
          <w:b/>
        </w:rPr>
        <w:t>,</w:t>
      </w:r>
      <w:r w:rsidR="00A53FB8" w:rsidRPr="00AC0841">
        <w:rPr>
          <w:b/>
        </w:rPr>
        <w:t>87</w:t>
      </w:r>
      <w:r w:rsidR="00221F37" w:rsidRPr="00AC0841">
        <w:rPr>
          <w:b/>
        </w:rPr>
        <w:t> </w:t>
      </w:r>
      <w:r w:rsidR="00AD3D98" w:rsidRPr="00AC0841">
        <w:rPr>
          <w:b/>
        </w:rPr>
        <w:t>%</w:t>
      </w:r>
      <w:r w:rsidR="00221F37" w:rsidRPr="00AC0841">
        <w:rPr>
          <w:b/>
        </w:rPr>
        <w:t xml:space="preserve"> </w:t>
      </w:r>
      <w:r w:rsidR="00221F37" w:rsidRPr="00AC0841">
        <w:t>v porovnaní s predchádzajúcim rokom</w:t>
      </w:r>
      <w:r w:rsidR="00AD3D98" w:rsidRPr="00AC0841">
        <w:rPr>
          <w:b/>
        </w:rPr>
        <w:t>.</w:t>
      </w:r>
    </w:p>
    <w:p w:rsidR="001E6BEA" w:rsidRPr="00AC0841" w:rsidRDefault="00C22289" w:rsidP="001E6BEA">
      <w:pPr>
        <w:pStyle w:val="Zoznam1"/>
        <w:spacing w:before="240"/>
      </w:pPr>
      <w:r w:rsidRPr="00AC0841">
        <w:t>Podiel žien na celko</w:t>
      </w:r>
      <w:r w:rsidR="000B3E4F" w:rsidRPr="00AC0841">
        <w:t>vom počte študentov vysokých</w:t>
      </w:r>
      <w:r w:rsidRPr="00AC0841">
        <w:t xml:space="preserve"> škôl dosiahol v roku 2014 hodnotu 59,58 %. V prípade verejných vysokých škôl to bolo 58,65 % a na súkromných školách </w:t>
      </w:r>
      <w:r w:rsidRPr="00AC0841">
        <w:lastRenderedPageBreak/>
        <w:t xml:space="preserve">64,50 %. Z hľadiska formy štúdia mali </w:t>
      </w:r>
      <w:r w:rsidR="006831FB">
        <w:t xml:space="preserve">ženy </w:t>
      </w:r>
      <w:r w:rsidRPr="00AC0841">
        <w:t>najvýraznejšie zastúpenie v rámci externého štúdia na prvom a druhom stupni, kde ich podiel dosiahol 65,88 %. Najv</w:t>
      </w:r>
      <w:r w:rsidR="000B3E4F" w:rsidRPr="00AC0841">
        <w:t>yšší</w:t>
      </w:r>
      <w:r w:rsidRPr="00AC0841">
        <w:t xml:space="preserve"> podiel</w:t>
      </w:r>
      <w:r w:rsidR="000B3E4F" w:rsidRPr="00AC0841">
        <w:t xml:space="preserve"> žien bol</w:t>
      </w:r>
      <w:r w:rsidRPr="00AC0841">
        <w:t xml:space="preserve"> na UVLF Košice, kde bolo v roku 2014 viac ako osemdesiat percent (80,18 %) študentov ženského pohlavia</w:t>
      </w:r>
      <w:r w:rsidR="00C2109F" w:rsidRPr="00AC0841">
        <w:t>.</w:t>
      </w:r>
    </w:p>
    <w:p w:rsidR="00C22289" w:rsidRDefault="00096DB3" w:rsidP="00C2109F">
      <w:pPr>
        <w:pStyle w:val="Zoznam1"/>
        <w:numPr>
          <w:ilvl w:val="0"/>
          <w:numId w:val="0"/>
        </w:numPr>
      </w:pPr>
      <w:r>
        <w:rPr>
          <w:noProof/>
          <w:lang w:eastAsia="sk-SK"/>
        </w:rPr>
        <w:drawing>
          <wp:inline distT="0" distB="0" distL="0" distR="0">
            <wp:extent cx="5518150" cy="1835150"/>
            <wp:effectExtent l="0" t="0" r="25400" b="12700"/>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6B77" w:rsidRPr="005E5FF1" w:rsidRDefault="00CC46AA" w:rsidP="00B47A4A">
      <w:pPr>
        <w:pStyle w:val="Popis"/>
        <w:keepNext/>
        <w:spacing w:after="240"/>
        <w:jc w:val="center"/>
      </w:pPr>
      <w:bookmarkStart w:id="32" w:name="_Toc427053638"/>
      <w:bookmarkStart w:id="33" w:name="_Toc427744997"/>
      <w:r w:rsidRPr="00AC0841">
        <w:t xml:space="preserve">Graf č. </w:t>
      </w:r>
      <w:r w:rsidR="00B71273">
        <w:fldChar w:fldCharType="begin"/>
      </w:r>
      <w:r w:rsidR="00B71273">
        <w:instrText xml:space="preserve"> SEQ Graf_č. \* ARABIC </w:instrText>
      </w:r>
      <w:r w:rsidR="00B71273">
        <w:fldChar w:fldCharType="separate"/>
      </w:r>
      <w:r w:rsidR="005010AB">
        <w:rPr>
          <w:noProof/>
        </w:rPr>
        <w:t>1</w:t>
      </w:r>
      <w:r w:rsidR="00B71273">
        <w:rPr>
          <w:noProof/>
        </w:rPr>
        <w:fldChar w:fldCharType="end"/>
      </w:r>
      <w:r w:rsidRPr="00AC0841">
        <w:t xml:space="preserve"> Vývoj počtu študentov na vysokých školách</w:t>
      </w:r>
      <w:bookmarkEnd w:id="32"/>
      <w:bookmarkEnd w:id="33"/>
    </w:p>
    <w:p w:rsidR="007571ED" w:rsidRPr="00AC0841" w:rsidRDefault="004076B0" w:rsidP="00C2109F">
      <w:pPr>
        <w:pStyle w:val="Zoznam1"/>
      </w:pPr>
      <w:r w:rsidRPr="00AC0841">
        <w:t>Klesajúca tendencia počtu študentov</w:t>
      </w:r>
      <w:r w:rsidR="00392AD9" w:rsidRPr="00AC0841">
        <w:t xml:space="preserve"> vysokých škôl</w:t>
      </w:r>
      <w:r w:rsidRPr="00AC0841">
        <w:t xml:space="preserve"> sa prejavuje aj v oblasti výrazného znižovania počtu novoprijatých </w:t>
      </w:r>
      <w:r w:rsidR="006831FB">
        <w:t xml:space="preserve">študentov </w:t>
      </w:r>
      <w:r w:rsidRPr="00AC0841">
        <w:t xml:space="preserve">na súkromné vysoké školy. Maximálny počet novoprijatých </w:t>
      </w:r>
      <w:r w:rsidR="006831FB">
        <w:t xml:space="preserve">študentov </w:t>
      </w:r>
      <w:r w:rsidRPr="00AC0841">
        <w:t>na súkromné vysoké školy bol dosiahnutý v roku 2008 (11 840), v roku 201</w:t>
      </w:r>
      <w:r w:rsidR="00AC3EEF" w:rsidRPr="00AC0841">
        <w:t>4</w:t>
      </w:r>
      <w:r w:rsidRPr="00AC0841">
        <w:t xml:space="preserve"> bolo prijatých </w:t>
      </w:r>
      <w:r w:rsidR="00AC3EEF" w:rsidRPr="0064771F">
        <w:t>3 810</w:t>
      </w:r>
      <w:r w:rsidR="00392AD9" w:rsidRPr="00AC0841">
        <w:t xml:space="preserve"> (medziročný</w:t>
      </w:r>
      <w:r w:rsidR="00AC3EEF" w:rsidRPr="00AC0841">
        <w:t xml:space="preserve"> pokles o 20,11 </w:t>
      </w:r>
      <w:r w:rsidR="00392AD9" w:rsidRPr="00AC0841">
        <w:t>%)</w:t>
      </w:r>
      <w:r w:rsidRPr="00AC0841">
        <w:t>. V prípade verejných vysokých škôl bol maximálny počet novoprijatých v roku 2006 (57 319), v roku 201</w:t>
      </w:r>
      <w:r w:rsidR="00AC3EEF" w:rsidRPr="00AC0841">
        <w:t>4</w:t>
      </w:r>
      <w:r w:rsidRPr="00AC0841">
        <w:t xml:space="preserve"> bolo </w:t>
      </w:r>
      <w:r w:rsidR="00AC3EEF" w:rsidRPr="0064771F">
        <w:t>29 985</w:t>
      </w:r>
      <w:r w:rsidRPr="00AC0841">
        <w:t xml:space="preserve"> novoprijatých</w:t>
      </w:r>
      <w:r w:rsidR="00392AD9" w:rsidRPr="00AC0841">
        <w:t xml:space="preserve"> (medziročný pokles o</w:t>
      </w:r>
      <w:r w:rsidR="00EA58F3" w:rsidRPr="00AC0841">
        <w:t> 8,61 </w:t>
      </w:r>
      <w:r w:rsidRPr="00AC0841">
        <w:t>%</w:t>
      </w:r>
      <w:r w:rsidR="00392AD9" w:rsidRPr="00AC0841">
        <w:t>)</w:t>
      </w:r>
      <w:r w:rsidR="009929DD" w:rsidRPr="00AC0841">
        <w:t>.</w:t>
      </w:r>
    </w:p>
    <w:p w:rsidR="004459B3" w:rsidRPr="00AC0841" w:rsidRDefault="004459B3" w:rsidP="00C2109F">
      <w:pPr>
        <w:pStyle w:val="Zoznam1"/>
      </w:pPr>
      <w:r w:rsidRPr="00AC0841">
        <w:t xml:space="preserve">Z hľadiska formy štúdia pokračoval </w:t>
      </w:r>
      <w:r w:rsidRPr="00AC0841">
        <w:rPr>
          <w:b/>
        </w:rPr>
        <w:t>pokles podielu študentov v externej forme</w:t>
      </w:r>
      <w:r w:rsidRPr="00AC0841">
        <w:t xml:space="preserve">, keď ich podiel na celkovom počte študentov </w:t>
      </w:r>
      <w:r w:rsidR="00221F37" w:rsidRPr="00AC0841">
        <w:rPr>
          <w:b/>
        </w:rPr>
        <w:t>v roku 2014 poklesol na 25,79 %</w:t>
      </w:r>
      <w:r w:rsidR="007438BE" w:rsidRPr="00AC0841">
        <w:rPr>
          <w:b/>
        </w:rPr>
        <w:t xml:space="preserve"> </w:t>
      </w:r>
      <w:r w:rsidR="007438BE" w:rsidRPr="00AC0841">
        <w:t>(v roku 20</w:t>
      </w:r>
      <w:r w:rsidR="00236C64" w:rsidRPr="00AC0841">
        <w:t>1</w:t>
      </w:r>
      <w:r w:rsidR="00221F37" w:rsidRPr="00AC0841">
        <w:t>3 to bolo</w:t>
      </w:r>
      <w:r w:rsidR="007438BE" w:rsidRPr="00AC0841">
        <w:t xml:space="preserve"> </w:t>
      </w:r>
      <w:r w:rsidR="00221F37" w:rsidRPr="00AC0841">
        <w:t>27,80 </w:t>
      </w:r>
      <w:r w:rsidR="007438BE" w:rsidRPr="00AC0841">
        <w:t>%)</w:t>
      </w:r>
      <w:r w:rsidRPr="00AC0841">
        <w:t>.</w:t>
      </w:r>
    </w:p>
    <w:p w:rsidR="00CC3FEB" w:rsidRPr="00AC0841" w:rsidRDefault="00CC3FEB" w:rsidP="00C2109F">
      <w:pPr>
        <w:pStyle w:val="Zoznam1"/>
      </w:pPr>
      <w:r w:rsidRPr="00AC0841">
        <w:rPr>
          <w:b/>
        </w:rPr>
        <w:t>Počet doktorandov</w:t>
      </w:r>
      <w:r w:rsidRPr="00AC0841">
        <w:t xml:space="preserve"> </w:t>
      </w:r>
      <w:r w:rsidR="00B368C8" w:rsidRPr="00AC0841">
        <w:t xml:space="preserve">v dennej aj externej forme štúdia na verejných aj súkromných vysokých školách </w:t>
      </w:r>
      <w:r w:rsidRPr="00AC0841">
        <w:t xml:space="preserve">medziročne </w:t>
      </w:r>
      <w:r w:rsidR="00851EAD" w:rsidRPr="00AC0841">
        <w:rPr>
          <w:b/>
        </w:rPr>
        <w:t>pokles</w:t>
      </w:r>
      <w:r w:rsidRPr="00AC0841">
        <w:rPr>
          <w:b/>
        </w:rPr>
        <w:t>ol o</w:t>
      </w:r>
      <w:r w:rsidR="007B5720" w:rsidRPr="00AC0841">
        <w:rPr>
          <w:b/>
        </w:rPr>
        <w:t> </w:t>
      </w:r>
      <w:r w:rsidR="00E85417" w:rsidRPr="00AC0841">
        <w:rPr>
          <w:b/>
        </w:rPr>
        <w:t>901</w:t>
      </w:r>
      <w:r w:rsidRPr="00AC0841">
        <w:rPr>
          <w:b/>
        </w:rPr>
        <w:t xml:space="preserve"> študentov</w:t>
      </w:r>
      <w:r w:rsidR="00147465" w:rsidRPr="00AC0841">
        <w:rPr>
          <w:b/>
        </w:rPr>
        <w:t xml:space="preserve"> (10,26 %)</w:t>
      </w:r>
      <w:r w:rsidR="00B368C8" w:rsidRPr="00AC0841">
        <w:rPr>
          <w:b/>
        </w:rPr>
        <w:t>.</w:t>
      </w:r>
      <w:r w:rsidRPr="00AC0841">
        <w:t xml:space="preserve"> </w:t>
      </w:r>
      <w:r w:rsidR="00B368C8" w:rsidRPr="00AC0841">
        <w:t>V</w:t>
      </w:r>
      <w:r w:rsidRPr="00AC0841">
        <w:t xml:space="preserve"> dennej forme štúdia medziročne </w:t>
      </w:r>
      <w:r w:rsidR="00BF1344" w:rsidRPr="00AC0841">
        <w:t>klesol</w:t>
      </w:r>
      <w:r w:rsidRPr="00AC0841">
        <w:t xml:space="preserve"> o </w:t>
      </w:r>
      <w:r w:rsidR="00147465" w:rsidRPr="00AC0841">
        <w:t>518</w:t>
      </w:r>
      <w:r w:rsidRPr="00AC0841">
        <w:t xml:space="preserve"> doktorandov</w:t>
      </w:r>
      <w:r w:rsidR="00392AD9" w:rsidRPr="00AC0841">
        <w:t xml:space="preserve"> (</w:t>
      </w:r>
      <w:r w:rsidR="00147465" w:rsidRPr="00AC0841">
        <w:t>10,27 %</w:t>
      </w:r>
      <w:r w:rsidR="00B9138A" w:rsidRPr="00AC0841">
        <w:t>)</w:t>
      </w:r>
      <w:r w:rsidR="00851EAD" w:rsidRPr="00AC0841">
        <w:t xml:space="preserve">, </w:t>
      </w:r>
      <w:r w:rsidR="00296B32" w:rsidRPr="00AC0841">
        <w:t xml:space="preserve">v externej forme </w:t>
      </w:r>
      <w:r w:rsidR="007B5720" w:rsidRPr="00AC0841">
        <w:t>bol zaznamenaný pokles</w:t>
      </w:r>
      <w:r w:rsidR="00851EAD" w:rsidRPr="00AC0841">
        <w:t xml:space="preserve"> </w:t>
      </w:r>
      <w:r w:rsidR="00296B32" w:rsidRPr="00AC0841">
        <w:t>o</w:t>
      </w:r>
      <w:r w:rsidR="006933DD">
        <w:t> </w:t>
      </w:r>
      <w:r w:rsidR="00147465" w:rsidRPr="00AC0841">
        <w:t>383</w:t>
      </w:r>
      <w:r w:rsidR="00296B32" w:rsidRPr="00AC0841">
        <w:t xml:space="preserve"> študentov</w:t>
      </w:r>
      <w:r w:rsidR="001F4CC8" w:rsidRPr="00AC0841">
        <w:t xml:space="preserve"> (10</w:t>
      </w:r>
      <w:r w:rsidR="00FC008D" w:rsidRPr="00AC0841">
        <w:t>,24</w:t>
      </w:r>
      <w:r w:rsidR="001F4CC8" w:rsidRPr="00AC0841">
        <w:t> %)</w:t>
      </w:r>
      <w:r w:rsidR="00851EAD" w:rsidRPr="00AC0841">
        <w:t>.</w:t>
      </w:r>
      <w:r w:rsidR="00AC3EEF" w:rsidRPr="00AC0841">
        <w:t xml:space="preserve"> </w:t>
      </w:r>
      <w:r w:rsidR="00BF1344" w:rsidRPr="00AC0841">
        <w:t>N</w:t>
      </w:r>
      <w:r w:rsidR="00851EAD" w:rsidRPr="00AC0841">
        <w:t>a</w:t>
      </w:r>
      <w:r w:rsidR="00775D5D" w:rsidRPr="00AC0841">
        <w:t> </w:t>
      </w:r>
      <w:r w:rsidR="00851EAD" w:rsidRPr="00AC0841">
        <w:t>verejných vysokých školách bol počet študujúcich v doktorandskom štúdiu v porovnaní s predchádzajúcim rokom nižší o</w:t>
      </w:r>
      <w:r w:rsidR="001F4CC8" w:rsidRPr="00AC0841">
        <w:t> 822 (medziročný pokles o 9,98 %)</w:t>
      </w:r>
      <w:r w:rsidR="00296B32" w:rsidRPr="00AC0841">
        <w:t>, na súkromných vysokých školách</w:t>
      </w:r>
      <w:r w:rsidR="00851EAD" w:rsidRPr="00AC0841">
        <w:t xml:space="preserve"> sa ich počet </w:t>
      </w:r>
      <w:r w:rsidR="00BF1344" w:rsidRPr="00AC0841">
        <w:t>znížil o</w:t>
      </w:r>
      <w:r w:rsidR="00775D5D" w:rsidRPr="00AC0841">
        <w:t> </w:t>
      </w:r>
      <w:r w:rsidR="001F4CC8" w:rsidRPr="00AC0841">
        <w:t>7</w:t>
      </w:r>
      <w:r w:rsidR="00E85417" w:rsidRPr="00AC0841">
        <w:t>9</w:t>
      </w:r>
      <w:r w:rsidRPr="00AC0841">
        <w:t xml:space="preserve">. Podiel doktorandov na celkovom počte študentov predstavoval </w:t>
      </w:r>
      <w:r w:rsidR="007B5720" w:rsidRPr="00AC0841">
        <w:t>5,</w:t>
      </w:r>
      <w:r w:rsidR="001F4CC8" w:rsidRPr="00AC0841">
        <w:t>0</w:t>
      </w:r>
      <w:r w:rsidR="00E85417" w:rsidRPr="00AC0841">
        <w:t>1</w:t>
      </w:r>
      <w:r w:rsidR="001F4CC8" w:rsidRPr="00AC0841">
        <w:t> </w:t>
      </w:r>
      <w:r w:rsidRPr="00AC0841">
        <w:t>%.</w:t>
      </w:r>
      <w:r w:rsidR="00AC3EEF" w:rsidRPr="00AC0841">
        <w:t xml:space="preserve"> Najvyšší medziročný </w:t>
      </w:r>
      <w:r w:rsidR="00AC3EEF" w:rsidRPr="00AC0841">
        <w:rPr>
          <w:b/>
        </w:rPr>
        <w:t>pokles</w:t>
      </w:r>
      <w:r w:rsidR="00AC3EEF" w:rsidRPr="00AC0841">
        <w:t xml:space="preserve"> </w:t>
      </w:r>
      <w:r w:rsidR="00E13E3B">
        <w:t>o 239</w:t>
      </w:r>
      <w:r w:rsidR="00AC3EEF" w:rsidRPr="00AC0841">
        <w:t xml:space="preserve"> doktorandov bol zaznamenaný na UK Bratislava, za ktorou nasledovala STU Bratislava s medziročným poklesom o 143 doktorandov. Najvýraznejší medziročný nárast počtu doktorandov mala PEVŠ Bratislava 13 a</w:t>
      </w:r>
      <w:r w:rsidR="006831FB">
        <w:t> </w:t>
      </w:r>
      <w:r w:rsidR="00AC3EEF" w:rsidRPr="00AC0841">
        <w:t>o</w:t>
      </w:r>
      <w:r w:rsidR="006831FB">
        <w:t xml:space="preserve"> 10</w:t>
      </w:r>
      <w:r w:rsidR="00AC3EEF" w:rsidRPr="00AC0841">
        <w:t xml:space="preserve"> sa medziročne zvýšil počet doktorandov na</w:t>
      </w:r>
      <w:r w:rsidR="00E13E3B">
        <w:t> </w:t>
      </w:r>
      <w:r w:rsidR="00AC3EEF" w:rsidRPr="00AC0841">
        <w:t>UMB Banská Bystrica.</w:t>
      </w:r>
    </w:p>
    <w:p w:rsidR="00E95F66" w:rsidRPr="00AC0841" w:rsidRDefault="00E95F66" w:rsidP="00C2109F">
      <w:pPr>
        <w:pStyle w:val="Zoznam1"/>
      </w:pPr>
      <w:r w:rsidRPr="00AC0841">
        <w:rPr>
          <w:b/>
        </w:rPr>
        <w:t>Počet cudzincov</w:t>
      </w:r>
      <w:r w:rsidRPr="00AC0841">
        <w:t xml:space="preserve"> študujúcich v </w:t>
      </w:r>
      <w:r w:rsidR="004C4F33">
        <w:t>SR</w:t>
      </w:r>
      <w:r w:rsidRPr="00AC0841">
        <w:t xml:space="preserve"> medziročne </w:t>
      </w:r>
      <w:r w:rsidR="001F4CC8" w:rsidRPr="00AC0841">
        <w:rPr>
          <w:b/>
        </w:rPr>
        <w:t>klesol</w:t>
      </w:r>
      <w:r w:rsidRPr="00AC0841">
        <w:rPr>
          <w:b/>
        </w:rPr>
        <w:t xml:space="preserve"> o </w:t>
      </w:r>
      <w:r w:rsidR="001F4CC8" w:rsidRPr="00AC0841">
        <w:rPr>
          <w:b/>
        </w:rPr>
        <w:t>319</w:t>
      </w:r>
      <w:r w:rsidRPr="00AC0841">
        <w:rPr>
          <w:b/>
        </w:rPr>
        <w:t xml:space="preserve"> </w:t>
      </w:r>
      <w:r w:rsidRPr="00AC0841">
        <w:t>študentov, ich podiel na celkovom počte študentov</w:t>
      </w:r>
      <w:r w:rsidR="00331BF8" w:rsidRPr="00AC0841">
        <w:t xml:space="preserve"> sa však </w:t>
      </w:r>
      <w:r w:rsidR="00C06C6F" w:rsidRPr="00AC0841">
        <w:t>zvýšil</w:t>
      </w:r>
      <w:r w:rsidR="00331BF8" w:rsidRPr="00AC0841">
        <w:t xml:space="preserve"> o 0,</w:t>
      </w:r>
      <w:r w:rsidR="001F4CC8" w:rsidRPr="00AC0841">
        <w:t>26</w:t>
      </w:r>
      <w:r w:rsidR="00331BF8" w:rsidRPr="00AC0841">
        <w:t xml:space="preserve"> percentuálneho bodu (</w:t>
      </w:r>
      <w:r w:rsidR="00A81248">
        <w:t xml:space="preserve">na </w:t>
      </w:r>
      <w:r w:rsidR="001F4CC8" w:rsidRPr="00AC0841">
        <w:t>5,97 </w:t>
      </w:r>
      <w:r w:rsidR="00331BF8" w:rsidRPr="00AC0841">
        <w:t>%)</w:t>
      </w:r>
      <w:r w:rsidRPr="00AC0841">
        <w:t>.</w:t>
      </w:r>
      <w:r w:rsidR="001F4CC8" w:rsidRPr="00AC0841">
        <w:t xml:space="preserve"> Ženy boli medzi zahraničnými študentmi zastúpené 57,40 % podielom, pričom v prípade súkromných vysokých škôl ich podiel v rámci zahraničných študentov dosiahol 71,0 %. </w:t>
      </w:r>
    </w:p>
    <w:p w:rsidR="001751C6" w:rsidRPr="00AC0841" w:rsidRDefault="001641F6" w:rsidP="00C2109F">
      <w:pPr>
        <w:pStyle w:val="Zoznam1"/>
      </w:pPr>
      <w:r w:rsidRPr="00AC0841">
        <w:t xml:space="preserve">Z pohľadu štatistickej klasifikácie odborov vzdelania </w:t>
      </w:r>
      <w:r w:rsidR="00506F29" w:rsidRPr="00AC0841">
        <w:rPr>
          <w:b/>
        </w:rPr>
        <w:t>5</w:t>
      </w:r>
      <w:r w:rsidR="00331BF8" w:rsidRPr="00AC0841">
        <w:rPr>
          <w:b/>
        </w:rPr>
        <w:t>7</w:t>
      </w:r>
      <w:r w:rsidR="00506F29" w:rsidRPr="00AC0841">
        <w:rPr>
          <w:b/>
        </w:rPr>
        <w:t>,</w:t>
      </w:r>
      <w:r w:rsidR="00974756" w:rsidRPr="00AC0841">
        <w:rPr>
          <w:b/>
        </w:rPr>
        <w:t>32 </w:t>
      </w:r>
      <w:r w:rsidRPr="00AC0841">
        <w:rPr>
          <w:b/>
        </w:rPr>
        <w:t xml:space="preserve">% </w:t>
      </w:r>
      <w:r w:rsidR="00F82866" w:rsidRPr="00AC0841">
        <w:rPr>
          <w:b/>
        </w:rPr>
        <w:t xml:space="preserve">zo všetkých </w:t>
      </w:r>
      <w:r w:rsidRPr="00AC0841">
        <w:rPr>
          <w:b/>
        </w:rPr>
        <w:t>študentov študovalo spoločenské vedy</w:t>
      </w:r>
      <w:r w:rsidR="003B1088" w:rsidRPr="00AC0841">
        <w:rPr>
          <w:b/>
        </w:rPr>
        <w:t xml:space="preserve">, </w:t>
      </w:r>
      <w:r w:rsidRPr="00AC0841">
        <w:rPr>
          <w:b/>
        </w:rPr>
        <w:t>náuky</w:t>
      </w:r>
      <w:r w:rsidR="003B1088" w:rsidRPr="00AC0841">
        <w:rPr>
          <w:b/>
        </w:rPr>
        <w:t xml:space="preserve"> a</w:t>
      </w:r>
      <w:r w:rsidR="009C0F8F" w:rsidRPr="00AC0841">
        <w:rPr>
          <w:b/>
        </w:rPr>
        <w:t> </w:t>
      </w:r>
      <w:r w:rsidR="003B1088" w:rsidRPr="00AC0841">
        <w:rPr>
          <w:b/>
        </w:rPr>
        <w:t>služby</w:t>
      </w:r>
      <w:r w:rsidR="009C0F8F" w:rsidRPr="00AC0841">
        <w:rPr>
          <w:b/>
        </w:rPr>
        <w:t>.</w:t>
      </w:r>
      <w:r w:rsidRPr="00AC0841">
        <w:t xml:space="preserve"> </w:t>
      </w:r>
      <w:r w:rsidR="007E0667" w:rsidRPr="00AC0841">
        <w:t>Rovnako aj v prípade doktorandského štúdia je najviac doktorandov v sp</w:t>
      </w:r>
      <w:r w:rsidR="00974756" w:rsidRPr="00AC0841">
        <w:t>oločenských vedách a náukách (40,35 </w:t>
      </w:r>
      <w:r w:rsidR="007E0667" w:rsidRPr="00AC0841">
        <w:t xml:space="preserve">% doktorandov). </w:t>
      </w:r>
      <w:r w:rsidRPr="00AC0841">
        <w:t xml:space="preserve">V rámci súkromných vysokých škôl </w:t>
      </w:r>
      <w:r w:rsidR="007E0667" w:rsidRPr="00AC0841">
        <w:t xml:space="preserve">v spoločenských vedách, náukách a službách </w:t>
      </w:r>
      <w:r w:rsidRPr="00AC0841">
        <w:t xml:space="preserve">bolo </w:t>
      </w:r>
      <w:r w:rsidR="00974756" w:rsidRPr="00AC0841">
        <w:t>78,13 </w:t>
      </w:r>
      <w:r w:rsidRPr="00AC0841">
        <w:t>% študentov.</w:t>
      </w:r>
      <w:r w:rsidR="00974756" w:rsidRPr="00AC0841">
        <w:t xml:space="preserve"> Celkový podiel žien na vysokých školách dosiahol dominantné postavenie takmer vo všetkých skupinách odborov. Výnimku predstavovali iba technické vedy, náuky a služby </w:t>
      </w:r>
      <w:r w:rsidR="00974756" w:rsidRPr="00AC0841">
        <w:lastRenderedPageBreak/>
        <w:t xml:space="preserve">(25,70 %) a vojenské a bezpečnostné vedy a náuky (28,74 %). </w:t>
      </w:r>
      <w:r w:rsidR="00C22289" w:rsidRPr="00AC0841">
        <w:t>Najvýraznejšiu prevahu mali v prípade zdravotníckych odborov (74,85 %).</w:t>
      </w:r>
    </w:p>
    <w:p w:rsidR="0014696C" w:rsidRPr="00AC0841" w:rsidRDefault="00CC47D0" w:rsidP="00C2109F">
      <w:pPr>
        <w:pStyle w:val="Zoznam1"/>
      </w:pPr>
      <w:r w:rsidRPr="00AC0841">
        <w:t xml:space="preserve">V rámci spoločenských vied a náuk na prvých dvoch stupňoch vysokoškolského štúdia </w:t>
      </w:r>
      <w:r w:rsidR="00185CD7" w:rsidRPr="00AC0841">
        <w:t xml:space="preserve">najväčší podiel tvoria študenti </w:t>
      </w:r>
      <w:r w:rsidR="00FC4CA7" w:rsidRPr="00AC0841">
        <w:t>ekonomických vied (</w:t>
      </w:r>
      <w:r w:rsidR="009E4A65" w:rsidRPr="00AC0841">
        <w:t>30,96 </w:t>
      </w:r>
      <w:r w:rsidR="00FC4CA7" w:rsidRPr="00AC0841">
        <w:t>%</w:t>
      </w:r>
      <w:r w:rsidR="009E4A65" w:rsidRPr="00AC0841">
        <w:t>; v porovnaní s predchádzajúcim rokom pokles o 0,67 percentuálneho bodu</w:t>
      </w:r>
      <w:r w:rsidR="00FC4CA7" w:rsidRPr="00AC0841">
        <w:t>). V prípade súkromných vysokých škôl najväčší podiel tvoria študenti</w:t>
      </w:r>
      <w:r w:rsidR="007121CD" w:rsidRPr="00AC0841">
        <w:t xml:space="preserve"> </w:t>
      </w:r>
      <w:r w:rsidR="002F6B0F" w:rsidRPr="00AC0841">
        <w:t>psychologických</w:t>
      </w:r>
      <w:r w:rsidR="00DB791A" w:rsidRPr="00AC0841">
        <w:t xml:space="preserve"> vied (</w:t>
      </w:r>
      <w:r w:rsidR="009E4A65" w:rsidRPr="00AC0841">
        <w:t>39,62 </w:t>
      </w:r>
      <w:r w:rsidR="007121CD" w:rsidRPr="00AC0841">
        <w:t>% študentov súkromných vysokých škôl v skupine spoločenské vedy</w:t>
      </w:r>
      <w:r w:rsidR="003B1088" w:rsidRPr="00AC0841">
        <w:t xml:space="preserve">, </w:t>
      </w:r>
      <w:r w:rsidR="007121CD" w:rsidRPr="00AC0841">
        <w:t>náuky</w:t>
      </w:r>
      <w:r w:rsidR="003B1088" w:rsidRPr="00AC0841">
        <w:t xml:space="preserve"> a služby</w:t>
      </w:r>
      <w:r w:rsidR="009E4A65" w:rsidRPr="00AC0841">
        <w:t xml:space="preserve">, </w:t>
      </w:r>
      <w:r w:rsidR="007121CD" w:rsidRPr="00AC0841">
        <w:t>prvých dvoch stupňoch)</w:t>
      </w:r>
      <w:r w:rsidR="001735D7" w:rsidRPr="00AC0841">
        <w:t xml:space="preserve">, v rámci dennej formy štúdia najviac, a to </w:t>
      </w:r>
      <w:r w:rsidR="009E4A65" w:rsidRPr="00AC0841">
        <w:t>viac ako tretina</w:t>
      </w:r>
      <w:r w:rsidR="001735D7" w:rsidRPr="00AC0841">
        <w:t xml:space="preserve"> </w:t>
      </w:r>
      <w:r w:rsidR="00EF5140" w:rsidRPr="00AC0841">
        <w:t>(</w:t>
      </w:r>
      <w:r w:rsidR="009E4A65" w:rsidRPr="00AC0841">
        <w:t>34,14 </w:t>
      </w:r>
      <w:r w:rsidR="00EF5140" w:rsidRPr="00AC0841">
        <w:t xml:space="preserve">%) študentov </w:t>
      </w:r>
      <w:r w:rsidR="001735D7" w:rsidRPr="00AC0841">
        <w:t xml:space="preserve">súkromných vysokých škôl študuje </w:t>
      </w:r>
      <w:r w:rsidR="0048461D" w:rsidRPr="00AC0841">
        <w:t>ekonomické vedy</w:t>
      </w:r>
      <w:r w:rsidR="007121CD" w:rsidRPr="00AC0841">
        <w:t>.</w:t>
      </w:r>
    </w:p>
    <w:p w:rsidR="001641F6" w:rsidRPr="00AC0841" w:rsidRDefault="009807F7" w:rsidP="00C2109F">
      <w:pPr>
        <w:pStyle w:val="Zoznam1"/>
      </w:pPr>
      <w:r w:rsidRPr="00AC0841">
        <w:rPr>
          <w:b/>
        </w:rPr>
        <w:t xml:space="preserve">Na </w:t>
      </w:r>
      <w:r w:rsidR="00D22D2F" w:rsidRPr="00AC0841">
        <w:rPr>
          <w:b/>
        </w:rPr>
        <w:t>siedmich</w:t>
      </w:r>
      <w:r w:rsidRPr="00AC0841">
        <w:rPr>
          <w:b/>
        </w:rPr>
        <w:t xml:space="preserve"> </w:t>
      </w:r>
      <w:r w:rsidR="00635F4F" w:rsidRPr="00AC0841">
        <w:rPr>
          <w:b/>
        </w:rPr>
        <w:t xml:space="preserve">verejných </w:t>
      </w:r>
      <w:r w:rsidRPr="00AC0841">
        <w:rPr>
          <w:b/>
        </w:rPr>
        <w:t xml:space="preserve">vysokých školách študovalo </w:t>
      </w:r>
      <w:r w:rsidR="00635F4F" w:rsidRPr="00AC0841">
        <w:rPr>
          <w:b/>
        </w:rPr>
        <w:t xml:space="preserve">viac ako </w:t>
      </w:r>
      <w:r w:rsidR="00794B7E" w:rsidRPr="00AC0841">
        <w:rPr>
          <w:b/>
        </w:rPr>
        <w:t>polovica (</w:t>
      </w:r>
      <w:r w:rsidR="00635F4F" w:rsidRPr="00AC0841">
        <w:rPr>
          <w:b/>
        </w:rPr>
        <w:t>5</w:t>
      </w:r>
      <w:r w:rsidR="00C2132C" w:rsidRPr="00AC0841">
        <w:rPr>
          <w:b/>
        </w:rPr>
        <w:t>3</w:t>
      </w:r>
      <w:r w:rsidR="00674B95" w:rsidRPr="00AC0841">
        <w:rPr>
          <w:b/>
        </w:rPr>
        <w:t>,</w:t>
      </w:r>
      <w:r w:rsidR="00C2132C" w:rsidRPr="00AC0841">
        <w:rPr>
          <w:b/>
        </w:rPr>
        <w:t>44 </w:t>
      </w:r>
      <w:r w:rsidRPr="00AC0841">
        <w:rPr>
          <w:b/>
        </w:rPr>
        <w:t>%</w:t>
      </w:r>
      <w:r w:rsidR="00794B7E" w:rsidRPr="00AC0841">
        <w:rPr>
          <w:b/>
        </w:rPr>
        <w:t>)</w:t>
      </w:r>
      <w:r w:rsidRPr="00AC0841">
        <w:rPr>
          <w:b/>
        </w:rPr>
        <w:t xml:space="preserve"> študentov</w:t>
      </w:r>
      <w:r w:rsidRPr="00AC0841">
        <w:t>, pričom</w:t>
      </w:r>
      <w:r w:rsidR="00C2132C" w:rsidRPr="00AC0841">
        <w:t xml:space="preserve"> rovných</w:t>
      </w:r>
      <w:r w:rsidRPr="00AC0841">
        <w:t xml:space="preserve"> </w:t>
      </w:r>
      <w:r w:rsidR="00FA30CF" w:rsidRPr="00AC0841">
        <w:t>2</w:t>
      </w:r>
      <w:r w:rsidR="00C2132C" w:rsidRPr="00AC0841">
        <w:t>4 </w:t>
      </w:r>
      <w:r w:rsidR="00FA30CF" w:rsidRPr="00AC0841">
        <w:t>% št</w:t>
      </w:r>
      <w:r w:rsidRPr="00AC0841">
        <w:t>udentov študoval</w:t>
      </w:r>
      <w:r w:rsidR="00E13E3B">
        <w:t>o</w:t>
      </w:r>
      <w:r w:rsidRPr="00AC0841">
        <w:t xml:space="preserve"> na </w:t>
      </w:r>
      <w:r w:rsidR="00C07DC0" w:rsidRPr="00AC0841">
        <w:t>dvoch vysokých školách (</w:t>
      </w:r>
      <w:r w:rsidRPr="00AC0841">
        <w:t>UK</w:t>
      </w:r>
      <w:r w:rsidR="008A7B73">
        <w:t> </w:t>
      </w:r>
      <w:r w:rsidRPr="00AC0841">
        <w:t>Bratislava a STU Bratislava</w:t>
      </w:r>
      <w:r w:rsidR="00C07DC0" w:rsidRPr="00AC0841">
        <w:t>)</w:t>
      </w:r>
      <w:r w:rsidR="00081C17" w:rsidRPr="00AC0841">
        <w:t>. Najväčší podiel doktorandov z </w:t>
      </w:r>
      <w:r w:rsidRPr="00AC0841">
        <w:t>počt</w:t>
      </w:r>
      <w:r w:rsidR="00081C17" w:rsidRPr="00AC0841">
        <w:t>u</w:t>
      </w:r>
      <w:r w:rsidRPr="00AC0841">
        <w:t xml:space="preserve"> študentov</w:t>
      </w:r>
      <w:r w:rsidR="00C07DC0" w:rsidRPr="00AC0841">
        <w:t xml:space="preserve"> vysokej školy</w:t>
      </w:r>
      <w:r w:rsidRPr="00AC0841">
        <w:t xml:space="preserve"> mali</w:t>
      </w:r>
      <w:r w:rsidR="00C2132C" w:rsidRPr="00AC0841">
        <w:t xml:space="preserve"> VŠVU Bratislava (11,47 %),</w:t>
      </w:r>
      <w:r w:rsidRPr="00AC0841">
        <w:t xml:space="preserve"> </w:t>
      </w:r>
      <w:r w:rsidR="00C10F1F" w:rsidRPr="00AC0841">
        <w:t>A</w:t>
      </w:r>
      <w:r w:rsidR="00604CA5" w:rsidRPr="00AC0841">
        <w:t>U Banská Bystrica (</w:t>
      </w:r>
      <w:r w:rsidR="00C2132C" w:rsidRPr="00AC0841">
        <w:t>9,85 %)</w:t>
      </w:r>
      <w:r w:rsidR="00C10F1F" w:rsidRPr="00AC0841">
        <w:t xml:space="preserve"> a</w:t>
      </w:r>
      <w:r w:rsidR="00A13883" w:rsidRPr="00AC0841">
        <w:t xml:space="preserve"> </w:t>
      </w:r>
      <w:r w:rsidR="00674B95" w:rsidRPr="00AC0841">
        <w:t>UK</w:t>
      </w:r>
      <w:r w:rsidR="00312FE1" w:rsidRPr="00AC0841">
        <w:t xml:space="preserve"> Bratislava (</w:t>
      </w:r>
      <w:r w:rsidR="00C2132C" w:rsidRPr="00AC0841">
        <w:t>8,55 </w:t>
      </w:r>
      <w:r w:rsidRPr="00AC0841">
        <w:t>%).</w:t>
      </w:r>
      <w:r w:rsidR="00354277" w:rsidRPr="00AC0841">
        <w:t xml:space="preserve"> Najmenší podiel doktorandov </w:t>
      </w:r>
      <w:r w:rsidR="00081C17" w:rsidRPr="00AC0841">
        <w:t>z</w:t>
      </w:r>
      <w:r w:rsidR="00354277" w:rsidRPr="00AC0841">
        <w:t xml:space="preserve"> počt</w:t>
      </w:r>
      <w:r w:rsidR="00081C17" w:rsidRPr="00AC0841">
        <w:t>u</w:t>
      </w:r>
      <w:r w:rsidR="00354277" w:rsidRPr="00AC0841">
        <w:t xml:space="preserve"> študentov z </w:t>
      </w:r>
      <w:r w:rsidR="00A220AA" w:rsidRPr="00AC0841">
        <w:t>verejných</w:t>
      </w:r>
      <w:r w:rsidR="00354277" w:rsidRPr="00AC0841">
        <w:t xml:space="preserve"> vyso</w:t>
      </w:r>
      <w:r w:rsidR="00C07DC0" w:rsidRPr="00AC0841">
        <w:t>kých škôl mala UJS Komárno (</w:t>
      </w:r>
      <w:r w:rsidR="00C10F1F" w:rsidRPr="00AC0841">
        <w:t>1</w:t>
      </w:r>
      <w:r w:rsidR="00C07DC0" w:rsidRPr="00AC0841">
        <w:t>,</w:t>
      </w:r>
      <w:r w:rsidR="00674B95" w:rsidRPr="00AC0841">
        <w:t>7</w:t>
      </w:r>
      <w:r w:rsidR="00C2132C" w:rsidRPr="00AC0841">
        <w:t>0</w:t>
      </w:r>
      <w:r w:rsidR="00C07DC0" w:rsidRPr="00AC0841">
        <w:t> </w:t>
      </w:r>
      <w:r w:rsidR="00354277" w:rsidRPr="00AC0841">
        <w:t>%)</w:t>
      </w:r>
      <w:r w:rsidR="00081C17" w:rsidRPr="00AC0841">
        <w:t>. Najväčší podiel doktorandov z</w:t>
      </w:r>
      <w:r w:rsidR="00354277" w:rsidRPr="00AC0841">
        <w:t xml:space="preserve"> počt</w:t>
      </w:r>
      <w:r w:rsidR="00081C17" w:rsidRPr="00AC0841">
        <w:t>u</w:t>
      </w:r>
      <w:r w:rsidR="00354277" w:rsidRPr="00AC0841">
        <w:t xml:space="preserve"> študentov zo súkromných vysokých škôl mala </w:t>
      </w:r>
      <w:r w:rsidR="00173B83" w:rsidRPr="00AC0841">
        <w:t>P</w:t>
      </w:r>
      <w:r w:rsidR="00392AD9" w:rsidRPr="00AC0841">
        <w:t>EVŠ Bratislava</w:t>
      </w:r>
      <w:r w:rsidR="00354277" w:rsidRPr="00AC0841">
        <w:t xml:space="preserve"> (</w:t>
      </w:r>
      <w:r w:rsidR="00C2132C" w:rsidRPr="00AC0841">
        <w:t>6,03 </w:t>
      </w:r>
      <w:r w:rsidR="00354277" w:rsidRPr="00AC0841">
        <w:t xml:space="preserve">%). </w:t>
      </w:r>
      <w:r w:rsidR="005B1EB8" w:rsidRPr="00AC0841">
        <w:t>Najväčší podiel študentov cudzincov mal</w:t>
      </w:r>
      <w:r w:rsidR="00635F4F" w:rsidRPr="00AC0841">
        <w:t>a</w:t>
      </w:r>
      <w:r w:rsidR="005B1EB8" w:rsidRPr="00AC0841">
        <w:t xml:space="preserve"> </w:t>
      </w:r>
      <w:r w:rsidR="00C2132C" w:rsidRPr="00AC0841">
        <w:t>HUAJA Banská Štiavnica</w:t>
      </w:r>
      <w:r w:rsidR="00674B95" w:rsidRPr="00AC0841">
        <w:t xml:space="preserve"> </w:t>
      </w:r>
      <w:r w:rsidR="00D16C87" w:rsidRPr="00AC0841">
        <w:t>(</w:t>
      </w:r>
      <w:r w:rsidR="00242579" w:rsidRPr="00AC0841">
        <w:t>36,11 </w:t>
      </w:r>
      <w:r w:rsidR="00392AD9" w:rsidRPr="00AC0841">
        <w:t xml:space="preserve">%, </w:t>
      </w:r>
      <w:r w:rsidR="00D16C87" w:rsidRPr="00AC0841">
        <w:t>z </w:t>
      </w:r>
      <w:r w:rsidR="00242579" w:rsidRPr="00AC0841">
        <w:t>36</w:t>
      </w:r>
      <w:r w:rsidR="007E0667" w:rsidRPr="00AC0841">
        <w:t xml:space="preserve"> </w:t>
      </w:r>
      <w:r w:rsidR="00775D5D" w:rsidRPr="00AC0841">
        <w:t>študentov)</w:t>
      </w:r>
      <w:r w:rsidR="00D16C87" w:rsidRPr="00AC0841">
        <w:t>.</w:t>
      </w:r>
    </w:p>
    <w:p w:rsidR="00AD0D26" w:rsidRPr="00AC0841" w:rsidRDefault="00AD0D26" w:rsidP="00C2109F">
      <w:pPr>
        <w:pStyle w:val="Zoznam1"/>
        <w:rPr>
          <w:b/>
        </w:rPr>
      </w:pPr>
      <w:r w:rsidRPr="00AC0841">
        <w:t xml:space="preserve">Z hľadiska veku </w:t>
      </w:r>
      <w:r w:rsidR="00EA28EF" w:rsidRPr="00AC0841">
        <w:rPr>
          <w:b/>
        </w:rPr>
        <w:t>necelé</w:t>
      </w:r>
      <w:r w:rsidRPr="00AC0841">
        <w:rPr>
          <w:b/>
        </w:rPr>
        <w:t xml:space="preserve"> </w:t>
      </w:r>
      <w:r w:rsidR="00EC4ED8" w:rsidRPr="00AC0841">
        <w:rPr>
          <w:b/>
        </w:rPr>
        <w:t>dve tretiny</w:t>
      </w:r>
      <w:r w:rsidR="002F6B0F" w:rsidRPr="00AC0841">
        <w:rPr>
          <w:b/>
        </w:rPr>
        <w:t xml:space="preserve"> (6</w:t>
      </w:r>
      <w:r w:rsidR="00EA28EF" w:rsidRPr="00AC0841">
        <w:rPr>
          <w:b/>
        </w:rPr>
        <w:t>4,52 </w:t>
      </w:r>
      <w:r w:rsidR="002F6B0F" w:rsidRPr="00AC0841">
        <w:rPr>
          <w:b/>
        </w:rPr>
        <w:t>%)</w:t>
      </w:r>
      <w:r w:rsidR="00802B88" w:rsidRPr="00AC0841">
        <w:rPr>
          <w:b/>
        </w:rPr>
        <w:t xml:space="preserve"> </w:t>
      </w:r>
      <w:r w:rsidRPr="00AC0841">
        <w:rPr>
          <w:b/>
        </w:rPr>
        <w:t>študentov v dennej forme</w:t>
      </w:r>
      <w:r w:rsidRPr="00AC0841">
        <w:t xml:space="preserve"> štúdia v prvých dvoch stupňoch </w:t>
      </w:r>
      <w:r w:rsidR="00577293" w:rsidRPr="00AC0841">
        <w:t xml:space="preserve">vysokoškolského vzdelávania bolo vo veku </w:t>
      </w:r>
      <w:r w:rsidR="00577293" w:rsidRPr="00AC0841">
        <w:rPr>
          <w:b/>
        </w:rPr>
        <w:t>do 2</w:t>
      </w:r>
      <w:r w:rsidR="00047D96" w:rsidRPr="00AC0841">
        <w:rPr>
          <w:b/>
        </w:rPr>
        <w:t>2</w:t>
      </w:r>
      <w:r w:rsidR="00577293" w:rsidRPr="00AC0841">
        <w:rPr>
          <w:b/>
        </w:rPr>
        <w:t xml:space="preserve"> rokov</w:t>
      </w:r>
      <w:r w:rsidR="00A03927" w:rsidRPr="00AC0841">
        <w:t xml:space="preserve"> </w:t>
      </w:r>
      <w:r w:rsidR="007E0667" w:rsidRPr="00AC0841">
        <w:t>(</w:t>
      </w:r>
      <w:r w:rsidR="00A03927" w:rsidRPr="00AC0841">
        <w:t>vrátane</w:t>
      </w:r>
      <w:r w:rsidR="007E0667" w:rsidRPr="00AC0841">
        <w:t>)</w:t>
      </w:r>
      <w:r w:rsidR="00577293" w:rsidRPr="00AC0841">
        <w:t xml:space="preserve">. V prípade externej formy štúdia </w:t>
      </w:r>
      <w:r w:rsidR="00EA28EF" w:rsidRPr="00AC0841">
        <w:t>takmer</w:t>
      </w:r>
      <w:r w:rsidR="00577293" w:rsidRPr="00AC0841">
        <w:t xml:space="preserve"> polovica štude</w:t>
      </w:r>
      <w:r w:rsidR="00446F9B" w:rsidRPr="00AC0841">
        <w:t>nt</w:t>
      </w:r>
      <w:r w:rsidR="00E13E3B">
        <w:t>ov na prvých dvoch stupňoch bolo</w:t>
      </w:r>
      <w:r w:rsidR="00577293" w:rsidRPr="00AC0841">
        <w:t xml:space="preserve"> starších ako </w:t>
      </w:r>
      <w:r w:rsidR="00EC4ED8" w:rsidRPr="00AC0841">
        <w:t>29</w:t>
      </w:r>
      <w:r w:rsidR="00577293" w:rsidRPr="00AC0841">
        <w:t xml:space="preserve"> rokov</w:t>
      </w:r>
      <w:r w:rsidR="00EA28EF" w:rsidRPr="00AC0841">
        <w:t xml:space="preserve"> (vrátane)</w:t>
      </w:r>
      <w:r w:rsidR="00577293" w:rsidRPr="00AC0841">
        <w:t>.</w:t>
      </w:r>
      <w:r w:rsidR="00446F9B" w:rsidRPr="00AC0841">
        <w:t xml:space="preserve"> </w:t>
      </w:r>
      <w:r w:rsidR="002F6B0F" w:rsidRPr="00AC0841">
        <w:t>Takmer dve tretiny</w:t>
      </w:r>
      <w:r w:rsidR="00EA28EF" w:rsidRPr="00AC0841">
        <w:t xml:space="preserve"> (65,99 %)</w:t>
      </w:r>
      <w:r w:rsidR="00446F9B" w:rsidRPr="00AC0841">
        <w:t xml:space="preserve"> doktorandov v dennej forme štúdia mal</w:t>
      </w:r>
      <w:r w:rsidR="00C4049A" w:rsidRPr="00AC0841">
        <w:t>i</w:t>
      </w:r>
      <w:r w:rsidR="00446F9B" w:rsidRPr="00AC0841">
        <w:t xml:space="preserve"> vek do</w:t>
      </w:r>
      <w:r w:rsidR="00EC6F75" w:rsidRPr="00AC0841">
        <w:t> </w:t>
      </w:r>
      <w:r w:rsidR="00446F9B" w:rsidRPr="00AC0841">
        <w:t>27</w:t>
      </w:r>
      <w:r w:rsidR="00EC6F75" w:rsidRPr="00AC0841">
        <w:t> </w:t>
      </w:r>
      <w:r w:rsidR="00446F9B" w:rsidRPr="00AC0841">
        <w:t>rokov</w:t>
      </w:r>
      <w:r w:rsidR="00A553FC" w:rsidRPr="00AC0841">
        <w:t xml:space="preserve"> (vrátane)</w:t>
      </w:r>
      <w:r w:rsidR="00446F9B" w:rsidRPr="00AC0841">
        <w:t>, v externej forme štúdia bol</w:t>
      </w:r>
      <w:r w:rsidR="00C4049A" w:rsidRPr="00AC0841">
        <w:t>i</w:t>
      </w:r>
      <w:r w:rsidR="00446F9B" w:rsidRPr="00AC0841">
        <w:t xml:space="preserve"> </w:t>
      </w:r>
      <w:r w:rsidR="00EC4ED8" w:rsidRPr="00AC0841">
        <w:t>viac ako</w:t>
      </w:r>
      <w:r w:rsidR="00446F9B" w:rsidRPr="00AC0841">
        <w:t xml:space="preserve"> tri štvrtin</w:t>
      </w:r>
      <w:r w:rsidR="00C4049A" w:rsidRPr="00AC0841">
        <w:t>y</w:t>
      </w:r>
      <w:r w:rsidR="00446F9B" w:rsidRPr="00AC0841">
        <w:t xml:space="preserve"> doktorandov vo veku nad</w:t>
      </w:r>
      <w:r w:rsidR="00EC6F75" w:rsidRPr="00AC0841">
        <w:t> </w:t>
      </w:r>
      <w:r w:rsidR="00446F9B" w:rsidRPr="00AC0841">
        <w:t>29</w:t>
      </w:r>
      <w:r w:rsidR="00EC6F75" w:rsidRPr="00AC0841">
        <w:t> </w:t>
      </w:r>
      <w:r w:rsidR="00446F9B" w:rsidRPr="00AC0841">
        <w:t>rokov.</w:t>
      </w:r>
    </w:p>
    <w:p w:rsidR="00F77257" w:rsidRPr="00AC0841" w:rsidRDefault="00995E95" w:rsidP="00C2109F">
      <w:pPr>
        <w:pStyle w:val="Zoznam1"/>
      </w:pPr>
      <w:r w:rsidRPr="00AC0841">
        <w:t xml:space="preserve">V priebehu roka </w:t>
      </w:r>
      <w:r w:rsidR="00C20F20" w:rsidRPr="00AC0841">
        <w:t>201</w:t>
      </w:r>
      <w:r w:rsidR="00443491" w:rsidRPr="00AC0841">
        <w:t>4</w:t>
      </w:r>
      <w:r w:rsidR="00652A74" w:rsidRPr="00AC0841">
        <w:t xml:space="preserve"> </w:t>
      </w:r>
      <w:r w:rsidR="00652A74" w:rsidRPr="00AC0841">
        <w:rPr>
          <w:b/>
        </w:rPr>
        <w:t xml:space="preserve">riadne </w:t>
      </w:r>
      <w:r w:rsidR="00652A74" w:rsidRPr="00AC0841">
        <w:rPr>
          <w:b/>
          <w:bCs/>
        </w:rPr>
        <w:t>skončilo</w:t>
      </w:r>
      <w:r w:rsidR="00652A74" w:rsidRPr="00AC0841">
        <w:t xml:space="preserve"> vysokoškolské štúdium</w:t>
      </w:r>
      <w:r w:rsidRPr="00AC0841">
        <w:t xml:space="preserve"> </w:t>
      </w:r>
      <w:r w:rsidR="003162BB" w:rsidRPr="00AC0841">
        <w:t xml:space="preserve">(prvý až tretí stupeň) </w:t>
      </w:r>
      <w:r w:rsidR="00443491" w:rsidRPr="00AC0841">
        <w:rPr>
          <w:b/>
        </w:rPr>
        <w:t>62 012</w:t>
      </w:r>
      <w:r w:rsidRPr="00AC0841">
        <w:rPr>
          <w:b/>
        </w:rPr>
        <w:t xml:space="preserve"> študentov</w:t>
      </w:r>
      <w:r w:rsidR="007F03DF" w:rsidRPr="00AC0841">
        <w:rPr>
          <w:b/>
        </w:rPr>
        <w:t xml:space="preserve"> </w:t>
      </w:r>
      <w:r w:rsidR="007F03DF" w:rsidRPr="00AC0841">
        <w:t>(medziročný pokles o</w:t>
      </w:r>
      <w:r w:rsidR="00443491" w:rsidRPr="00AC0841">
        <w:t> 3 767</w:t>
      </w:r>
      <w:r w:rsidR="007F03DF" w:rsidRPr="00AC0841">
        <w:t xml:space="preserve"> absolventov)</w:t>
      </w:r>
      <w:r w:rsidRPr="00AC0841">
        <w:t xml:space="preserve">, z nich </w:t>
      </w:r>
      <w:r w:rsidR="00443491" w:rsidRPr="00AC0841">
        <w:t>38 807</w:t>
      </w:r>
      <w:r w:rsidR="00877031" w:rsidRPr="00AC0841">
        <w:t xml:space="preserve"> (</w:t>
      </w:r>
      <w:r w:rsidRPr="00AC0841">
        <w:t>6</w:t>
      </w:r>
      <w:r w:rsidR="00080095" w:rsidRPr="00AC0841">
        <w:t>2,</w:t>
      </w:r>
      <w:r w:rsidR="00443491" w:rsidRPr="00AC0841">
        <w:t>58 </w:t>
      </w:r>
      <w:r w:rsidRPr="00AC0841">
        <w:t>%</w:t>
      </w:r>
      <w:r w:rsidR="00877031" w:rsidRPr="00AC0841">
        <w:t>)</w:t>
      </w:r>
      <w:r w:rsidRPr="00AC0841">
        <w:t xml:space="preserve"> v spoločenských vedách, náukách a službách.</w:t>
      </w:r>
      <w:r w:rsidR="00F30201" w:rsidRPr="00AC0841">
        <w:t xml:space="preserve"> </w:t>
      </w:r>
      <w:r w:rsidR="00E13E3B">
        <w:t>V rámci t</w:t>
      </w:r>
      <w:r w:rsidR="00457504" w:rsidRPr="00AC0841">
        <w:t xml:space="preserve">echnických vied a náuk skončilo štúdium spolu </w:t>
      </w:r>
      <w:r w:rsidR="00443491" w:rsidRPr="00AC0841">
        <w:t>10 953</w:t>
      </w:r>
      <w:r w:rsidR="00080095" w:rsidRPr="00AC0841">
        <w:t xml:space="preserve"> študentov (17,</w:t>
      </w:r>
      <w:r w:rsidR="00443491" w:rsidRPr="00AC0841">
        <w:t>66 </w:t>
      </w:r>
      <w:r w:rsidR="00457504" w:rsidRPr="00AC0841">
        <w:t>%).</w:t>
      </w:r>
      <w:r w:rsidR="009A2183" w:rsidRPr="00AC0841">
        <w:t xml:space="preserve"> Absolventi dokt</w:t>
      </w:r>
      <w:r w:rsidR="009E16E2" w:rsidRPr="00AC0841">
        <w:t xml:space="preserve">orandského štúdia tvorili </w:t>
      </w:r>
      <w:r w:rsidR="00457504" w:rsidRPr="00AC0841">
        <w:t>3,</w:t>
      </w:r>
      <w:r w:rsidR="00443491" w:rsidRPr="00AC0841">
        <w:t>43</w:t>
      </w:r>
      <w:r w:rsidR="009A2183" w:rsidRPr="00AC0841">
        <w:t> % z počtu absolventov.</w:t>
      </w:r>
    </w:p>
    <w:p w:rsidR="008031C8" w:rsidRPr="00AC0841" w:rsidRDefault="008031C8" w:rsidP="00C2109F">
      <w:pPr>
        <w:pStyle w:val="Zoznam1"/>
      </w:pPr>
      <w:r w:rsidRPr="00AC0841">
        <w:t xml:space="preserve">Podrobnejšie údaje sú uvedené </w:t>
      </w:r>
      <w:r w:rsidRPr="00AC0841">
        <w:rPr>
          <w:b/>
        </w:rPr>
        <w:t>v tabuľkách č. 1 až 5.</w:t>
      </w:r>
    </w:p>
    <w:p w:rsidR="003D1987" w:rsidRPr="00AC0841" w:rsidRDefault="00D865E4" w:rsidP="00C2109F">
      <w:pPr>
        <w:pStyle w:val="Zoznam1"/>
      </w:pPr>
      <w:r w:rsidRPr="00AC0841">
        <w:t>Podľa údajov Ú</w:t>
      </w:r>
      <w:r w:rsidR="00A47621" w:rsidRPr="00AC0841">
        <w:t>stredia</w:t>
      </w:r>
      <w:r w:rsidRPr="00AC0841">
        <w:t xml:space="preserve"> práce, sociálnych vecí a rodiny </w:t>
      </w:r>
      <w:r w:rsidR="004C4F33">
        <w:t>SR</w:t>
      </w:r>
      <w:r w:rsidR="00081C17" w:rsidRPr="00AC0841">
        <w:t xml:space="preserve"> </w:t>
      </w:r>
      <w:r w:rsidRPr="00AC0841">
        <w:t>bolo v evidencii uchádzačov o zamestnanie v </w:t>
      </w:r>
      <w:r w:rsidR="00854358" w:rsidRPr="00AC0841">
        <w:t>decembri</w:t>
      </w:r>
      <w:r w:rsidRPr="00AC0841">
        <w:t xml:space="preserve"> </w:t>
      </w:r>
      <w:r w:rsidR="00C20F20" w:rsidRPr="00AC0841">
        <w:t>201</w:t>
      </w:r>
      <w:r w:rsidR="00854358" w:rsidRPr="00AC0841">
        <w:t>4</w:t>
      </w:r>
      <w:r w:rsidRPr="00AC0841">
        <w:t xml:space="preserve"> z verejných a súkromných vysokých škôl </w:t>
      </w:r>
      <w:r w:rsidR="00E50486" w:rsidRPr="00AC0841">
        <w:rPr>
          <w:b/>
        </w:rPr>
        <w:t>5 867</w:t>
      </w:r>
      <w:r w:rsidR="00413D4B" w:rsidRPr="00AC0841">
        <w:t xml:space="preserve"> </w:t>
      </w:r>
      <w:r w:rsidRPr="00AC0841">
        <w:t xml:space="preserve">uchádzačov </w:t>
      </w:r>
      <w:r w:rsidR="00F4652B" w:rsidRPr="00AC0841">
        <w:t>- absolventov vysokých škôl</w:t>
      </w:r>
      <w:r w:rsidR="00305DA7" w:rsidRPr="00AC0841">
        <w:rPr>
          <w:rStyle w:val="Odkaznapoznmkupodiarou"/>
        </w:rPr>
        <w:footnoteReference w:id="3"/>
      </w:r>
      <w:r w:rsidR="00EC3F20" w:rsidRPr="00AC0841">
        <w:rPr>
          <w:vertAlign w:val="superscript"/>
        </w:rPr>
        <w:t>)</w:t>
      </w:r>
      <w:r w:rsidR="0064322F" w:rsidRPr="00AC0841">
        <w:t xml:space="preserve">, z ktorých bolo </w:t>
      </w:r>
      <w:r w:rsidR="00E50486" w:rsidRPr="00AC0841">
        <w:rPr>
          <w:b/>
        </w:rPr>
        <w:t>4 760</w:t>
      </w:r>
      <w:r w:rsidR="0064322F" w:rsidRPr="00AC0841">
        <w:t xml:space="preserve"> absolventov </w:t>
      </w:r>
      <w:r w:rsidR="00456705" w:rsidRPr="00AC0841">
        <w:t>druhého</w:t>
      </w:r>
      <w:r w:rsidR="00E50486" w:rsidRPr="00AC0841">
        <w:t>,</w:t>
      </w:r>
      <w:r w:rsidR="00456705" w:rsidRPr="00AC0841">
        <w:t> </w:t>
      </w:r>
      <w:r w:rsidR="00E50486" w:rsidRPr="00AC0841">
        <w:rPr>
          <w:b/>
        </w:rPr>
        <w:t>1 105</w:t>
      </w:r>
      <w:r w:rsidR="0064322F" w:rsidRPr="00AC0841">
        <w:t xml:space="preserve"> absolventov </w:t>
      </w:r>
      <w:r w:rsidR="003E02BD" w:rsidRPr="00AC0841">
        <w:t>prvého</w:t>
      </w:r>
      <w:r w:rsidR="00E50486" w:rsidRPr="00AC0841">
        <w:t xml:space="preserve"> a dvaja absolventi tretieho</w:t>
      </w:r>
      <w:r w:rsidR="0064322F" w:rsidRPr="00AC0841">
        <w:t xml:space="preserve"> stupňa.</w:t>
      </w:r>
      <w:r w:rsidR="00FC3AAB" w:rsidRPr="00AC0841">
        <w:t xml:space="preserve"> Z </w:t>
      </w:r>
      <w:r w:rsidR="00A47621" w:rsidRPr="00AC0841">
        <w:t xml:space="preserve">celkového počtu evidovaných absolventov </w:t>
      </w:r>
      <w:r w:rsidR="00EE71D6" w:rsidRPr="00AC0841">
        <w:t xml:space="preserve">verejných a súkromných </w:t>
      </w:r>
      <w:r w:rsidR="00A47621" w:rsidRPr="00AC0841">
        <w:t xml:space="preserve">vysokých škôl bolo </w:t>
      </w:r>
      <w:r w:rsidR="00E50486" w:rsidRPr="00AC0841">
        <w:t>9,14 </w:t>
      </w:r>
      <w:r w:rsidR="00F4652B" w:rsidRPr="00AC0841">
        <w:t xml:space="preserve">% v evidencii </w:t>
      </w:r>
      <w:r w:rsidR="00FA287F" w:rsidRPr="00AC0841">
        <w:t xml:space="preserve">viac ako </w:t>
      </w:r>
      <w:r w:rsidR="007A78B2" w:rsidRPr="00AC0841">
        <w:t>dvanásť</w:t>
      </w:r>
      <w:r w:rsidR="00FA287F" w:rsidRPr="00AC0841">
        <w:t xml:space="preserve"> mesiacov</w:t>
      </w:r>
      <w:r w:rsidR="00F4652B" w:rsidRPr="00AC0841">
        <w:t>.</w:t>
      </w:r>
      <w:r w:rsidR="007A78B2" w:rsidRPr="00AC0841">
        <w:t xml:space="preserve"> Najviac absolventov bolo v evidencii </w:t>
      </w:r>
      <w:r w:rsidR="00E50486" w:rsidRPr="00AC0841">
        <w:t>sedem až deväť</w:t>
      </w:r>
      <w:r w:rsidR="00456705" w:rsidRPr="00AC0841">
        <w:t xml:space="preserve"> </w:t>
      </w:r>
      <w:r w:rsidR="007A78B2" w:rsidRPr="00AC0841">
        <w:t>mesiacov (</w:t>
      </w:r>
      <w:r w:rsidR="00E50486" w:rsidRPr="00AC0841">
        <w:t>59,55 </w:t>
      </w:r>
      <w:r w:rsidR="007A78B2" w:rsidRPr="00AC0841">
        <w:t>%).</w:t>
      </w:r>
      <w:r w:rsidR="00E50486" w:rsidRPr="00AC0841">
        <w:t xml:space="preserve"> </w:t>
      </w:r>
    </w:p>
    <w:p w:rsidR="00652A74" w:rsidRPr="00AC0841" w:rsidRDefault="00652A74" w:rsidP="00652A74">
      <w:pPr>
        <w:pStyle w:val="Nadpis4"/>
        <w:rPr>
          <w:lang w:val="sk-SK"/>
        </w:rPr>
      </w:pPr>
      <w:bookmarkStart w:id="34" w:name="_Toc136920248"/>
      <w:bookmarkStart w:id="35" w:name="_Toc264838382"/>
      <w:bookmarkStart w:id="36" w:name="_Toc427750174"/>
      <w:r w:rsidRPr="00AC0841">
        <w:rPr>
          <w:lang w:val="sk-SK"/>
        </w:rPr>
        <w:t>Prijímacie konani</w:t>
      </w:r>
      <w:bookmarkEnd w:id="34"/>
      <w:r w:rsidR="0050782E" w:rsidRPr="00AC0841">
        <w:rPr>
          <w:lang w:val="sk-SK"/>
        </w:rPr>
        <w:t>e</w:t>
      </w:r>
      <w:r w:rsidR="002265C3" w:rsidRPr="00AC0841">
        <w:rPr>
          <w:lang w:val="sk-SK"/>
        </w:rPr>
        <w:t xml:space="preserve"> na 1. stup</w:t>
      </w:r>
      <w:bookmarkEnd w:id="35"/>
      <w:r w:rsidR="002265C3" w:rsidRPr="00AC0841">
        <w:rPr>
          <w:lang w:val="sk-SK"/>
        </w:rPr>
        <w:t>eň</w:t>
      </w:r>
      <w:bookmarkEnd w:id="36"/>
    </w:p>
    <w:p w:rsidR="00877031" w:rsidRPr="00AC0841" w:rsidRDefault="001F2EB7" w:rsidP="00B47A4A">
      <w:pPr>
        <w:pStyle w:val="Zoznam1"/>
        <w:spacing w:before="240"/>
        <w:rPr>
          <w:strike/>
        </w:rPr>
      </w:pPr>
      <w:r w:rsidRPr="00AC0841">
        <w:t>V ostatných rokoch</w:t>
      </w:r>
      <w:r w:rsidR="009C57FB" w:rsidRPr="00AC0841">
        <w:t xml:space="preserve"> klesá počet uchádzačov o štúdium na vysokých školách (v prvom stupni vysokoškolského vzdelávania, resp. v študijných programoch spojeného prvého a druhého stupňa). V roku </w:t>
      </w:r>
      <w:r w:rsidRPr="00AC0841">
        <w:t>2014</w:t>
      </w:r>
      <w:r w:rsidR="009C57FB" w:rsidRPr="00AC0841">
        <w:t xml:space="preserve"> bolo podaných </w:t>
      </w:r>
      <w:r w:rsidRPr="00AC0841">
        <w:t>87</w:t>
      </w:r>
      <w:r w:rsidR="00AC6D12">
        <w:t> </w:t>
      </w:r>
      <w:r w:rsidRPr="00AC0841">
        <w:t>109</w:t>
      </w:r>
      <w:r w:rsidR="00AC6D12">
        <w:t xml:space="preserve"> (v prípade žien </w:t>
      </w:r>
      <w:r w:rsidR="00E23E71" w:rsidRPr="00AC0841">
        <w:t>52 996</w:t>
      </w:r>
      <w:r w:rsidR="00AC6D12">
        <w:t>)</w:t>
      </w:r>
      <w:r w:rsidR="009C57FB" w:rsidRPr="00AC0841">
        <w:t xml:space="preserve"> prihlášok</w:t>
      </w:r>
      <w:r w:rsidR="00D35F99" w:rsidRPr="00AC0841">
        <w:rPr>
          <w:rStyle w:val="Odkaznapoznmkupodiarou"/>
        </w:rPr>
        <w:footnoteReference w:id="4"/>
      </w:r>
      <w:r w:rsidR="00D35F99" w:rsidRPr="00AC0841">
        <w:t>)</w:t>
      </w:r>
      <w:r w:rsidR="009C57FB" w:rsidRPr="00AC0841">
        <w:t>, čo je o</w:t>
      </w:r>
      <w:r w:rsidRPr="00AC0841">
        <w:t> 14</w:t>
      </w:r>
      <w:r w:rsidR="00E23E71" w:rsidRPr="00AC0841">
        <w:t> </w:t>
      </w:r>
      <w:r w:rsidRPr="00AC0841">
        <w:t>236</w:t>
      </w:r>
      <w:r w:rsidR="009C57FB" w:rsidRPr="00AC0841">
        <w:t xml:space="preserve"> prihlášok menej ako v predchádzajúcom roku</w:t>
      </w:r>
      <w:r w:rsidR="005C595F" w:rsidRPr="00AC0841">
        <w:t>.</w:t>
      </w:r>
      <w:r w:rsidR="009C57FB" w:rsidRPr="00AC0841">
        <w:t xml:space="preserve"> </w:t>
      </w:r>
      <w:r w:rsidR="00D35F99" w:rsidRPr="00AC0841">
        <w:rPr>
          <w:b/>
        </w:rPr>
        <w:t>P</w:t>
      </w:r>
      <w:r w:rsidR="009C57FB" w:rsidRPr="00AC0841">
        <w:rPr>
          <w:b/>
        </w:rPr>
        <w:t xml:space="preserve">očet uchádzajúcich </w:t>
      </w:r>
      <w:r w:rsidR="004860A0" w:rsidRPr="00AC0841">
        <w:rPr>
          <w:b/>
        </w:rPr>
        <w:t xml:space="preserve">sa </w:t>
      </w:r>
      <w:r w:rsidR="00D35F99" w:rsidRPr="00AC0841">
        <w:rPr>
          <w:b/>
        </w:rPr>
        <w:t xml:space="preserve">o štúdium </w:t>
      </w:r>
      <w:r w:rsidR="009C57FB" w:rsidRPr="00AC0841">
        <w:rPr>
          <w:b/>
        </w:rPr>
        <w:t xml:space="preserve">klesol na </w:t>
      </w:r>
      <w:r w:rsidRPr="00AC0841">
        <w:rPr>
          <w:b/>
        </w:rPr>
        <w:t>48</w:t>
      </w:r>
      <w:r w:rsidR="00E23E71" w:rsidRPr="00AC0841">
        <w:rPr>
          <w:b/>
        </w:rPr>
        <w:t> </w:t>
      </w:r>
      <w:r w:rsidRPr="00AC0841">
        <w:rPr>
          <w:b/>
        </w:rPr>
        <w:t>961</w:t>
      </w:r>
      <w:r w:rsidR="00D35F99" w:rsidRPr="00AC0841">
        <w:rPr>
          <w:b/>
        </w:rPr>
        <w:t xml:space="preserve"> občanov SR</w:t>
      </w:r>
      <w:r w:rsidR="00AC6D12">
        <w:t xml:space="preserve"> (v prípade žien na 27 762)</w:t>
      </w:r>
      <w:r w:rsidR="009C57FB" w:rsidRPr="00AC0841">
        <w:t>.</w:t>
      </w:r>
      <w:r w:rsidR="005567D2" w:rsidRPr="00AC0841">
        <w:t xml:space="preserve"> Kým počet 19-ročných klesol medzi rokmi 200</w:t>
      </w:r>
      <w:r w:rsidR="0088612D" w:rsidRPr="00AC0841">
        <w:t>4</w:t>
      </w:r>
      <w:r w:rsidR="005567D2" w:rsidRPr="00AC0841">
        <w:t xml:space="preserve"> – 201</w:t>
      </w:r>
      <w:r w:rsidR="00BD2ED8" w:rsidRPr="00AC0841">
        <w:t>4</w:t>
      </w:r>
      <w:r w:rsidR="005567D2" w:rsidRPr="00AC0841">
        <w:t xml:space="preserve"> o</w:t>
      </w:r>
      <w:r w:rsidR="000E1F66" w:rsidRPr="00AC0841">
        <w:t> 31,15</w:t>
      </w:r>
      <w:r w:rsidR="005567D2" w:rsidRPr="00AC0841">
        <w:t xml:space="preserve"> %, počet uchádzačov </w:t>
      </w:r>
      <w:r w:rsidR="0088612D" w:rsidRPr="00AC0841">
        <w:t xml:space="preserve">(občanov SR) </w:t>
      </w:r>
      <w:r w:rsidR="005567D2" w:rsidRPr="00AC0841">
        <w:t>o vysokoškolské štúdium za toto obdobie klesol o</w:t>
      </w:r>
      <w:r w:rsidR="0088612D" w:rsidRPr="00AC0841">
        <w:t> </w:t>
      </w:r>
      <w:r w:rsidR="000E1F66" w:rsidRPr="00AC0841">
        <w:t>35</w:t>
      </w:r>
      <w:r w:rsidR="0088612D" w:rsidRPr="00AC0841">
        <w:t>,</w:t>
      </w:r>
      <w:r w:rsidR="000E1F66" w:rsidRPr="00AC0841">
        <w:t>89</w:t>
      </w:r>
      <w:r w:rsidR="0088612D" w:rsidRPr="00AC0841">
        <w:t xml:space="preserve"> %.</w:t>
      </w:r>
    </w:p>
    <w:p w:rsidR="0014131D" w:rsidRDefault="00096DB3" w:rsidP="0014131D">
      <w:pPr>
        <w:pStyle w:val="Zoznam1"/>
        <w:numPr>
          <w:ilvl w:val="0"/>
          <w:numId w:val="0"/>
        </w:numPr>
      </w:pPr>
      <w:r>
        <w:rPr>
          <w:noProof/>
          <w:lang w:eastAsia="sk-SK"/>
        </w:rPr>
        <w:lastRenderedPageBreak/>
        <w:drawing>
          <wp:inline distT="0" distB="0" distL="0" distR="0">
            <wp:extent cx="5649595" cy="2495550"/>
            <wp:effectExtent l="0" t="0" r="27305" b="19050"/>
            <wp:docPr id="2"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W w:w="9391" w:type="dxa"/>
        <w:tblLook w:val="00A0" w:firstRow="1" w:lastRow="0" w:firstColumn="1" w:lastColumn="0" w:noHBand="0" w:noVBand="0"/>
      </w:tblPr>
      <w:tblGrid>
        <w:gridCol w:w="9391"/>
      </w:tblGrid>
      <w:tr w:rsidR="00904097" w:rsidRPr="00AC0841" w:rsidTr="007122C4">
        <w:trPr>
          <w:trHeight w:val="974"/>
        </w:trPr>
        <w:tc>
          <w:tcPr>
            <w:tcW w:w="9391" w:type="dxa"/>
          </w:tcPr>
          <w:p w:rsidR="0010734E" w:rsidRPr="00AC0841" w:rsidRDefault="00673F15" w:rsidP="00015971">
            <w:pPr>
              <w:pStyle w:val="Popis"/>
              <w:jc w:val="center"/>
            </w:pPr>
            <w:bookmarkStart w:id="37" w:name="_Toc427744998"/>
            <w:r w:rsidRPr="00AC0841">
              <w:t xml:space="preserve">Graf č. </w:t>
            </w:r>
            <w:r w:rsidR="00B71273">
              <w:fldChar w:fldCharType="begin"/>
            </w:r>
            <w:r w:rsidR="00B71273">
              <w:instrText xml:space="preserve"> SEQ Graf_č. \* ARABIC </w:instrText>
            </w:r>
            <w:r w:rsidR="00B71273">
              <w:fldChar w:fldCharType="separate"/>
            </w:r>
            <w:r w:rsidR="005010AB">
              <w:rPr>
                <w:noProof/>
              </w:rPr>
              <w:t>2</w:t>
            </w:r>
            <w:r w:rsidR="00B71273">
              <w:rPr>
                <w:noProof/>
              </w:rPr>
              <w:fldChar w:fldCharType="end"/>
            </w:r>
            <w:r w:rsidR="00904097" w:rsidRPr="00AC0841">
              <w:t xml:space="preserve"> Vývoj počtu prihlášok, prijatí a</w:t>
            </w:r>
            <w:r w:rsidR="00D34AA3" w:rsidRPr="00AC0841">
              <w:t> </w:t>
            </w:r>
            <w:r w:rsidR="00904097" w:rsidRPr="00AC0841">
              <w:t>zápisov</w:t>
            </w:r>
            <w:r w:rsidR="00D34AA3" w:rsidRPr="00AC0841">
              <w:t xml:space="preserve">, </w:t>
            </w:r>
            <w:r w:rsidR="00904097" w:rsidRPr="00AC0841">
              <w:t>prihlásených</w:t>
            </w:r>
            <w:r w:rsidR="00D34AA3" w:rsidRPr="00AC0841">
              <w:t xml:space="preserve"> (fyzické osoby)</w:t>
            </w:r>
            <w:r w:rsidR="00904097" w:rsidRPr="00AC0841">
              <w:t>, prijatých</w:t>
            </w:r>
            <w:r w:rsidR="00D34AA3" w:rsidRPr="00AC0841">
              <w:t xml:space="preserve"> (fyzické osoby)</w:t>
            </w:r>
            <w:r w:rsidR="00904097" w:rsidRPr="00AC0841">
              <w:t xml:space="preserve"> a zapísaných (fyzické osoby)</w:t>
            </w:r>
            <w:r w:rsidR="00831F1E" w:rsidRPr="00AC0841">
              <w:t xml:space="preserve"> – fyzická osoba je za všetky školy zohľadnená len raz, aj keď sa zúčastnila viacerých prijímacích konaní.</w:t>
            </w:r>
            <w:bookmarkEnd w:id="37"/>
          </w:p>
        </w:tc>
      </w:tr>
    </w:tbl>
    <w:p w:rsidR="0088612D" w:rsidRPr="00AC0841" w:rsidRDefault="0088612D" w:rsidP="00AC6D12">
      <w:pPr>
        <w:pStyle w:val="Zoznam1"/>
      </w:pPr>
      <w:r w:rsidRPr="00AC0841">
        <w:t xml:space="preserve">V roku </w:t>
      </w:r>
      <w:r w:rsidR="007A18AE" w:rsidRPr="00AC0841">
        <w:t>2014</w:t>
      </w:r>
      <w:r w:rsidRPr="00AC0841">
        <w:t xml:space="preserve"> sa na každých 100 prijatých uchádzačov nezapísalo na štúdium </w:t>
      </w:r>
      <w:r w:rsidR="00456705" w:rsidRPr="00AC0841">
        <w:t xml:space="preserve">jedenásť </w:t>
      </w:r>
      <w:r w:rsidRPr="00AC0841">
        <w:t xml:space="preserve">uchádzačov. Celkovo bolo </w:t>
      </w:r>
      <w:r w:rsidRPr="00AC6D12">
        <w:rPr>
          <w:b/>
        </w:rPr>
        <w:t>prijatých</w:t>
      </w:r>
      <w:r w:rsidRPr="00AC0841">
        <w:t xml:space="preserve"> na štúdium </w:t>
      </w:r>
      <w:r w:rsidR="007A18AE" w:rsidRPr="00AC6D12">
        <w:rPr>
          <w:b/>
        </w:rPr>
        <w:t>42</w:t>
      </w:r>
      <w:r w:rsidR="0061708F" w:rsidRPr="00AC6D12">
        <w:rPr>
          <w:b/>
        </w:rPr>
        <w:t> </w:t>
      </w:r>
      <w:r w:rsidR="007A18AE" w:rsidRPr="00AC6D12">
        <w:rPr>
          <w:b/>
        </w:rPr>
        <w:t>553</w:t>
      </w:r>
      <w:r w:rsidRPr="00AC6D12">
        <w:rPr>
          <w:b/>
        </w:rPr>
        <w:t xml:space="preserve"> uchádzačov</w:t>
      </w:r>
      <w:r w:rsidRPr="00AC0841">
        <w:t xml:space="preserve"> a </w:t>
      </w:r>
      <w:r w:rsidRPr="00AC6D12">
        <w:rPr>
          <w:b/>
        </w:rPr>
        <w:t xml:space="preserve">zapísalo sa </w:t>
      </w:r>
      <w:r w:rsidR="007A18AE" w:rsidRPr="00AC6D12">
        <w:rPr>
          <w:b/>
        </w:rPr>
        <w:t>37</w:t>
      </w:r>
      <w:r w:rsidR="008A7B73">
        <w:t> </w:t>
      </w:r>
      <w:r w:rsidR="007A18AE" w:rsidRPr="00AC6D12">
        <w:rPr>
          <w:b/>
        </w:rPr>
        <w:t>938</w:t>
      </w:r>
      <w:r w:rsidR="008A7B73">
        <w:rPr>
          <w:b/>
        </w:rPr>
        <w:t> </w:t>
      </w:r>
      <w:r w:rsidRPr="00AC0841">
        <w:t xml:space="preserve">uchádzačov (fyzických osôb). Najviac, </w:t>
      </w:r>
      <w:r w:rsidR="007A18AE" w:rsidRPr="00AC0841">
        <w:t>28</w:t>
      </w:r>
      <w:r w:rsidR="0061708F" w:rsidRPr="00AC0841">
        <w:t> </w:t>
      </w:r>
      <w:r w:rsidR="007A18AE" w:rsidRPr="00AC0841">
        <w:t>035</w:t>
      </w:r>
      <w:r w:rsidRPr="00AC0841">
        <w:t xml:space="preserve"> uchádzačov</w:t>
      </w:r>
      <w:r w:rsidR="004860A0" w:rsidRPr="00AC0841">
        <w:t>,</w:t>
      </w:r>
      <w:r w:rsidRPr="00AC0841">
        <w:t xml:space="preserve"> podalo prihlášku na štúdium spoločenských vied, náuk a služieb, z nich </w:t>
      </w:r>
      <w:r w:rsidR="00E70F38" w:rsidRPr="00AC0841">
        <w:t>8</w:t>
      </w:r>
      <w:r w:rsidR="00950172" w:rsidRPr="00AC0841">
        <w:t>4</w:t>
      </w:r>
      <w:r w:rsidRPr="00AC0841">
        <w:t>,</w:t>
      </w:r>
      <w:r w:rsidR="00950172" w:rsidRPr="00AC0841">
        <w:t>74</w:t>
      </w:r>
      <w:r w:rsidR="00AC6D12">
        <w:t xml:space="preserve"> </w:t>
      </w:r>
      <w:r w:rsidRPr="00AC0841">
        <w:t xml:space="preserve">% bolo na štúdium prijatých a zapísalo sa </w:t>
      </w:r>
      <w:r w:rsidR="007A18AE" w:rsidRPr="00AC0841">
        <w:t>20</w:t>
      </w:r>
      <w:r w:rsidR="001A3A9C" w:rsidRPr="00AC0841">
        <w:t> </w:t>
      </w:r>
      <w:r w:rsidR="007A18AE" w:rsidRPr="00AC0841">
        <w:t>172</w:t>
      </w:r>
      <w:r w:rsidRPr="00AC0841">
        <w:t xml:space="preserve"> uchádzačov,</w:t>
      </w:r>
      <w:r w:rsidRPr="00AC6D12">
        <w:t xml:space="preserve"> čo je 84,</w:t>
      </w:r>
      <w:r w:rsidR="00950172" w:rsidRPr="00AC6D12">
        <w:t>91</w:t>
      </w:r>
      <w:r w:rsidR="007A18AE" w:rsidRPr="00AC6D12">
        <w:t> </w:t>
      </w:r>
      <w:r w:rsidRPr="00AC6D12">
        <w:t>% z prijatých na študijné programy patriace do tejto skupiny štud</w:t>
      </w:r>
      <w:r w:rsidR="002265C3" w:rsidRPr="00AC6D12">
        <w:t>ijných odborov.</w:t>
      </w:r>
      <w:r w:rsidR="00AC6D12" w:rsidRPr="00AC6D12">
        <w:t xml:space="preserve"> V prípade žien bolo na štúdium prijatých 23</w:t>
      </w:r>
      <w:r w:rsidR="008A7B73">
        <w:t> </w:t>
      </w:r>
      <w:r w:rsidR="00AC6D12" w:rsidRPr="00AC6D12">
        <w:t>813</w:t>
      </w:r>
      <w:r w:rsidR="008A7B73">
        <w:t> </w:t>
      </w:r>
      <w:r w:rsidR="00AC6D12" w:rsidRPr="00AC6D12">
        <w:t>uchádzačiek a zapísalo sa 21 154 uchádzačiek (fyzických osôb). Najviac 18</w:t>
      </w:r>
      <w:r w:rsidR="008A7B73">
        <w:t> </w:t>
      </w:r>
      <w:r w:rsidR="00AC6D12" w:rsidRPr="00AC6D12">
        <w:t>612</w:t>
      </w:r>
      <w:r w:rsidR="008A7B73">
        <w:t> </w:t>
      </w:r>
      <w:r w:rsidR="00AC6D12" w:rsidRPr="00AC6D12">
        <w:t>uchádzačiek, podalo prihlášku na štúdium spoloče</w:t>
      </w:r>
      <w:r w:rsidR="00AC6D12" w:rsidRPr="00AC0841">
        <w:t>nských vied, náuk a služieb, z nich 85,70 % bolo na štúdium prijatých a zapísalo sa 13</w:t>
      </w:r>
      <w:r w:rsidR="00AC6D12">
        <w:t> </w:t>
      </w:r>
      <w:r w:rsidR="00AC6D12" w:rsidRPr="00AC0841">
        <w:t>503 uchádzač</w:t>
      </w:r>
      <w:r w:rsidR="00AC6D12">
        <w:t>iek</w:t>
      </w:r>
      <w:r w:rsidR="00AC6D12" w:rsidRPr="00AC0841">
        <w:t>, čo je 84,65 % z prijatých na študijné programy patriace do tejto skupiny študijných odborov.</w:t>
      </w:r>
    </w:p>
    <w:p w:rsidR="009C57FB" w:rsidRPr="00AC0841" w:rsidRDefault="009C57FB" w:rsidP="00FF488A">
      <w:pPr>
        <w:pStyle w:val="Zoznam1"/>
      </w:pPr>
      <w:r w:rsidRPr="00AC0841">
        <w:t xml:space="preserve">Najväčšia skupina uchádzačov o vysokoškolské štúdium mala </w:t>
      </w:r>
      <w:r w:rsidRPr="00610ED0">
        <w:rPr>
          <w:b/>
        </w:rPr>
        <w:t>menej ako 20 rokov</w:t>
      </w:r>
      <w:r w:rsidR="00635F4F" w:rsidRPr="00610ED0">
        <w:rPr>
          <w:b/>
        </w:rPr>
        <w:t xml:space="preserve"> </w:t>
      </w:r>
      <w:r w:rsidR="00A80A09" w:rsidRPr="00610ED0">
        <w:rPr>
          <w:b/>
        </w:rPr>
        <w:t>(</w:t>
      </w:r>
      <w:r w:rsidR="00635F4F" w:rsidRPr="00610ED0">
        <w:rPr>
          <w:b/>
        </w:rPr>
        <w:t>vrátane</w:t>
      </w:r>
      <w:r w:rsidR="00A80A09" w:rsidRPr="00610ED0">
        <w:rPr>
          <w:b/>
        </w:rPr>
        <w:t>)</w:t>
      </w:r>
      <w:r w:rsidRPr="00610ED0">
        <w:rPr>
          <w:b/>
        </w:rPr>
        <w:t xml:space="preserve"> </w:t>
      </w:r>
      <w:r w:rsidRPr="00AC0841">
        <w:t>(6</w:t>
      </w:r>
      <w:r w:rsidR="009F46CB" w:rsidRPr="00AC0841">
        <w:t>1</w:t>
      </w:r>
      <w:r w:rsidRPr="00AC0841">
        <w:t>,</w:t>
      </w:r>
      <w:r w:rsidR="009F46CB" w:rsidRPr="00AC0841">
        <w:t>24</w:t>
      </w:r>
      <w:r w:rsidR="00AC6D12">
        <w:t xml:space="preserve"> %</w:t>
      </w:r>
      <w:r w:rsidRPr="00AC0841">
        <w:t xml:space="preserve">, v prípade </w:t>
      </w:r>
      <w:r w:rsidRPr="00610ED0">
        <w:rPr>
          <w:b/>
        </w:rPr>
        <w:t>dennej formy štúdia 7</w:t>
      </w:r>
      <w:r w:rsidR="009F46CB" w:rsidRPr="00610ED0">
        <w:rPr>
          <w:b/>
        </w:rPr>
        <w:t>2</w:t>
      </w:r>
      <w:r w:rsidRPr="00610ED0">
        <w:rPr>
          <w:b/>
        </w:rPr>
        <w:t>,</w:t>
      </w:r>
      <w:r w:rsidR="009F46CB" w:rsidRPr="00610ED0">
        <w:rPr>
          <w:b/>
        </w:rPr>
        <w:t>40</w:t>
      </w:r>
      <w:r w:rsidRPr="00610ED0">
        <w:rPr>
          <w:b/>
        </w:rPr>
        <w:t xml:space="preserve"> % z uchádzačov</w:t>
      </w:r>
      <w:r w:rsidRPr="00AC0841">
        <w:t xml:space="preserve">). </w:t>
      </w:r>
      <w:r w:rsidR="00906D27" w:rsidRPr="00AC0841">
        <w:t>V prípade externej formy štúdia</w:t>
      </w:r>
      <w:r w:rsidRPr="00AC0841">
        <w:t xml:space="preserve"> </w:t>
      </w:r>
      <w:r w:rsidR="0006113F" w:rsidRPr="00AC0841">
        <w:t xml:space="preserve">takmer </w:t>
      </w:r>
      <w:r w:rsidRPr="00AC0841">
        <w:t xml:space="preserve">polovica </w:t>
      </w:r>
      <w:r w:rsidR="00AC6D12">
        <w:t>(49,03</w:t>
      </w:r>
      <w:r w:rsidR="0006113F" w:rsidRPr="00AC0841">
        <w:t xml:space="preserve"> %) </w:t>
      </w:r>
      <w:r w:rsidRPr="00AC0841">
        <w:t>uchádzačov mala vek do 25 rokov</w:t>
      </w:r>
      <w:r w:rsidR="00635F4F" w:rsidRPr="00AC0841">
        <w:t xml:space="preserve"> </w:t>
      </w:r>
      <w:r w:rsidR="00A80A09" w:rsidRPr="00AC0841">
        <w:t>(</w:t>
      </w:r>
      <w:r w:rsidR="00635F4F" w:rsidRPr="00AC0841">
        <w:t>vrátane</w:t>
      </w:r>
      <w:r w:rsidR="00A80A09" w:rsidRPr="00AC0841">
        <w:t>)</w:t>
      </w:r>
      <w:r w:rsidRPr="00AC0841">
        <w:t xml:space="preserve">. Maturujúci v roku </w:t>
      </w:r>
      <w:r w:rsidR="00950172" w:rsidRPr="00AC0841">
        <w:t>2014</w:t>
      </w:r>
      <w:r w:rsidRPr="00AC0841">
        <w:t xml:space="preserve"> tvorili z uchádzačov 5</w:t>
      </w:r>
      <w:r w:rsidR="00950172" w:rsidRPr="00AC0841">
        <w:t>5</w:t>
      </w:r>
      <w:r w:rsidRPr="00AC0841">
        <w:t>,</w:t>
      </w:r>
      <w:r w:rsidR="00B15459" w:rsidRPr="00AC0841">
        <w:t>27</w:t>
      </w:r>
      <w:r w:rsidRPr="00AC0841">
        <w:t xml:space="preserve"> % (v dennej forme štúdia 6</w:t>
      </w:r>
      <w:r w:rsidR="00950172" w:rsidRPr="00AC0841">
        <w:t>5</w:t>
      </w:r>
      <w:r w:rsidRPr="00AC0841">
        <w:t>,</w:t>
      </w:r>
      <w:r w:rsidR="00950172" w:rsidRPr="00AC0841">
        <w:t>5</w:t>
      </w:r>
      <w:r w:rsidR="00B15459" w:rsidRPr="00AC0841">
        <w:t>4</w:t>
      </w:r>
      <w:r w:rsidRPr="00AC0841">
        <w:t xml:space="preserve"> %).</w:t>
      </w:r>
      <w:r w:rsidR="00AC6D12" w:rsidRPr="00AC6D12">
        <w:t xml:space="preserve"> </w:t>
      </w:r>
    </w:p>
    <w:p w:rsidR="009C57FB" w:rsidRPr="00844258" w:rsidRDefault="009C57FB" w:rsidP="00C2109F">
      <w:pPr>
        <w:pStyle w:val="Zoznam1"/>
      </w:pPr>
      <w:r w:rsidRPr="00AC0841">
        <w:t>Podľa štatistických údajov v školskom roku 201</w:t>
      </w:r>
      <w:r w:rsidR="00B15459" w:rsidRPr="00AC0841">
        <w:t>3</w:t>
      </w:r>
      <w:r w:rsidRPr="00AC0841">
        <w:t>/201</w:t>
      </w:r>
      <w:r w:rsidR="00B15459" w:rsidRPr="00AC0841">
        <w:t>4</w:t>
      </w:r>
      <w:r w:rsidRPr="00AC0841">
        <w:t xml:space="preserve"> absolvovalo strednú školu s </w:t>
      </w:r>
      <w:r w:rsidRPr="00844258">
        <w:t xml:space="preserve">maturitou </w:t>
      </w:r>
      <w:r w:rsidR="00B15459" w:rsidRPr="00844258">
        <w:t>47</w:t>
      </w:r>
      <w:r w:rsidR="00610ED0">
        <w:t> </w:t>
      </w:r>
      <w:r w:rsidR="00B15459" w:rsidRPr="00844258">
        <w:t>780</w:t>
      </w:r>
      <w:r w:rsidR="00610ED0">
        <w:t xml:space="preserve"> </w:t>
      </w:r>
      <w:r w:rsidRPr="00844258">
        <w:t>žiakov</w:t>
      </w:r>
      <w:r w:rsidR="00610ED0">
        <w:t xml:space="preserve"> (z toho </w:t>
      </w:r>
      <w:r w:rsidR="00610ED0" w:rsidRPr="00844258">
        <w:t>24</w:t>
      </w:r>
      <w:r w:rsidR="00610ED0">
        <w:t> </w:t>
      </w:r>
      <w:r w:rsidR="00610ED0" w:rsidRPr="00844258">
        <w:t>924</w:t>
      </w:r>
      <w:r w:rsidR="00610ED0">
        <w:t xml:space="preserve"> žien)</w:t>
      </w:r>
      <w:r w:rsidRPr="00844258">
        <w:t xml:space="preserve">. O štúdium na vysokej škole </w:t>
      </w:r>
      <w:r w:rsidR="00BF0411">
        <w:t>v</w:t>
      </w:r>
      <w:r w:rsidR="00FD1675">
        <w:t> S</w:t>
      </w:r>
      <w:r w:rsidR="004C4F33">
        <w:t>R</w:t>
      </w:r>
      <w:r w:rsidRPr="00844258">
        <w:t xml:space="preserve"> sa z nich uchádzalo </w:t>
      </w:r>
      <w:r w:rsidR="00B15459" w:rsidRPr="00844258">
        <w:t>56,67</w:t>
      </w:r>
      <w:r w:rsidR="00610ED0">
        <w:t xml:space="preserve"> %</w:t>
      </w:r>
      <w:r w:rsidRPr="00844258">
        <w:t xml:space="preserve"> absolventov</w:t>
      </w:r>
      <w:r w:rsidR="00610ED0">
        <w:t xml:space="preserve"> (z absolventiek 64,38 %)</w:t>
      </w:r>
      <w:r w:rsidRPr="00844258">
        <w:t xml:space="preserve">. Na štúdium na vysokej škole </w:t>
      </w:r>
      <w:r w:rsidR="002265C3" w:rsidRPr="00844258">
        <w:t>v S</w:t>
      </w:r>
      <w:r w:rsidR="007560D8">
        <w:t>R</w:t>
      </w:r>
      <w:r w:rsidR="002265C3" w:rsidRPr="00844258">
        <w:t xml:space="preserve"> </w:t>
      </w:r>
      <w:r w:rsidRPr="00844258">
        <w:t>sa zapísalo 4</w:t>
      </w:r>
      <w:r w:rsidR="00E70F38" w:rsidRPr="00844258">
        <w:t>5</w:t>
      </w:r>
      <w:r w:rsidRPr="00844258">
        <w:t>,</w:t>
      </w:r>
      <w:r w:rsidR="00B15459" w:rsidRPr="00844258">
        <w:t>23</w:t>
      </w:r>
      <w:r w:rsidR="00610ED0">
        <w:t xml:space="preserve"> </w:t>
      </w:r>
      <w:r w:rsidRPr="00844258">
        <w:t xml:space="preserve">% maturantov zo školského roka </w:t>
      </w:r>
      <w:r w:rsidR="00B15459" w:rsidRPr="00844258">
        <w:t>2013/2014</w:t>
      </w:r>
      <w:r w:rsidR="00610ED0">
        <w:t xml:space="preserve"> (v prípade žien </w:t>
      </w:r>
      <w:r w:rsidR="00610ED0" w:rsidRPr="00844258">
        <w:t>51,14</w:t>
      </w:r>
      <w:r w:rsidR="00610ED0">
        <w:t xml:space="preserve"> % maturantiek)</w:t>
      </w:r>
      <w:r w:rsidRPr="00844258">
        <w:t>.</w:t>
      </w:r>
    </w:p>
    <w:p w:rsidR="009C57FB" w:rsidRPr="000B3F7F" w:rsidRDefault="009C57FB" w:rsidP="00B47A4A">
      <w:pPr>
        <w:pStyle w:val="Zoznam1"/>
        <w:spacing w:before="240"/>
      </w:pPr>
      <w:bookmarkStart w:id="38" w:name="_Toc264838383"/>
      <w:r w:rsidRPr="000B3F7F">
        <w:t xml:space="preserve">Z hľadiska medzinárodných porovnávaní sa ako štandardný parameter uvádza podiel novoprijatých študentov na populácii 19-ročných. Pri </w:t>
      </w:r>
      <w:r w:rsidRPr="000B3F7F">
        <w:rPr>
          <w:b/>
          <w:bCs/>
        </w:rPr>
        <w:t xml:space="preserve">počte 19-ročných </w:t>
      </w:r>
      <w:r w:rsidR="00C133D0" w:rsidRPr="000B3F7F">
        <w:rPr>
          <w:b/>
          <w:bCs/>
        </w:rPr>
        <w:t>6</w:t>
      </w:r>
      <w:r w:rsidR="00916912" w:rsidRPr="000B3F7F">
        <w:rPr>
          <w:b/>
          <w:bCs/>
        </w:rPr>
        <w:t>0 991</w:t>
      </w:r>
      <w:r w:rsidRPr="000B3F7F">
        <w:rPr>
          <w:rStyle w:val="Odkaznapoznmkupodiarou"/>
          <w:bCs/>
        </w:rPr>
        <w:footnoteReference w:id="5"/>
      </w:r>
      <w:r w:rsidRPr="000B3F7F">
        <w:rPr>
          <w:bCs/>
          <w:vertAlign w:val="superscript"/>
        </w:rPr>
        <w:t>)</w:t>
      </w:r>
      <w:r w:rsidRPr="000B3F7F">
        <w:t xml:space="preserve"> v roku </w:t>
      </w:r>
      <w:r w:rsidRPr="000B3F7F">
        <w:rPr>
          <w:b/>
          <w:bCs/>
        </w:rPr>
        <w:t>201</w:t>
      </w:r>
      <w:r w:rsidR="00916912" w:rsidRPr="000B3F7F">
        <w:rPr>
          <w:b/>
          <w:bCs/>
        </w:rPr>
        <w:t>4</w:t>
      </w:r>
      <w:r w:rsidRPr="000B3F7F">
        <w:rPr>
          <w:b/>
          <w:bCs/>
        </w:rPr>
        <w:t xml:space="preserve"> </w:t>
      </w:r>
      <w:r w:rsidRPr="000B3F7F">
        <w:t xml:space="preserve">dosiahol tento parameter pri počte novoprijatých </w:t>
      </w:r>
      <w:r w:rsidR="0034318A" w:rsidRPr="000B3F7F">
        <w:rPr>
          <w:b/>
          <w:bCs/>
        </w:rPr>
        <w:t>3</w:t>
      </w:r>
      <w:r w:rsidR="00087A04" w:rsidRPr="000B3F7F">
        <w:rPr>
          <w:b/>
          <w:bCs/>
        </w:rPr>
        <w:t>4 511</w:t>
      </w:r>
      <w:r w:rsidRPr="000B3F7F">
        <w:rPr>
          <w:rStyle w:val="Odkaznapoznmkupodiarou"/>
          <w:bCs/>
        </w:rPr>
        <w:footnoteReference w:id="6"/>
      </w:r>
      <w:r w:rsidRPr="000B3F7F">
        <w:rPr>
          <w:bCs/>
        </w:rPr>
        <w:t>)</w:t>
      </w:r>
      <w:r w:rsidRPr="000B3F7F">
        <w:t xml:space="preserve"> hodnotu </w:t>
      </w:r>
      <w:r w:rsidR="00EF5140" w:rsidRPr="000B3F7F">
        <w:rPr>
          <w:b/>
          <w:bCs/>
        </w:rPr>
        <w:t>5</w:t>
      </w:r>
      <w:r w:rsidR="00975C6D" w:rsidRPr="000B3F7F">
        <w:rPr>
          <w:b/>
          <w:bCs/>
        </w:rPr>
        <w:t>6</w:t>
      </w:r>
      <w:r w:rsidR="00EF5140" w:rsidRPr="000B3F7F">
        <w:rPr>
          <w:b/>
          <w:bCs/>
        </w:rPr>
        <w:t>,</w:t>
      </w:r>
      <w:r w:rsidR="00975C6D" w:rsidRPr="000B3F7F">
        <w:rPr>
          <w:b/>
          <w:bCs/>
        </w:rPr>
        <w:t>58</w:t>
      </w:r>
      <w:r w:rsidRPr="000B3F7F">
        <w:rPr>
          <w:b/>
          <w:bCs/>
        </w:rPr>
        <w:t xml:space="preserve"> % </w:t>
      </w:r>
      <w:r w:rsidRPr="000B3F7F">
        <w:rPr>
          <w:bCs/>
        </w:rPr>
        <w:t>(v roku 201</w:t>
      </w:r>
      <w:r w:rsidR="00975C6D" w:rsidRPr="000B3F7F">
        <w:rPr>
          <w:bCs/>
        </w:rPr>
        <w:t>3</w:t>
      </w:r>
      <w:r w:rsidRPr="000B3F7F">
        <w:rPr>
          <w:bCs/>
        </w:rPr>
        <w:t xml:space="preserve"> bola hodnota </w:t>
      </w:r>
      <w:r w:rsidR="0034318A" w:rsidRPr="000B3F7F">
        <w:rPr>
          <w:bCs/>
        </w:rPr>
        <w:t>5</w:t>
      </w:r>
      <w:r w:rsidR="00975C6D" w:rsidRPr="000B3F7F">
        <w:rPr>
          <w:bCs/>
        </w:rPr>
        <w:t>8</w:t>
      </w:r>
      <w:r w:rsidRPr="000B3F7F">
        <w:rPr>
          <w:bCs/>
        </w:rPr>
        <w:t>,</w:t>
      </w:r>
      <w:r w:rsidR="00975C6D" w:rsidRPr="000B3F7F">
        <w:rPr>
          <w:bCs/>
        </w:rPr>
        <w:t>30</w:t>
      </w:r>
      <w:r w:rsidRPr="000B3F7F">
        <w:rPr>
          <w:bCs/>
        </w:rPr>
        <w:t xml:space="preserve"> %</w:t>
      </w:r>
      <w:r w:rsidR="00975C6D" w:rsidRPr="000B3F7F">
        <w:rPr>
          <w:bCs/>
        </w:rPr>
        <w:t>, čo je pokles o 1, 72 percentuálneho bodu</w:t>
      </w:r>
      <w:r w:rsidRPr="000B3F7F">
        <w:rPr>
          <w:bCs/>
        </w:rPr>
        <w:t>).</w:t>
      </w:r>
      <w:r w:rsidR="009B57A7" w:rsidRPr="000B3F7F">
        <w:rPr>
          <w:bCs/>
        </w:rPr>
        <w:t xml:space="preserve"> Z celkového počtu populácie 19-ročných </w:t>
      </w:r>
      <w:r w:rsidR="00C133D0" w:rsidRPr="000B3F7F">
        <w:rPr>
          <w:bCs/>
        </w:rPr>
        <w:t>6</w:t>
      </w:r>
      <w:r w:rsidR="001D461D" w:rsidRPr="000B3F7F">
        <w:rPr>
          <w:bCs/>
        </w:rPr>
        <w:t>0 9</w:t>
      </w:r>
      <w:r w:rsidR="00975C6D" w:rsidRPr="000B3F7F">
        <w:rPr>
          <w:bCs/>
        </w:rPr>
        <w:t>91</w:t>
      </w:r>
      <w:r w:rsidR="009B57A7" w:rsidRPr="000B3F7F">
        <w:rPr>
          <w:bCs/>
        </w:rPr>
        <w:t xml:space="preserve"> v roku </w:t>
      </w:r>
      <w:r w:rsidR="00B05A8A" w:rsidRPr="000B3F7F">
        <w:rPr>
          <w:bCs/>
        </w:rPr>
        <w:t>2014</w:t>
      </w:r>
      <w:r w:rsidR="009B57A7" w:rsidRPr="000B3F7F">
        <w:rPr>
          <w:bCs/>
        </w:rPr>
        <w:t xml:space="preserve"> bolo na</w:t>
      </w:r>
      <w:r w:rsidR="000C5263" w:rsidRPr="000B3F7F">
        <w:rPr>
          <w:bCs/>
        </w:rPr>
        <w:t> </w:t>
      </w:r>
      <w:r w:rsidR="009B57A7" w:rsidRPr="000B3F7F">
        <w:rPr>
          <w:bCs/>
        </w:rPr>
        <w:t xml:space="preserve">štúdium </w:t>
      </w:r>
      <w:r w:rsidR="00AC53F6" w:rsidRPr="000B3F7F">
        <w:rPr>
          <w:bCs/>
        </w:rPr>
        <w:t xml:space="preserve">prijatých </w:t>
      </w:r>
      <w:r w:rsidR="000C5263" w:rsidRPr="000B3F7F">
        <w:rPr>
          <w:bCs/>
        </w:rPr>
        <w:t xml:space="preserve">na dennú aj externú formu štúdia spolu </w:t>
      </w:r>
      <w:r w:rsidR="00AC53F6" w:rsidRPr="000B3F7F">
        <w:rPr>
          <w:bCs/>
        </w:rPr>
        <w:lastRenderedPageBreak/>
        <w:t>1</w:t>
      </w:r>
      <w:r w:rsidR="00E96384" w:rsidRPr="000B3F7F">
        <w:rPr>
          <w:bCs/>
        </w:rPr>
        <w:t>2</w:t>
      </w:r>
      <w:r w:rsidR="00515D6D" w:rsidRPr="000B3F7F">
        <w:rPr>
          <w:bCs/>
        </w:rPr>
        <w:t> </w:t>
      </w:r>
      <w:r w:rsidR="00E96384" w:rsidRPr="000B3F7F">
        <w:rPr>
          <w:bCs/>
        </w:rPr>
        <w:t>976</w:t>
      </w:r>
      <w:r w:rsidR="00AC53F6" w:rsidRPr="000B3F7F">
        <w:rPr>
          <w:bCs/>
        </w:rPr>
        <w:t xml:space="preserve"> študentov</w:t>
      </w:r>
      <w:r w:rsidR="000C5263" w:rsidRPr="000B3F7F">
        <w:rPr>
          <w:bCs/>
        </w:rPr>
        <w:t xml:space="preserve">, </w:t>
      </w:r>
      <w:r w:rsidR="00AC53F6" w:rsidRPr="000B3F7F">
        <w:rPr>
          <w:bCs/>
        </w:rPr>
        <w:t>zapísalo sa 1</w:t>
      </w:r>
      <w:r w:rsidR="00E96384" w:rsidRPr="000B3F7F">
        <w:rPr>
          <w:bCs/>
        </w:rPr>
        <w:t>1</w:t>
      </w:r>
      <w:r w:rsidR="00515D6D" w:rsidRPr="000B3F7F">
        <w:rPr>
          <w:bCs/>
        </w:rPr>
        <w:t> </w:t>
      </w:r>
      <w:r w:rsidR="00E96384" w:rsidRPr="000B3F7F">
        <w:rPr>
          <w:bCs/>
        </w:rPr>
        <w:t>904</w:t>
      </w:r>
      <w:r w:rsidR="000C5263" w:rsidRPr="000B3F7F">
        <w:rPr>
          <w:bCs/>
        </w:rPr>
        <w:t xml:space="preserve"> študentov</w:t>
      </w:r>
      <w:r w:rsidR="00FA287F" w:rsidRPr="000B3F7F">
        <w:rPr>
          <w:bCs/>
        </w:rPr>
        <w:t xml:space="preserve"> (</w:t>
      </w:r>
      <w:r w:rsidR="00B735AC" w:rsidRPr="000B3F7F">
        <w:rPr>
          <w:bCs/>
        </w:rPr>
        <w:t>19,52</w:t>
      </w:r>
      <w:r w:rsidR="00FA287F" w:rsidRPr="000B3F7F">
        <w:rPr>
          <w:bCs/>
        </w:rPr>
        <w:t xml:space="preserve"> % 19-ročných)</w:t>
      </w:r>
      <w:r w:rsidR="00AC53F6" w:rsidRPr="000B3F7F">
        <w:rPr>
          <w:bCs/>
        </w:rPr>
        <w:t>. Na denn</w:t>
      </w:r>
      <w:r w:rsidR="000C5263" w:rsidRPr="000B3F7F">
        <w:rPr>
          <w:bCs/>
        </w:rPr>
        <w:t>ú</w:t>
      </w:r>
      <w:r w:rsidR="00AC53F6" w:rsidRPr="000B3F7F">
        <w:rPr>
          <w:bCs/>
        </w:rPr>
        <w:t xml:space="preserve"> form</w:t>
      </w:r>
      <w:r w:rsidR="000C5263" w:rsidRPr="000B3F7F">
        <w:rPr>
          <w:bCs/>
        </w:rPr>
        <w:t xml:space="preserve">u štúdia </w:t>
      </w:r>
      <w:r w:rsidR="00AC53F6" w:rsidRPr="000B3F7F">
        <w:rPr>
          <w:bCs/>
        </w:rPr>
        <w:t xml:space="preserve">bolo </w:t>
      </w:r>
      <w:r w:rsidR="000C5263" w:rsidRPr="000B3F7F">
        <w:rPr>
          <w:bCs/>
        </w:rPr>
        <w:t xml:space="preserve">prijatých </w:t>
      </w:r>
      <w:r w:rsidR="00E96384" w:rsidRPr="000B3F7F">
        <w:rPr>
          <w:bCs/>
        </w:rPr>
        <w:t>12</w:t>
      </w:r>
      <w:r w:rsidR="00515D6D" w:rsidRPr="000B3F7F">
        <w:rPr>
          <w:bCs/>
        </w:rPr>
        <w:t> </w:t>
      </w:r>
      <w:r w:rsidR="00E96384" w:rsidRPr="000B3F7F">
        <w:rPr>
          <w:bCs/>
        </w:rPr>
        <w:t>587</w:t>
      </w:r>
      <w:r w:rsidR="00AC53F6" w:rsidRPr="000B3F7F">
        <w:rPr>
          <w:bCs/>
        </w:rPr>
        <w:t xml:space="preserve"> a zapísaných </w:t>
      </w:r>
      <w:r w:rsidR="00E96384" w:rsidRPr="000B3F7F">
        <w:rPr>
          <w:bCs/>
        </w:rPr>
        <w:t>11</w:t>
      </w:r>
      <w:r w:rsidR="00515D6D" w:rsidRPr="000B3F7F">
        <w:rPr>
          <w:bCs/>
        </w:rPr>
        <w:t> </w:t>
      </w:r>
      <w:r w:rsidR="00E96384" w:rsidRPr="000B3F7F">
        <w:rPr>
          <w:bCs/>
        </w:rPr>
        <w:t xml:space="preserve">546 uchádzačov </w:t>
      </w:r>
      <w:r w:rsidR="00AC53F6" w:rsidRPr="000B3F7F">
        <w:rPr>
          <w:bCs/>
        </w:rPr>
        <w:t>vo veku 19 rokov.</w:t>
      </w:r>
    </w:p>
    <w:p w:rsidR="004313EF" w:rsidRDefault="00096DB3" w:rsidP="00C2109F">
      <w:pPr>
        <w:pStyle w:val="Zoznam1"/>
        <w:numPr>
          <w:ilvl w:val="0"/>
          <w:numId w:val="0"/>
        </w:numPr>
        <w:rPr>
          <w:noProof/>
        </w:rPr>
      </w:pPr>
      <w:r>
        <w:rPr>
          <w:noProof/>
          <w:lang w:eastAsia="sk-SK"/>
        </w:rPr>
        <w:drawing>
          <wp:inline distT="0" distB="0" distL="0" distR="0">
            <wp:extent cx="2793365" cy="2026285"/>
            <wp:effectExtent l="0" t="0" r="26035" b="12065"/>
            <wp:docPr id="3"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0E08A1" w:rsidRPr="000E08A1">
        <w:rPr>
          <w:noProof/>
        </w:rPr>
        <w:t xml:space="preserve"> </w:t>
      </w:r>
      <w:r>
        <w:rPr>
          <w:noProof/>
          <w:lang w:eastAsia="sk-SK"/>
        </w:rPr>
        <w:drawing>
          <wp:inline distT="0" distB="0" distL="0" distR="0">
            <wp:extent cx="2816225" cy="2025015"/>
            <wp:effectExtent l="0" t="0" r="22225" b="13335"/>
            <wp:docPr id="4"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W w:w="9258" w:type="dxa"/>
        <w:tblCellMar>
          <w:left w:w="70" w:type="dxa"/>
          <w:right w:w="70" w:type="dxa"/>
        </w:tblCellMar>
        <w:tblLook w:val="04A0" w:firstRow="1" w:lastRow="0" w:firstColumn="1" w:lastColumn="0" w:noHBand="0" w:noVBand="1"/>
      </w:tblPr>
      <w:tblGrid>
        <w:gridCol w:w="4496"/>
        <w:gridCol w:w="4762"/>
      </w:tblGrid>
      <w:tr w:rsidR="00456705" w:rsidTr="00E02304">
        <w:trPr>
          <w:trHeight w:val="1082"/>
        </w:trPr>
        <w:tc>
          <w:tcPr>
            <w:tcW w:w="4496" w:type="dxa"/>
          </w:tcPr>
          <w:p w:rsidR="00456705" w:rsidRPr="00E02304" w:rsidRDefault="00673F15" w:rsidP="009F0D68">
            <w:pPr>
              <w:pStyle w:val="Graf3Vvoj"/>
            </w:pPr>
            <w:r w:rsidRPr="00E02304">
              <w:t xml:space="preserve">Graf č. </w:t>
            </w:r>
            <w:r w:rsidR="00145D1A" w:rsidRPr="00E02304">
              <w:t>3</w:t>
            </w:r>
            <w:r w:rsidR="00456705" w:rsidRPr="00E02304">
              <w:t xml:space="preserve"> Vývoj populácie 19-ročných, počtu maturantov, počtu zapísaných celkom (fyzické osoby) a zapísaných maturantov (fyzické osoby).</w:t>
            </w:r>
          </w:p>
        </w:tc>
        <w:tc>
          <w:tcPr>
            <w:tcW w:w="4762" w:type="dxa"/>
          </w:tcPr>
          <w:p w:rsidR="00456705" w:rsidRPr="000E08A1" w:rsidRDefault="00673F15" w:rsidP="008C0561">
            <w:pPr>
              <w:pStyle w:val="Popis"/>
              <w:rPr>
                <w:sz w:val="18"/>
                <w:szCs w:val="18"/>
              </w:rPr>
            </w:pPr>
            <w:r w:rsidRPr="00AC0841">
              <w:t xml:space="preserve">Graf č. </w:t>
            </w:r>
            <w:r w:rsidR="00145D1A">
              <w:t>4</w:t>
            </w:r>
            <w:r w:rsidR="00456705" w:rsidRPr="00FF488A">
              <w:t xml:space="preserve"> Vývoj populácie 19-ročných, počtu maturantov, počtu zapísaných celkom (fyzické osoby) a zapísaných maturantov (fyzické osoby) </w:t>
            </w:r>
            <w:r w:rsidR="008C0561">
              <w:t xml:space="preserve">ako </w:t>
            </w:r>
            <w:r w:rsidR="00456705" w:rsidRPr="00FF488A">
              <w:t>percentuáln</w:t>
            </w:r>
            <w:r w:rsidR="008C0561">
              <w:t>y podiel na počte 19-ročných</w:t>
            </w:r>
            <w:r w:rsidR="00456705" w:rsidRPr="00FF488A">
              <w:t>.</w:t>
            </w:r>
          </w:p>
        </w:tc>
      </w:tr>
    </w:tbl>
    <w:p w:rsidR="000F2A22" w:rsidRPr="00AC0841" w:rsidRDefault="000F2A22" w:rsidP="000F2A22">
      <w:pPr>
        <w:pStyle w:val="Nadpis4"/>
        <w:rPr>
          <w:lang w:val="sk-SK"/>
        </w:rPr>
      </w:pPr>
      <w:bookmarkStart w:id="39" w:name="_Toc427750175"/>
      <w:r w:rsidRPr="00AC0841">
        <w:rPr>
          <w:lang w:val="sk-SK"/>
        </w:rPr>
        <w:t xml:space="preserve">Prijímacie konanie na 2. </w:t>
      </w:r>
      <w:r w:rsidR="00471351" w:rsidRPr="00AC0841">
        <w:rPr>
          <w:lang w:val="sk-SK"/>
        </w:rPr>
        <w:t>s</w:t>
      </w:r>
      <w:r w:rsidRPr="00AC0841">
        <w:rPr>
          <w:lang w:val="sk-SK"/>
        </w:rPr>
        <w:t>tupeň</w:t>
      </w:r>
      <w:r w:rsidR="00471351" w:rsidRPr="00AC0841">
        <w:rPr>
          <w:vertAlign w:val="superscript"/>
          <w:lang w:val="sk-SK"/>
        </w:rPr>
        <w:t>4</w:t>
      </w:r>
      <w:r w:rsidRPr="00AC0841">
        <w:rPr>
          <w:vertAlign w:val="superscript"/>
          <w:lang w:val="sk-SK"/>
        </w:rPr>
        <w:t>)</w:t>
      </w:r>
      <w:bookmarkEnd w:id="38"/>
      <w:bookmarkEnd w:id="39"/>
    </w:p>
    <w:p w:rsidR="009C57FB" w:rsidRPr="00AC0841" w:rsidRDefault="009C57FB" w:rsidP="00610ED0">
      <w:pPr>
        <w:pStyle w:val="Zoznam1"/>
      </w:pPr>
      <w:r w:rsidRPr="00AC0841">
        <w:t>V roku 201</w:t>
      </w:r>
      <w:r w:rsidR="00E53B2D" w:rsidRPr="00AC0841">
        <w:t>4</w:t>
      </w:r>
      <w:r w:rsidRPr="00AC0841">
        <w:t xml:space="preserve"> bolo podaných </w:t>
      </w:r>
      <w:r w:rsidRPr="00AC0841">
        <w:rPr>
          <w:b/>
          <w:bCs/>
        </w:rPr>
        <w:t>2</w:t>
      </w:r>
      <w:r w:rsidR="00E53B2D" w:rsidRPr="00AC0841">
        <w:rPr>
          <w:b/>
          <w:bCs/>
        </w:rPr>
        <w:t>3 224</w:t>
      </w:r>
      <w:r w:rsidRPr="00AC0841">
        <w:rPr>
          <w:b/>
          <w:bCs/>
        </w:rPr>
        <w:t xml:space="preserve"> prihlášok</w:t>
      </w:r>
      <w:r w:rsidRPr="00AC0841">
        <w:t xml:space="preserve"> na štúdium na vysokej škole</w:t>
      </w:r>
      <w:r w:rsidR="005C595F" w:rsidRPr="00AC0841">
        <w:rPr>
          <w:rStyle w:val="Odkaznapoznmkupodiarou"/>
        </w:rPr>
        <w:footnoteReference w:id="7"/>
      </w:r>
      <w:r w:rsidR="005C595F" w:rsidRPr="00AC0841">
        <w:t>)</w:t>
      </w:r>
      <w:r w:rsidRPr="00AC0841">
        <w:t xml:space="preserve"> v študijných programoch </w:t>
      </w:r>
      <w:r w:rsidRPr="00AC0841">
        <w:rPr>
          <w:b/>
          <w:bCs/>
        </w:rPr>
        <w:t xml:space="preserve">druhého stupňa v dennej forme </w:t>
      </w:r>
      <w:r w:rsidRPr="00AC0841">
        <w:t>a</w:t>
      </w:r>
      <w:r w:rsidR="00E53B2D" w:rsidRPr="00AC0841">
        <w:t> 10 065</w:t>
      </w:r>
      <w:r w:rsidRPr="00AC0841">
        <w:t xml:space="preserve"> v externej forme štúdia, čo predstavuje o </w:t>
      </w:r>
      <w:r w:rsidR="00E70F38" w:rsidRPr="00AC0841">
        <w:t>2</w:t>
      </w:r>
      <w:r w:rsidRPr="00AC0841">
        <w:t xml:space="preserve"> </w:t>
      </w:r>
      <w:r w:rsidR="00E53B2D" w:rsidRPr="00AC0841">
        <w:t>746</w:t>
      </w:r>
      <w:r w:rsidRPr="00AC0841">
        <w:t xml:space="preserve"> podaných prihlášok menej ako v roku 201</w:t>
      </w:r>
      <w:r w:rsidR="00E53B2D" w:rsidRPr="00AC0841">
        <w:t>3</w:t>
      </w:r>
      <w:r w:rsidRPr="00AC0841">
        <w:t>, z toho o </w:t>
      </w:r>
      <w:r w:rsidR="00E53B2D" w:rsidRPr="00AC0841">
        <w:t>931</w:t>
      </w:r>
      <w:r w:rsidRPr="00AC0841">
        <w:t xml:space="preserve"> menej na</w:t>
      </w:r>
      <w:r w:rsidR="00610ED0">
        <w:t> </w:t>
      </w:r>
      <w:r w:rsidRPr="00AC0841">
        <w:t xml:space="preserve">dennú formu a o </w:t>
      </w:r>
      <w:r w:rsidR="00E70F38" w:rsidRPr="00AC0841">
        <w:t>1</w:t>
      </w:r>
      <w:r w:rsidRPr="00AC0841">
        <w:t> </w:t>
      </w:r>
      <w:r w:rsidR="00E53B2D" w:rsidRPr="00AC0841">
        <w:t>81</w:t>
      </w:r>
      <w:r w:rsidR="00E70F38" w:rsidRPr="00AC0841">
        <w:t>5</w:t>
      </w:r>
      <w:r w:rsidRPr="00AC0841">
        <w:t xml:space="preserve"> menej na externú formu. O štúdium sa uchádzalo </w:t>
      </w:r>
      <w:r w:rsidR="00E53B2D" w:rsidRPr="00AC0841">
        <w:rPr>
          <w:b/>
          <w:bCs/>
        </w:rPr>
        <w:t>29 420</w:t>
      </w:r>
      <w:r w:rsidRPr="00AC0841">
        <w:rPr>
          <w:b/>
          <w:bCs/>
        </w:rPr>
        <w:t xml:space="preserve"> občanov SR,</w:t>
      </w:r>
      <w:r w:rsidRPr="00AC0841">
        <w:t> </w:t>
      </w:r>
      <w:r w:rsidRPr="00AC0841">
        <w:rPr>
          <w:b/>
          <w:bCs/>
        </w:rPr>
        <w:t>prijatých bolo</w:t>
      </w:r>
      <w:r w:rsidRPr="00AC0841">
        <w:t xml:space="preserve"> </w:t>
      </w:r>
      <w:r w:rsidR="00E53B2D" w:rsidRPr="00AC0841">
        <w:t>27 607</w:t>
      </w:r>
      <w:r w:rsidRPr="00AC0841">
        <w:t xml:space="preserve"> uchádzačov </w:t>
      </w:r>
      <w:r w:rsidRPr="00AC0841">
        <w:rPr>
          <w:b/>
          <w:bCs/>
        </w:rPr>
        <w:t>(</w:t>
      </w:r>
      <w:r w:rsidR="00E53B2D" w:rsidRPr="00AC0841">
        <w:rPr>
          <w:b/>
          <w:bCs/>
        </w:rPr>
        <w:t>93,84</w:t>
      </w:r>
      <w:r w:rsidRPr="00AC0841">
        <w:rPr>
          <w:b/>
          <w:bCs/>
        </w:rPr>
        <w:t xml:space="preserve"> %)</w:t>
      </w:r>
      <w:r w:rsidRPr="00AC0841">
        <w:t xml:space="preserve"> a na štúdium sa </w:t>
      </w:r>
      <w:r w:rsidRPr="00AC0841">
        <w:rPr>
          <w:b/>
          <w:bCs/>
        </w:rPr>
        <w:t xml:space="preserve">zapísalo </w:t>
      </w:r>
      <w:r w:rsidR="00610ED0">
        <w:rPr>
          <w:b/>
          <w:bCs/>
        </w:rPr>
        <w:t>25</w:t>
      </w:r>
      <w:r w:rsidR="008A7B73">
        <w:rPr>
          <w:b/>
          <w:bCs/>
        </w:rPr>
        <w:t> </w:t>
      </w:r>
      <w:r w:rsidR="00610ED0">
        <w:rPr>
          <w:b/>
          <w:bCs/>
        </w:rPr>
        <w:t>837</w:t>
      </w:r>
      <w:r w:rsidR="008A7B73">
        <w:rPr>
          <w:b/>
          <w:bCs/>
        </w:rPr>
        <w:t> </w:t>
      </w:r>
      <w:r w:rsidRPr="00AC0841">
        <w:rPr>
          <w:b/>
          <w:bCs/>
        </w:rPr>
        <w:t>uchádzačov (93,</w:t>
      </w:r>
      <w:r w:rsidR="00E53B2D" w:rsidRPr="00AC0841">
        <w:rPr>
          <w:b/>
          <w:bCs/>
        </w:rPr>
        <w:t>59</w:t>
      </w:r>
      <w:r w:rsidRPr="00AC0841">
        <w:rPr>
          <w:b/>
          <w:bCs/>
        </w:rPr>
        <w:t xml:space="preserve"> % z prijatých)</w:t>
      </w:r>
      <w:r w:rsidRPr="00AC0841">
        <w:t>.</w:t>
      </w:r>
      <w:r w:rsidR="00610ED0" w:rsidRPr="00610ED0">
        <w:t xml:space="preserve"> </w:t>
      </w:r>
      <w:r w:rsidR="00610ED0">
        <w:t xml:space="preserve">Ženy podali </w:t>
      </w:r>
      <w:r w:rsidR="00610ED0" w:rsidRPr="00610ED0">
        <w:rPr>
          <w:bCs/>
        </w:rPr>
        <w:t>14 016 prihlášok</w:t>
      </w:r>
      <w:r w:rsidR="00610ED0" w:rsidRPr="00610ED0">
        <w:t xml:space="preserve"> na štúdium na</w:t>
      </w:r>
      <w:r w:rsidR="008A7B73">
        <w:t> </w:t>
      </w:r>
      <w:r w:rsidR="00610ED0" w:rsidRPr="00610ED0">
        <w:t>vysokej škole</w:t>
      </w:r>
      <w:r w:rsidR="00610ED0" w:rsidRPr="00610ED0">
        <w:rPr>
          <w:vertAlign w:val="superscript"/>
        </w:rPr>
        <w:t>7</w:t>
      </w:r>
      <w:r w:rsidR="00610ED0">
        <w:t>)</w:t>
      </w:r>
      <w:r w:rsidR="00610ED0" w:rsidRPr="00610ED0">
        <w:t xml:space="preserve"> v študijných programoch </w:t>
      </w:r>
      <w:r w:rsidR="00610ED0" w:rsidRPr="00610ED0">
        <w:rPr>
          <w:bCs/>
        </w:rPr>
        <w:t xml:space="preserve">druhého stupňa v dennej forme </w:t>
      </w:r>
      <w:r w:rsidR="00610ED0">
        <w:rPr>
          <w:bCs/>
        </w:rPr>
        <w:t xml:space="preserve">a </w:t>
      </w:r>
      <w:r w:rsidR="00610ED0" w:rsidRPr="00610ED0">
        <w:t>6 843</w:t>
      </w:r>
      <w:r w:rsidR="00610ED0">
        <w:t xml:space="preserve"> v externej forme štúdia</w:t>
      </w:r>
      <w:r w:rsidR="00610ED0" w:rsidRPr="00610ED0">
        <w:t>. O štúdium sa uchádzalo</w:t>
      </w:r>
      <w:r w:rsidR="00610ED0">
        <w:t xml:space="preserve"> </w:t>
      </w:r>
      <w:r w:rsidR="00610ED0" w:rsidRPr="00610ED0">
        <w:t>18 181</w:t>
      </w:r>
      <w:r w:rsidR="00610ED0" w:rsidRPr="00610ED0">
        <w:rPr>
          <w:bCs/>
        </w:rPr>
        <w:t xml:space="preserve"> obč</w:t>
      </w:r>
      <w:r w:rsidR="00610ED0">
        <w:rPr>
          <w:bCs/>
        </w:rPr>
        <w:t>i</w:t>
      </w:r>
      <w:r w:rsidR="00610ED0" w:rsidRPr="00610ED0">
        <w:rPr>
          <w:bCs/>
        </w:rPr>
        <w:t>an</w:t>
      </w:r>
      <w:r w:rsidR="00610ED0">
        <w:rPr>
          <w:bCs/>
        </w:rPr>
        <w:t>ok</w:t>
      </w:r>
      <w:r w:rsidR="00610ED0" w:rsidRPr="00610ED0">
        <w:rPr>
          <w:bCs/>
        </w:rPr>
        <w:t xml:space="preserve"> SR,</w:t>
      </w:r>
      <w:r w:rsidR="00610ED0" w:rsidRPr="00610ED0">
        <w:t> </w:t>
      </w:r>
      <w:r w:rsidR="00610ED0" w:rsidRPr="00610ED0">
        <w:rPr>
          <w:bCs/>
        </w:rPr>
        <w:t>prijatých bolo</w:t>
      </w:r>
      <w:r w:rsidR="00610ED0" w:rsidRPr="00610ED0">
        <w:t xml:space="preserve"> 17</w:t>
      </w:r>
      <w:r w:rsidR="00610ED0">
        <w:t> </w:t>
      </w:r>
      <w:r w:rsidR="00610ED0" w:rsidRPr="00610ED0">
        <w:t>090</w:t>
      </w:r>
      <w:r w:rsidR="00610ED0">
        <w:t xml:space="preserve"> (</w:t>
      </w:r>
      <w:r w:rsidR="00610ED0" w:rsidRPr="00610ED0">
        <w:rPr>
          <w:bCs/>
        </w:rPr>
        <w:t>94,00 %)</w:t>
      </w:r>
      <w:r w:rsidR="00610ED0" w:rsidRPr="00610ED0">
        <w:t xml:space="preserve"> a</w:t>
      </w:r>
      <w:r w:rsidR="00610ED0">
        <w:t> </w:t>
      </w:r>
      <w:r w:rsidR="00610ED0" w:rsidRPr="00610ED0">
        <w:t>na</w:t>
      </w:r>
      <w:r w:rsidR="00610ED0">
        <w:t> </w:t>
      </w:r>
      <w:r w:rsidR="00610ED0" w:rsidRPr="00610ED0">
        <w:t xml:space="preserve">štúdium sa </w:t>
      </w:r>
      <w:r w:rsidR="00610ED0" w:rsidRPr="00610ED0">
        <w:rPr>
          <w:bCs/>
        </w:rPr>
        <w:t>zapísalo 15 890 uchádzač</w:t>
      </w:r>
      <w:r w:rsidR="000B3F7F">
        <w:rPr>
          <w:bCs/>
        </w:rPr>
        <w:t>iek</w:t>
      </w:r>
      <w:r w:rsidR="00610ED0" w:rsidRPr="00610ED0">
        <w:rPr>
          <w:bCs/>
        </w:rPr>
        <w:t xml:space="preserve"> (92,98 % z prijatých)</w:t>
      </w:r>
      <w:r w:rsidR="00610ED0">
        <w:t>.</w:t>
      </w:r>
    </w:p>
    <w:p w:rsidR="009C57FB" w:rsidRPr="00AC0841" w:rsidRDefault="009C57FB" w:rsidP="00C2109F">
      <w:pPr>
        <w:pStyle w:val="Zoznam1"/>
      </w:pPr>
      <w:r w:rsidRPr="00AC0841">
        <w:t>Štyri pätiny</w:t>
      </w:r>
      <w:r w:rsidR="002D75A1" w:rsidRPr="00AC0841">
        <w:t xml:space="preserve"> (80,52 %)</w:t>
      </w:r>
      <w:r w:rsidRPr="00AC0841">
        <w:t xml:space="preserve"> prihlášok podali absolventi bakalárskeho štúdia na tej istej vysokej škole. Najmenší podiel prihlášok absolventov bakalárskeho štúdia z inej vysokej školy mala U</w:t>
      </w:r>
      <w:r w:rsidR="002D75A1" w:rsidRPr="00AC0841">
        <w:t>VLF</w:t>
      </w:r>
      <w:r w:rsidRPr="00AC0841">
        <w:t> Ko</w:t>
      </w:r>
      <w:r w:rsidR="002D75A1" w:rsidRPr="00AC0841">
        <w:t>šice</w:t>
      </w:r>
      <w:r w:rsidRPr="00AC0841">
        <w:t xml:space="preserve"> (</w:t>
      </w:r>
      <w:r w:rsidR="002D75A1" w:rsidRPr="00AC0841">
        <w:t>5</w:t>
      </w:r>
      <w:r w:rsidRPr="00AC0841">
        <w:t xml:space="preserve"> %).</w:t>
      </w:r>
    </w:p>
    <w:p w:rsidR="009C57FB" w:rsidRPr="00AC0841" w:rsidRDefault="009C57FB" w:rsidP="00C2109F">
      <w:pPr>
        <w:pStyle w:val="Zoznam1"/>
      </w:pPr>
      <w:r w:rsidRPr="00AC0841">
        <w:t>8</w:t>
      </w:r>
      <w:r w:rsidR="002D75A1" w:rsidRPr="00AC0841">
        <w:t>9</w:t>
      </w:r>
      <w:r w:rsidRPr="00AC0841">
        <w:t>,</w:t>
      </w:r>
      <w:r w:rsidR="002D75A1" w:rsidRPr="00AC0841">
        <w:t>27</w:t>
      </w:r>
      <w:r w:rsidRPr="00AC0841">
        <w:t xml:space="preserve"> % z uchádzačov o štúdium v druhom stupni získalo vysokoškolské vzdelanie v prvom stupni v roku 201</w:t>
      </w:r>
      <w:r w:rsidR="002D75A1" w:rsidRPr="00AC0841">
        <w:t>4</w:t>
      </w:r>
      <w:r w:rsidRPr="00AC0841">
        <w:t xml:space="preserve">. Z hľadiska zápisu na štúdium druhého stupňa predstavovali </w:t>
      </w:r>
      <w:r w:rsidRPr="00AC0841">
        <w:rPr>
          <w:b/>
          <w:bCs/>
        </w:rPr>
        <w:t>absolventi z roku 201</w:t>
      </w:r>
      <w:r w:rsidR="002D75A1" w:rsidRPr="00AC0841">
        <w:rPr>
          <w:b/>
          <w:bCs/>
        </w:rPr>
        <w:t>4</w:t>
      </w:r>
      <w:r w:rsidRPr="00AC0841">
        <w:rPr>
          <w:b/>
          <w:bCs/>
        </w:rPr>
        <w:t xml:space="preserve"> </w:t>
      </w:r>
      <w:r w:rsidRPr="00AC0841">
        <w:t>z celkového počtu zapísaných</w:t>
      </w:r>
      <w:r w:rsidRPr="00AC0841">
        <w:rPr>
          <w:b/>
          <w:bCs/>
        </w:rPr>
        <w:t xml:space="preserve"> </w:t>
      </w:r>
      <w:r w:rsidR="002D75A1" w:rsidRPr="00AC0841">
        <w:rPr>
          <w:b/>
          <w:bCs/>
        </w:rPr>
        <w:t>90,31</w:t>
      </w:r>
      <w:r w:rsidRPr="00AC0841">
        <w:rPr>
          <w:b/>
          <w:bCs/>
        </w:rPr>
        <w:t xml:space="preserve"> %</w:t>
      </w:r>
      <w:r w:rsidRPr="00AC0841">
        <w:t>.</w:t>
      </w:r>
    </w:p>
    <w:p w:rsidR="00DF034F" w:rsidRPr="00AC0841" w:rsidRDefault="00DF034F" w:rsidP="00C2109F">
      <w:pPr>
        <w:pStyle w:val="Zoznam1"/>
      </w:pPr>
      <w:r w:rsidRPr="00AC0841">
        <w:t xml:space="preserve">Podrobnejšie údaje sú uvedené </w:t>
      </w:r>
      <w:r w:rsidRPr="00AC0841">
        <w:rPr>
          <w:b/>
        </w:rPr>
        <w:t>v tabuľkách č. 6 až 9</w:t>
      </w:r>
      <w:r w:rsidRPr="00AC0841">
        <w:t>.</w:t>
      </w:r>
    </w:p>
    <w:p w:rsidR="00B323E9" w:rsidRPr="00AC0841" w:rsidRDefault="00B323E9" w:rsidP="00425C74">
      <w:pPr>
        <w:pStyle w:val="Nadpis4"/>
        <w:rPr>
          <w:i w:val="0"/>
          <w:iCs w:val="0"/>
          <w:lang w:val="sk-SK"/>
        </w:rPr>
      </w:pPr>
      <w:bookmarkStart w:id="40" w:name="_Toc427750176"/>
      <w:r w:rsidRPr="00AC0841">
        <w:rPr>
          <w:lang w:val="sk-SK"/>
        </w:rPr>
        <w:t>Dostupnosť štúdia pre občanov so špecifickými potrebami</w:t>
      </w:r>
      <w:bookmarkEnd w:id="40"/>
    </w:p>
    <w:p w:rsidR="005D495D" w:rsidRPr="00975C6D" w:rsidRDefault="00E93B78" w:rsidP="00C2109F">
      <w:pPr>
        <w:pStyle w:val="Zoznam1"/>
        <w:rPr>
          <w:rStyle w:val="Siln"/>
          <w:b w:val="0"/>
        </w:rPr>
      </w:pPr>
      <w:r w:rsidRPr="00AC0841">
        <w:t>V roku 2014 pokračovala vo svojej činnosti</w:t>
      </w:r>
      <w:r w:rsidR="00D757A0" w:rsidRPr="00AC0841">
        <w:t xml:space="preserve"> Rada</w:t>
      </w:r>
      <w:r w:rsidR="00D757A0" w:rsidRPr="00AC0841">
        <w:rPr>
          <w:rStyle w:val="Siln"/>
          <w:b w:val="0"/>
          <w:bCs/>
          <w:color w:val="000000"/>
        </w:rPr>
        <w:t xml:space="preserve"> ministra školstva, </w:t>
      </w:r>
      <w:r w:rsidR="00D757A0" w:rsidRPr="00AC0841">
        <w:t>vedy</w:t>
      </w:r>
      <w:r w:rsidR="00D757A0" w:rsidRPr="00AC0841">
        <w:rPr>
          <w:rStyle w:val="Siln"/>
          <w:b w:val="0"/>
          <w:bCs/>
          <w:color w:val="000000"/>
        </w:rPr>
        <w:t>, výskumu a športu Slovenskej republiky</w:t>
      </w:r>
      <w:r w:rsidR="00D757A0" w:rsidRPr="00AC0841">
        <w:rPr>
          <w:b/>
        </w:rPr>
        <w:t xml:space="preserve"> </w:t>
      </w:r>
      <w:r w:rsidR="00D757A0" w:rsidRPr="00AC0841">
        <w:rPr>
          <w:rStyle w:val="Siln"/>
          <w:b w:val="0"/>
          <w:bCs/>
          <w:color w:val="000000"/>
        </w:rPr>
        <w:t>na podporu štúdia študentov so špecifickými potrebami ako konzultačný orgán</w:t>
      </w:r>
      <w:r w:rsidR="00B323E9" w:rsidRPr="00AC0841">
        <w:t xml:space="preserve">, </w:t>
      </w:r>
      <w:r w:rsidR="00B323E9" w:rsidRPr="00AC0841">
        <w:rPr>
          <w:rStyle w:val="Siln"/>
          <w:b w:val="0"/>
          <w:bCs/>
          <w:color w:val="000000"/>
        </w:rPr>
        <w:t xml:space="preserve">v ktorej </w:t>
      </w:r>
      <w:r w:rsidR="00B323E9" w:rsidRPr="00975C6D">
        <w:rPr>
          <w:rStyle w:val="Siln"/>
          <w:b w:val="0"/>
          <w:bCs/>
          <w:color w:val="000000"/>
        </w:rPr>
        <w:t xml:space="preserve">sú zastúpení predstavitelia akademickej obce, neziskového sektora a ministerstva. V spolupráci s vysokými školami, odborníkmi z akademického prostredia ako aj z prostredia neziskových organizácií má ministerstvo záujem o pravidelné monitorovanie podmienok štúdia študentov so špecifickými potrebami, vytváranie systémových nástrojov na zlepšovanie podmienok na štúdium študentov so špecifickými potrebami, osobitne odstraňovaním bariér fyzických, informačných a iných. Na rozdiel </w:t>
      </w:r>
      <w:r w:rsidR="00B323E9" w:rsidRPr="00975C6D">
        <w:rPr>
          <w:rStyle w:val="Siln"/>
          <w:b w:val="0"/>
          <w:bCs/>
          <w:color w:val="000000"/>
        </w:rPr>
        <w:lastRenderedPageBreak/>
        <w:t>od</w:t>
      </w:r>
      <w:r w:rsidR="004A5665" w:rsidRPr="00975C6D">
        <w:rPr>
          <w:rStyle w:val="Siln"/>
          <w:b w:val="0"/>
          <w:bCs/>
          <w:color w:val="000000"/>
        </w:rPr>
        <w:t> </w:t>
      </w:r>
      <w:r w:rsidR="00B323E9" w:rsidRPr="00975C6D">
        <w:rPr>
          <w:rStyle w:val="Siln"/>
          <w:b w:val="0"/>
          <w:bCs/>
          <w:color w:val="000000"/>
        </w:rPr>
        <w:t>predchádzajúcich rokov nejde len o zdravotne postihnutých študentov, ale aj o</w:t>
      </w:r>
      <w:r w:rsidR="00D757A0" w:rsidRPr="00975C6D">
        <w:rPr>
          <w:rStyle w:val="Siln"/>
          <w:b w:val="0"/>
          <w:bCs/>
          <w:color w:val="000000"/>
        </w:rPr>
        <w:t xml:space="preserve"> </w:t>
      </w:r>
      <w:r w:rsidR="00B323E9" w:rsidRPr="00975C6D">
        <w:rPr>
          <w:rStyle w:val="Siln"/>
          <w:b w:val="0"/>
          <w:bCs/>
          <w:color w:val="000000"/>
        </w:rPr>
        <w:t>študentov s</w:t>
      </w:r>
      <w:r w:rsidR="004A5665" w:rsidRPr="00975C6D">
        <w:rPr>
          <w:rStyle w:val="Siln"/>
          <w:b w:val="0"/>
          <w:bCs/>
          <w:color w:val="000000"/>
        </w:rPr>
        <w:t> </w:t>
      </w:r>
      <w:r w:rsidR="00B323E9" w:rsidRPr="00975C6D">
        <w:rPr>
          <w:rStyle w:val="Siln"/>
          <w:b w:val="0"/>
          <w:bCs/>
          <w:color w:val="000000"/>
        </w:rPr>
        <w:t xml:space="preserve">chronickým ochorením, so zdravotným oslabením, </w:t>
      </w:r>
      <w:r w:rsidR="004A5665" w:rsidRPr="00975C6D">
        <w:rPr>
          <w:rStyle w:val="Siln"/>
          <w:b w:val="0"/>
          <w:bCs/>
          <w:color w:val="000000"/>
        </w:rPr>
        <w:t>či psychických ochorením a</w:t>
      </w:r>
      <w:r w:rsidRPr="00975C6D">
        <w:rPr>
          <w:rStyle w:val="Siln"/>
          <w:b w:val="0"/>
          <w:bCs/>
          <w:color w:val="000000"/>
        </w:rPr>
        <w:t> </w:t>
      </w:r>
      <w:r w:rsidR="004A5665" w:rsidRPr="00975C6D">
        <w:rPr>
          <w:rStyle w:val="Siln"/>
          <w:b w:val="0"/>
          <w:bCs/>
          <w:color w:val="000000"/>
        </w:rPr>
        <w:t>pod.</w:t>
      </w:r>
      <w:bookmarkStart w:id="41" w:name="_Toc136920249"/>
      <w:bookmarkStart w:id="42" w:name="_Toc264838384"/>
    </w:p>
    <w:p w:rsidR="00652A74" w:rsidRPr="00975C6D" w:rsidRDefault="00652A74" w:rsidP="005D495D">
      <w:pPr>
        <w:pStyle w:val="Nadpis4"/>
        <w:rPr>
          <w:lang w:val="sk-SK"/>
        </w:rPr>
      </w:pPr>
      <w:bookmarkStart w:id="43" w:name="_Toc427750177"/>
      <w:r w:rsidRPr="00975C6D">
        <w:rPr>
          <w:lang w:val="sk-SK"/>
        </w:rPr>
        <w:t>Vysokoškolská mobilita</w:t>
      </w:r>
      <w:bookmarkEnd w:id="41"/>
      <w:bookmarkEnd w:id="42"/>
      <w:bookmarkEnd w:id="43"/>
    </w:p>
    <w:p w:rsidR="00C556B1" w:rsidRPr="00975C6D" w:rsidRDefault="00C556B1" w:rsidP="00C2109F">
      <w:pPr>
        <w:pStyle w:val="Zoznam1"/>
      </w:pPr>
      <w:r w:rsidRPr="00975C6D">
        <w:t>Všetky verejné vysoké šk</w:t>
      </w:r>
      <w:r w:rsidR="00007AB0" w:rsidRPr="00975C6D">
        <w:t xml:space="preserve">oly boli v akademickom roku </w:t>
      </w:r>
      <w:r w:rsidR="006C225A" w:rsidRPr="00975C6D">
        <w:t>20</w:t>
      </w:r>
      <w:r w:rsidR="00651DD0" w:rsidRPr="00975C6D">
        <w:t>1</w:t>
      </w:r>
      <w:r w:rsidR="00023010" w:rsidRPr="00975C6D">
        <w:t>3</w:t>
      </w:r>
      <w:r w:rsidR="00651DD0" w:rsidRPr="00975C6D">
        <w:t>/201</w:t>
      </w:r>
      <w:r w:rsidR="00023010" w:rsidRPr="00975C6D">
        <w:t>4</w:t>
      </w:r>
      <w:r w:rsidRPr="00975C6D">
        <w:t xml:space="preserve"> zapojené do</w:t>
      </w:r>
      <w:r w:rsidR="00CA10AE" w:rsidRPr="00975C6D">
        <w:t> </w:t>
      </w:r>
      <w:r w:rsidRPr="00975C6D">
        <w:t xml:space="preserve">podprogramu </w:t>
      </w:r>
      <w:proofErr w:type="spellStart"/>
      <w:r w:rsidRPr="00975C6D">
        <w:rPr>
          <w:b/>
        </w:rPr>
        <w:t>Erasmus</w:t>
      </w:r>
      <w:proofErr w:type="spellEnd"/>
      <w:r w:rsidR="00023010" w:rsidRPr="00975C6D">
        <w:rPr>
          <w:b/>
        </w:rPr>
        <w:t>+</w:t>
      </w:r>
      <w:r w:rsidRPr="00975C6D">
        <w:t xml:space="preserve">. </w:t>
      </w:r>
      <w:r w:rsidR="00E02F55" w:rsidRPr="00975C6D">
        <w:t>Mobility sa vyhodnocujú podľa akademických rokov, preto uvádzame, že v akademickom roku 20</w:t>
      </w:r>
      <w:r w:rsidR="00651DD0" w:rsidRPr="00975C6D">
        <w:t>1</w:t>
      </w:r>
      <w:r w:rsidR="00023010" w:rsidRPr="00975C6D">
        <w:t>3</w:t>
      </w:r>
      <w:r w:rsidR="00651DD0" w:rsidRPr="00975C6D">
        <w:t>/201</w:t>
      </w:r>
      <w:r w:rsidR="00023010" w:rsidRPr="00975C6D">
        <w:t>4</w:t>
      </w:r>
      <w:r w:rsidR="00E02F55" w:rsidRPr="00975C6D">
        <w:t xml:space="preserve"> možnosť vyce</w:t>
      </w:r>
      <w:r w:rsidR="00023010" w:rsidRPr="00975C6D">
        <w:t xml:space="preserve">stovať prostredníctvom tohto </w:t>
      </w:r>
      <w:r w:rsidR="00E02F55" w:rsidRPr="00975C6D">
        <w:t xml:space="preserve">programu využilo </w:t>
      </w:r>
      <w:r w:rsidR="00651DD0" w:rsidRPr="00975C6D">
        <w:t>2</w:t>
      </w:r>
      <w:r w:rsidR="00023010" w:rsidRPr="00975C6D">
        <w:t xml:space="preserve"> 568</w:t>
      </w:r>
      <w:r w:rsidR="00E02F55" w:rsidRPr="00975C6D">
        <w:rPr>
          <w:bCs/>
        </w:rPr>
        <w:t xml:space="preserve"> študentov</w:t>
      </w:r>
      <w:r w:rsidR="00E02F55" w:rsidRPr="00975C6D">
        <w:t xml:space="preserve"> na študijný pobyt v priemernej dĺžke </w:t>
      </w:r>
      <w:r w:rsidR="00E02F55" w:rsidRPr="00975C6D">
        <w:rPr>
          <w:bCs/>
        </w:rPr>
        <w:t>5,</w:t>
      </w:r>
      <w:r w:rsidR="00023010" w:rsidRPr="00975C6D">
        <w:rPr>
          <w:bCs/>
        </w:rPr>
        <w:t>12</w:t>
      </w:r>
      <w:r w:rsidR="00E02F55" w:rsidRPr="00975C6D">
        <w:rPr>
          <w:bCs/>
        </w:rPr>
        <w:t xml:space="preserve"> mesiac</w:t>
      </w:r>
      <w:r w:rsidR="00E02F55" w:rsidRPr="00975C6D">
        <w:t xml:space="preserve"> a</w:t>
      </w:r>
      <w:r w:rsidR="008A7B73">
        <w:t> </w:t>
      </w:r>
      <w:r w:rsidR="00023010" w:rsidRPr="00975C6D">
        <w:t>609</w:t>
      </w:r>
      <w:r w:rsidR="008A7B73">
        <w:t> </w:t>
      </w:r>
      <w:r w:rsidR="00E02F55" w:rsidRPr="00975C6D">
        <w:t>študentov na pracovnú stáž do podnikov v priemernej dĺžke 3,</w:t>
      </w:r>
      <w:r w:rsidR="000D0D4D" w:rsidRPr="00975C6D">
        <w:t>6</w:t>
      </w:r>
      <w:r w:rsidR="007A0AF3" w:rsidRPr="00975C6D">
        <w:t>4</w:t>
      </w:r>
      <w:r w:rsidR="00E02F55" w:rsidRPr="00975C6D">
        <w:t xml:space="preserve"> mesiaca. Spolu vycestovalo </w:t>
      </w:r>
      <w:r w:rsidR="00E035E1" w:rsidRPr="00975C6D">
        <w:t>3</w:t>
      </w:r>
      <w:r w:rsidR="00023010" w:rsidRPr="00975C6D">
        <w:t> 177</w:t>
      </w:r>
      <w:r w:rsidR="00E02F55" w:rsidRPr="00975C6D">
        <w:t xml:space="preserve"> študentov</w:t>
      </w:r>
      <w:r w:rsidR="00023010" w:rsidRPr="00975C6D">
        <w:t xml:space="preserve">. </w:t>
      </w:r>
      <w:r w:rsidR="00E02F55" w:rsidRPr="00975C6D">
        <w:t xml:space="preserve">Najviac, </w:t>
      </w:r>
      <w:r w:rsidR="00651DD0" w:rsidRPr="00975C6D">
        <w:t>5</w:t>
      </w:r>
      <w:r w:rsidR="00023010" w:rsidRPr="00975C6D">
        <w:t>81</w:t>
      </w:r>
      <w:r w:rsidR="00E02F55" w:rsidRPr="00975C6D">
        <w:t xml:space="preserve"> vyslaných študentov, študovalo na</w:t>
      </w:r>
      <w:r w:rsidR="00023010" w:rsidRPr="00975C6D">
        <w:t xml:space="preserve"> </w:t>
      </w:r>
      <w:r w:rsidR="00E02F55" w:rsidRPr="00975C6D">
        <w:t>UK</w:t>
      </w:r>
      <w:r w:rsidR="00023010" w:rsidRPr="00975C6D">
        <w:t xml:space="preserve"> v</w:t>
      </w:r>
      <w:r w:rsidR="008A7B73">
        <w:t> </w:t>
      </w:r>
      <w:r w:rsidR="00E02F55" w:rsidRPr="00975C6D">
        <w:t>Bratislav</w:t>
      </w:r>
      <w:r w:rsidR="00023010" w:rsidRPr="00975C6D">
        <w:t>e</w:t>
      </w:r>
      <w:r w:rsidRPr="00975C6D">
        <w:t>.</w:t>
      </w:r>
    </w:p>
    <w:p w:rsidR="00651DD0" w:rsidRPr="000B3F7F" w:rsidRDefault="00651DD0" w:rsidP="00C2109F">
      <w:pPr>
        <w:pStyle w:val="Zoznam1"/>
      </w:pPr>
      <w:r w:rsidRPr="000B3F7F">
        <w:t>Priemerný mesačný grant študenta v akademickom roku 201</w:t>
      </w:r>
      <w:r w:rsidR="00023010" w:rsidRPr="000B3F7F">
        <w:t>3</w:t>
      </w:r>
      <w:r w:rsidRPr="000B3F7F">
        <w:t>/201</w:t>
      </w:r>
      <w:r w:rsidR="00023010" w:rsidRPr="000B3F7F">
        <w:t>4</w:t>
      </w:r>
      <w:r w:rsidRPr="000B3F7F">
        <w:t xml:space="preserve"> na štúdium bol </w:t>
      </w:r>
      <w:r w:rsidR="00023010" w:rsidRPr="000B3F7F">
        <w:t>405</w:t>
      </w:r>
      <w:r w:rsidRPr="000B3F7F">
        <w:t xml:space="preserve"> </w:t>
      </w:r>
      <w:r w:rsidR="004251A0" w:rsidRPr="000B3F7F">
        <w:t>€</w:t>
      </w:r>
      <w:r w:rsidRPr="000B3F7F">
        <w:t xml:space="preserve"> a na stáž </w:t>
      </w:r>
      <w:r w:rsidR="00023010" w:rsidRPr="000B3F7F">
        <w:t>488</w:t>
      </w:r>
      <w:r w:rsidRPr="000B3F7F">
        <w:t xml:space="preserve"> </w:t>
      </w:r>
      <w:r w:rsidR="004251A0" w:rsidRPr="000B3F7F">
        <w:t>€</w:t>
      </w:r>
      <w:r w:rsidRPr="000B3F7F">
        <w:t>. Najviac študentov vycestovalo do Českej republiky (</w:t>
      </w:r>
      <w:r w:rsidR="003D1EAD" w:rsidRPr="000B3F7F">
        <w:t>3</w:t>
      </w:r>
      <w:r w:rsidR="00023010" w:rsidRPr="000B3F7F">
        <w:t xml:space="preserve">97 </w:t>
      </w:r>
      <w:r w:rsidRPr="000B3F7F">
        <w:t>na štúdium a</w:t>
      </w:r>
      <w:r w:rsidR="00EC6F75" w:rsidRPr="000B3F7F">
        <w:t> </w:t>
      </w:r>
      <w:r w:rsidR="00E035E1" w:rsidRPr="000B3F7F">
        <w:t>2</w:t>
      </w:r>
      <w:r w:rsidR="00023010" w:rsidRPr="000B3F7F">
        <w:t>40</w:t>
      </w:r>
      <w:r w:rsidR="00EC6F75" w:rsidRPr="000B3F7F">
        <w:t> </w:t>
      </w:r>
      <w:r w:rsidRPr="000B3F7F">
        <w:t>na</w:t>
      </w:r>
      <w:r w:rsidR="00CA10AE" w:rsidRPr="000B3F7F">
        <w:t> </w:t>
      </w:r>
      <w:r w:rsidRPr="000B3F7F">
        <w:t xml:space="preserve">stáž), </w:t>
      </w:r>
      <w:r w:rsidR="001C4009" w:rsidRPr="000B3F7F">
        <w:t>do</w:t>
      </w:r>
      <w:r w:rsidR="00390566" w:rsidRPr="000B3F7F">
        <w:t xml:space="preserve"> </w:t>
      </w:r>
      <w:r w:rsidRPr="000B3F7F">
        <w:t>Nemeck</w:t>
      </w:r>
      <w:r w:rsidR="001C4009" w:rsidRPr="000B3F7F">
        <w:t>a</w:t>
      </w:r>
      <w:r w:rsidRPr="000B3F7F">
        <w:t xml:space="preserve"> </w:t>
      </w:r>
      <w:r w:rsidR="003D1EAD" w:rsidRPr="000B3F7F">
        <w:t>(3</w:t>
      </w:r>
      <w:r w:rsidR="00023010" w:rsidRPr="000B3F7F">
        <w:t>30</w:t>
      </w:r>
      <w:r w:rsidR="00250D80" w:rsidRPr="000B3F7F">
        <w:t xml:space="preserve"> na štúdium a </w:t>
      </w:r>
      <w:r w:rsidR="00023010" w:rsidRPr="000B3F7F">
        <w:t>89</w:t>
      </w:r>
      <w:r w:rsidR="00250D80" w:rsidRPr="000B3F7F">
        <w:t xml:space="preserve"> na stáž</w:t>
      </w:r>
      <w:r w:rsidR="003D1EAD" w:rsidRPr="000B3F7F">
        <w:t xml:space="preserve">) </w:t>
      </w:r>
      <w:r w:rsidRPr="000B3F7F">
        <w:t>a </w:t>
      </w:r>
      <w:r w:rsidR="000D0D4D" w:rsidRPr="000B3F7F">
        <w:t>Španielsk</w:t>
      </w:r>
      <w:r w:rsidR="001C4009" w:rsidRPr="000B3F7F">
        <w:t>a</w:t>
      </w:r>
      <w:r w:rsidR="002E23FC" w:rsidRPr="000B3F7F">
        <w:t xml:space="preserve"> (2</w:t>
      </w:r>
      <w:r w:rsidR="00023010" w:rsidRPr="000B3F7F">
        <w:t>31</w:t>
      </w:r>
      <w:r w:rsidR="00250D80" w:rsidRPr="000B3F7F">
        <w:t xml:space="preserve"> na štúdium a </w:t>
      </w:r>
      <w:r w:rsidR="002E23FC" w:rsidRPr="000B3F7F">
        <w:t>5</w:t>
      </w:r>
      <w:r w:rsidR="00023010" w:rsidRPr="000B3F7F">
        <w:t>7</w:t>
      </w:r>
      <w:r w:rsidR="00250D80" w:rsidRPr="000B3F7F">
        <w:t> na stáž</w:t>
      </w:r>
      <w:r w:rsidR="002E23FC" w:rsidRPr="000B3F7F">
        <w:t>)</w:t>
      </w:r>
      <w:r w:rsidRPr="000B3F7F">
        <w:t>.</w:t>
      </w:r>
    </w:p>
    <w:p w:rsidR="008F1A84" w:rsidRPr="00AC0841" w:rsidRDefault="0005184A" w:rsidP="00C2109F">
      <w:pPr>
        <w:pStyle w:val="Zoznam1"/>
      </w:pPr>
      <w:r w:rsidRPr="00AC0841">
        <w:t>V</w:t>
      </w:r>
      <w:r w:rsidR="00B132BD" w:rsidRPr="00AC0841">
        <w:t xml:space="preserve"> </w:t>
      </w:r>
      <w:r w:rsidRPr="00AC0841">
        <w:t xml:space="preserve">akademickom </w:t>
      </w:r>
      <w:r w:rsidR="00D171FF" w:rsidRPr="00AC0841">
        <w:t xml:space="preserve">roku </w:t>
      </w:r>
      <w:r w:rsidR="006C225A" w:rsidRPr="00AC0841">
        <w:t>20</w:t>
      </w:r>
      <w:r w:rsidR="00390566" w:rsidRPr="00AC0841">
        <w:t>1</w:t>
      </w:r>
      <w:r w:rsidR="00B132BD" w:rsidRPr="00AC0841">
        <w:t>3</w:t>
      </w:r>
      <w:r w:rsidR="000D0D4D" w:rsidRPr="00AC0841">
        <w:t>/201</w:t>
      </w:r>
      <w:r w:rsidR="00B132BD" w:rsidRPr="00AC0841">
        <w:t xml:space="preserve">4 vycestovalo prostredníctvom </w:t>
      </w:r>
      <w:r w:rsidR="009F7693" w:rsidRPr="00AC0841">
        <w:t xml:space="preserve">programu </w:t>
      </w:r>
      <w:proofErr w:type="spellStart"/>
      <w:r w:rsidR="00E02F55" w:rsidRPr="00AC0841">
        <w:t>Erasmus</w:t>
      </w:r>
      <w:proofErr w:type="spellEnd"/>
      <w:r w:rsidR="00B132BD" w:rsidRPr="00AC0841">
        <w:t>+</w:t>
      </w:r>
      <w:r w:rsidR="00E02F55" w:rsidRPr="00AC0841">
        <w:t xml:space="preserve"> </w:t>
      </w:r>
      <w:r w:rsidR="004E2C36" w:rsidRPr="00AC0841">
        <w:t>1 </w:t>
      </w:r>
      <w:r w:rsidR="00B16E3B" w:rsidRPr="00AC0841">
        <w:t>294</w:t>
      </w:r>
      <w:r w:rsidR="00E02F55" w:rsidRPr="00AC0841">
        <w:t xml:space="preserve"> pracovníkov vysokých škôl za účelom výučby alebo školenia (o </w:t>
      </w:r>
      <w:r w:rsidR="004E2C36" w:rsidRPr="00AC0841">
        <w:t>1</w:t>
      </w:r>
      <w:r w:rsidR="00B16E3B" w:rsidRPr="00AC0841">
        <w:t>51</w:t>
      </w:r>
      <w:r w:rsidR="00E02F55" w:rsidRPr="00AC0841">
        <w:t xml:space="preserve"> viac ako v predchádzajúcom akademickom roku)</w:t>
      </w:r>
      <w:r w:rsidR="00D93F20" w:rsidRPr="00AC0841">
        <w:t>.</w:t>
      </w:r>
    </w:p>
    <w:p w:rsidR="00354A66" w:rsidRPr="00AC0841" w:rsidRDefault="004E2C36" w:rsidP="00C2109F">
      <w:pPr>
        <w:pStyle w:val="Zoznam1"/>
      </w:pPr>
      <w:r w:rsidRPr="00AC0841">
        <w:t>V roku 201</w:t>
      </w:r>
      <w:r w:rsidR="00B132BD" w:rsidRPr="00AC0841">
        <w:t>4</w:t>
      </w:r>
      <w:r w:rsidRPr="00AC0841">
        <w:t xml:space="preserve"> vycestovalo prostredníctvom </w:t>
      </w:r>
      <w:r w:rsidRPr="00AC0841">
        <w:rPr>
          <w:b/>
        </w:rPr>
        <w:t>Národného štipendijného programu</w:t>
      </w:r>
      <w:r w:rsidR="00B132BD" w:rsidRPr="00AC0841">
        <w:t xml:space="preserve"> 24</w:t>
      </w:r>
      <w:r w:rsidR="00EC6F75" w:rsidRPr="00AC0841">
        <w:t> </w:t>
      </w:r>
      <w:r w:rsidRPr="00AC0841">
        <w:t>študentov s trvalým pobytom v S</w:t>
      </w:r>
      <w:r w:rsidR="007560D8">
        <w:t>R</w:t>
      </w:r>
      <w:r w:rsidRPr="00AC0841">
        <w:t xml:space="preserve">, </w:t>
      </w:r>
      <w:r w:rsidR="00B132BD" w:rsidRPr="00AC0841">
        <w:t>68</w:t>
      </w:r>
      <w:r w:rsidRPr="00AC0841">
        <w:t xml:space="preserve"> doktorandov a </w:t>
      </w:r>
      <w:r w:rsidR="00B132BD" w:rsidRPr="00AC0841">
        <w:t>7</w:t>
      </w:r>
      <w:r w:rsidRPr="00AC0841">
        <w:t xml:space="preserve"> uchádzačov získalo samostatný cestovný grant. Naopak, na študijný pobyt v S</w:t>
      </w:r>
      <w:r w:rsidR="007560D8">
        <w:t>R</w:t>
      </w:r>
      <w:r w:rsidRPr="00AC0841">
        <w:t xml:space="preserve"> prišlo 2</w:t>
      </w:r>
      <w:r w:rsidR="00B132BD" w:rsidRPr="00AC0841">
        <w:t>2</w:t>
      </w:r>
      <w:r w:rsidRPr="00AC0841">
        <w:t xml:space="preserve"> študentov zo zahraničia, </w:t>
      </w:r>
      <w:r w:rsidR="00B132BD" w:rsidRPr="00AC0841">
        <w:t>34</w:t>
      </w:r>
      <w:r w:rsidR="008A7B73">
        <w:t> </w:t>
      </w:r>
      <w:r w:rsidRPr="00AC0841">
        <w:t>doktorandov a</w:t>
      </w:r>
      <w:r w:rsidR="00B132BD" w:rsidRPr="00AC0841">
        <w:t xml:space="preserve"> 90</w:t>
      </w:r>
      <w:r w:rsidRPr="00AC0841">
        <w:t xml:space="preserve"> vysokoškolských učiteľov, výskumných alebo umeleckých pracovníkov. Priemerná dĺžka pob</w:t>
      </w:r>
      <w:r w:rsidR="00B132BD" w:rsidRPr="00AC0841">
        <w:t xml:space="preserve">ytu bola u vyslaných študentov </w:t>
      </w:r>
      <w:r w:rsidR="00F87231">
        <w:t>päť</w:t>
      </w:r>
      <w:r w:rsidR="00EC6F75" w:rsidRPr="00AC0841">
        <w:t> </w:t>
      </w:r>
      <w:r w:rsidRPr="00AC0841">
        <w:t>mesiac</w:t>
      </w:r>
      <w:r w:rsidR="00F87231">
        <w:t>ov</w:t>
      </w:r>
      <w:r w:rsidRPr="00AC0841">
        <w:t xml:space="preserve">, u doktorandov </w:t>
      </w:r>
      <w:r w:rsidR="00B132BD" w:rsidRPr="00AC0841">
        <w:t>4</w:t>
      </w:r>
      <w:r w:rsidRPr="00AC0841">
        <w:t>,5</w:t>
      </w:r>
      <w:r w:rsidR="008A7B73">
        <w:t> </w:t>
      </w:r>
      <w:r w:rsidRPr="00AC0841">
        <w:t>mesiaca</w:t>
      </w:r>
      <w:r w:rsidR="00B132BD" w:rsidRPr="00AC0841">
        <w:t xml:space="preserve">. V </w:t>
      </w:r>
      <w:r w:rsidRPr="00AC0841">
        <w:t>prípade študentov bola priemerná mesačná výška poskytnutého štipendia 8</w:t>
      </w:r>
      <w:r w:rsidR="00B132BD" w:rsidRPr="00AC0841">
        <w:t>6</w:t>
      </w:r>
      <w:r w:rsidRPr="00AC0841">
        <w:t>0</w:t>
      </w:r>
      <w:r w:rsidR="008A7B73">
        <w:t> </w:t>
      </w:r>
      <w:r w:rsidRPr="00AC0841">
        <w:t xml:space="preserve">€, v prípade doktorandov 1 000 €. V prípade prijatých študentov bola priemerná dĺžka ich pobytu na Slovensku </w:t>
      </w:r>
      <w:r w:rsidR="00B132BD" w:rsidRPr="00AC0841">
        <w:t xml:space="preserve">5,5 </w:t>
      </w:r>
      <w:r w:rsidRPr="00AC0841">
        <w:t>mesiac</w:t>
      </w:r>
      <w:r w:rsidR="00B132BD" w:rsidRPr="00AC0841">
        <w:t>a</w:t>
      </w:r>
      <w:r w:rsidRPr="00AC0841">
        <w:t xml:space="preserve">, </w:t>
      </w:r>
      <w:r w:rsidR="00040177" w:rsidRPr="00AC0841">
        <w:t xml:space="preserve">v prípade doktorandov a </w:t>
      </w:r>
      <w:r w:rsidRPr="00AC0841">
        <w:t xml:space="preserve">vysokoškolských učiteľov </w:t>
      </w:r>
      <w:r w:rsidR="00F87231">
        <w:t>päť</w:t>
      </w:r>
      <w:r w:rsidR="00040177" w:rsidRPr="00AC0841">
        <w:t xml:space="preserve"> mesiacov</w:t>
      </w:r>
      <w:r w:rsidRPr="00AC0841">
        <w:t>. V priemere bolo prichádzajúcim štipendistom poskytnuté štipendium v mesačnej výške 3</w:t>
      </w:r>
      <w:r w:rsidR="00040177" w:rsidRPr="00AC0841">
        <w:t>5</w:t>
      </w:r>
      <w:r w:rsidRPr="00AC0841">
        <w:t>0 € pre študentov, 5</w:t>
      </w:r>
      <w:r w:rsidR="00040177" w:rsidRPr="00AC0841">
        <w:t>8</w:t>
      </w:r>
      <w:r w:rsidRPr="00AC0841">
        <w:t>0 € pre doktorandov a 900 € pre vysokoškolských učiteľov</w:t>
      </w:r>
      <w:r w:rsidR="00354A66" w:rsidRPr="00AC0841">
        <w:t>.</w:t>
      </w:r>
    </w:p>
    <w:p w:rsidR="005317F5" w:rsidRPr="00AC0841" w:rsidRDefault="005427BD" w:rsidP="003022A3">
      <w:pPr>
        <w:pStyle w:val="Nadpis3-vavo"/>
        <w:tabs>
          <w:tab w:val="clear" w:pos="1080"/>
        </w:tabs>
        <w:ind w:left="0" w:firstLine="0"/>
      </w:pPr>
      <w:bookmarkStart w:id="44" w:name="_Toc264838385"/>
      <w:bookmarkStart w:id="45" w:name="_Toc427750178"/>
      <w:r w:rsidRPr="00AC0841">
        <w:t xml:space="preserve">1.4 </w:t>
      </w:r>
      <w:r w:rsidR="007743ED" w:rsidRPr="00AC0841">
        <w:t>Zamestnanci vysokých škôl</w:t>
      </w:r>
      <w:bookmarkEnd w:id="44"/>
      <w:bookmarkEnd w:id="45"/>
    </w:p>
    <w:p w:rsidR="004C6645" w:rsidRPr="00AC0841" w:rsidRDefault="006A3B3E" w:rsidP="00C2109F">
      <w:pPr>
        <w:pStyle w:val="Zoznam1"/>
      </w:pPr>
      <w:r w:rsidRPr="00AC0841">
        <w:t xml:space="preserve">Priemerný </w:t>
      </w:r>
      <w:r w:rsidR="002C15E2" w:rsidRPr="00AC0841">
        <w:t xml:space="preserve">evidenčný </w:t>
      </w:r>
      <w:r w:rsidR="0051517B" w:rsidRPr="00AC0841">
        <w:t xml:space="preserve">prepočítaný </w:t>
      </w:r>
      <w:r w:rsidR="002C15E2" w:rsidRPr="00AC0841">
        <w:rPr>
          <w:b/>
          <w:bCs/>
        </w:rPr>
        <w:t>počet zamestnancov verejn</w:t>
      </w:r>
      <w:r w:rsidR="00E64B93" w:rsidRPr="00AC0841">
        <w:rPr>
          <w:b/>
          <w:bCs/>
        </w:rPr>
        <w:t>ých vysokých škôl</w:t>
      </w:r>
      <w:r w:rsidR="00E20350" w:rsidRPr="00AC0841">
        <w:t xml:space="preserve"> v roku </w:t>
      </w:r>
      <w:r w:rsidR="00C20F20" w:rsidRPr="00AC0841">
        <w:t>201</w:t>
      </w:r>
      <w:r w:rsidR="000761B9" w:rsidRPr="00AC0841">
        <w:t>4</w:t>
      </w:r>
      <w:r w:rsidR="00E64B93" w:rsidRPr="00AC0841">
        <w:t xml:space="preserve"> bol</w:t>
      </w:r>
      <w:r w:rsidR="002C15E2" w:rsidRPr="00AC0841">
        <w:t xml:space="preserve"> </w:t>
      </w:r>
      <w:r w:rsidR="000761B9" w:rsidRPr="00AC0841">
        <w:rPr>
          <w:b/>
          <w:bCs/>
        </w:rPr>
        <w:t>21 644,3</w:t>
      </w:r>
      <w:r w:rsidR="00893475" w:rsidRPr="00AC0841">
        <w:rPr>
          <w:b/>
          <w:bCs/>
        </w:rPr>
        <w:t>0</w:t>
      </w:r>
      <w:r w:rsidR="000761B9" w:rsidRPr="00AC0841">
        <w:rPr>
          <w:b/>
          <w:bCs/>
        </w:rPr>
        <w:t xml:space="preserve"> (medziročný nárast o</w:t>
      </w:r>
      <w:r w:rsidR="00837D31" w:rsidRPr="00AC0841">
        <w:rPr>
          <w:b/>
          <w:bCs/>
        </w:rPr>
        <w:t> 3,84</w:t>
      </w:r>
      <w:r w:rsidR="000B3F7F">
        <w:rPr>
          <w:b/>
          <w:bCs/>
        </w:rPr>
        <w:t xml:space="preserve"> </w:t>
      </w:r>
      <w:r w:rsidR="00B47615">
        <w:rPr>
          <w:b/>
          <w:bCs/>
        </w:rPr>
        <w:t>%</w:t>
      </w:r>
      <w:r w:rsidR="002336B0" w:rsidRPr="00AC0841">
        <w:rPr>
          <w:b/>
          <w:bCs/>
        </w:rPr>
        <w:t>, t. j. nárast o 82,9 osôb</w:t>
      </w:r>
      <w:r w:rsidR="000761B9" w:rsidRPr="00AC0841">
        <w:rPr>
          <w:b/>
          <w:bCs/>
        </w:rPr>
        <w:t>)</w:t>
      </w:r>
      <w:r w:rsidR="002C15E2" w:rsidRPr="00AC0841">
        <w:t xml:space="preserve">. V tom </w:t>
      </w:r>
      <w:r w:rsidR="00E20350" w:rsidRPr="00AC0841">
        <w:t xml:space="preserve">vysokoškolskí učitelia tvoria </w:t>
      </w:r>
      <w:r w:rsidR="000761B9" w:rsidRPr="00AC0841">
        <w:t>45,9</w:t>
      </w:r>
      <w:r w:rsidR="00C525B3" w:rsidRPr="00AC0841">
        <w:t>2</w:t>
      </w:r>
      <w:r w:rsidR="000761B9" w:rsidRPr="00AC0841">
        <w:t> </w:t>
      </w:r>
      <w:r w:rsidR="007743ED" w:rsidRPr="00AC0841">
        <w:t xml:space="preserve">%, výskumní </w:t>
      </w:r>
      <w:r w:rsidR="00E20350" w:rsidRPr="00AC0841">
        <w:t>pracovníci 7,</w:t>
      </w:r>
      <w:r w:rsidR="000761B9" w:rsidRPr="00AC0841">
        <w:t xml:space="preserve">86 </w:t>
      </w:r>
      <w:r w:rsidR="002C15E2" w:rsidRPr="00AC0841">
        <w:t>% a ostatní zamestnanci (administratíva, prevádzka, a pod.</w:t>
      </w:r>
      <w:r w:rsidR="00400928" w:rsidRPr="00AC0841">
        <w:t>) tvoria</w:t>
      </w:r>
      <w:r w:rsidR="00ED7D78" w:rsidRPr="00AC0841">
        <w:t xml:space="preserve"> 46,</w:t>
      </w:r>
      <w:r w:rsidR="000761B9" w:rsidRPr="00AC0841">
        <w:t>2</w:t>
      </w:r>
      <w:r w:rsidR="00C525B3" w:rsidRPr="00AC0841">
        <w:t>2</w:t>
      </w:r>
      <w:r w:rsidR="000761B9" w:rsidRPr="00AC0841">
        <w:t> </w:t>
      </w:r>
      <w:r w:rsidR="002C15E2" w:rsidRPr="00AC0841">
        <w:t xml:space="preserve">% zamestnancov. </w:t>
      </w:r>
    </w:p>
    <w:p w:rsidR="007B35B2" w:rsidRPr="00AC0841" w:rsidRDefault="00A172F7" w:rsidP="00C2109F">
      <w:pPr>
        <w:pStyle w:val="Zoznam1"/>
      </w:pPr>
      <w:r w:rsidRPr="00AC0841">
        <w:rPr>
          <w:b/>
          <w:bCs/>
        </w:rPr>
        <w:t>Priemerný plat</w:t>
      </w:r>
      <w:r w:rsidRPr="00AC0841">
        <w:t xml:space="preserve"> </w:t>
      </w:r>
      <w:r w:rsidRPr="00AC0841">
        <w:rPr>
          <w:b/>
          <w:bCs/>
        </w:rPr>
        <w:t>zamestnanca</w:t>
      </w:r>
      <w:r w:rsidRPr="00AC0841">
        <w:t xml:space="preserve"> verejnej vysokej školy v roku </w:t>
      </w:r>
      <w:r w:rsidRPr="00AC0841">
        <w:rPr>
          <w:b/>
          <w:bCs/>
        </w:rPr>
        <w:t>201</w:t>
      </w:r>
      <w:r w:rsidR="00221F37" w:rsidRPr="00AC0841">
        <w:rPr>
          <w:b/>
          <w:bCs/>
        </w:rPr>
        <w:t>4</w:t>
      </w:r>
      <w:r w:rsidRPr="00AC0841">
        <w:rPr>
          <w:b/>
          <w:bCs/>
        </w:rPr>
        <w:t xml:space="preserve"> </w:t>
      </w:r>
      <w:r w:rsidRPr="00AC0841">
        <w:t xml:space="preserve">bol </w:t>
      </w:r>
      <w:r w:rsidR="00221F37" w:rsidRPr="00AC0841">
        <w:rPr>
          <w:b/>
        </w:rPr>
        <w:t>1 042,</w:t>
      </w:r>
      <w:r w:rsidR="00880D51" w:rsidRPr="00AC0841">
        <w:rPr>
          <w:b/>
        </w:rPr>
        <w:t>59</w:t>
      </w:r>
      <w:r w:rsidR="00221F37" w:rsidRPr="00AC0841">
        <w:rPr>
          <w:b/>
        </w:rPr>
        <w:t> </w:t>
      </w:r>
      <w:r w:rsidRPr="00AC0841">
        <w:rPr>
          <w:b/>
          <w:bCs/>
        </w:rPr>
        <w:t>€,</w:t>
      </w:r>
      <w:r w:rsidRPr="00AC0841">
        <w:t xml:space="preserve"> čo predstavuje medziročný </w:t>
      </w:r>
      <w:r w:rsidRPr="00AC0841">
        <w:rPr>
          <w:b/>
          <w:bCs/>
        </w:rPr>
        <w:t>nárast o</w:t>
      </w:r>
      <w:r w:rsidR="00570835">
        <w:rPr>
          <w:b/>
          <w:bCs/>
        </w:rPr>
        <w:t> 5,77</w:t>
      </w:r>
      <w:r w:rsidRPr="00AC0841">
        <w:rPr>
          <w:b/>
          <w:bCs/>
        </w:rPr>
        <w:t> %.</w:t>
      </w:r>
      <w:r w:rsidRPr="00AC0841">
        <w:t xml:space="preserve"> Priemerné </w:t>
      </w:r>
      <w:r w:rsidRPr="00AC0841">
        <w:rPr>
          <w:noProof/>
          <w:lang w:eastAsia="sk-SK"/>
        </w:rPr>
        <w:t>platy</w:t>
      </w:r>
      <w:r w:rsidRPr="00AC0841">
        <w:t xml:space="preserve"> zamestnancov verejných vysokých škôl v roku </w:t>
      </w:r>
      <w:r w:rsidRPr="00AC0841">
        <w:rPr>
          <w:b/>
          <w:bCs/>
        </w:rPr>
        <w:t>201</w:t>
      </w:r>
      <w:r w:rsidR="008D7D3A" w:rsidRPr="00AC0841">
        <w:rPr>
          <w:b/>
          <w:bCs/>
        </w:rPr>
        <w:t>4</w:t>
      </w:r>
      <w:r w:rsidRPr="00AC0841">
        <w:t xml:space="preserve"> sú v rozpätí od </w:t>
      </w:r>
      <w:r w:rsidR="00893475" w:rsidRPr="00AC0841">
        <w:t>855,</w:t>
      </w:r>
      <w:r w:rsidR="00880D51" w:rsidRPr="00AC0841">
        <w:t>55</w:t>
      </w:r>
      <w:r w:rsidR="008D7D3A" w:rsidRPr="00AC0841">
        <w:t> </w:t>
      </w:r>
      <w:r w:rsidR="0099291B" w:rsidRPr="00AC0841">
        <w:t xml:space="preserve">€ </w:t>
      </w:r>
      <w:r w:rsidR="002157F6" w:rsidRPr="00AC0841">
        <w:t xml:space="preserve">na </w:t>
      </w:r>
      <w:r w:rsidR="00893475" w:rsidRPr="00AC0841">
        <w:t>TU Zvolen</w:t>
      </w:r>
      <w:r w:rsidRPr="00AC0841">
        <w:t xml:space="preserve"> do</w:t>
      </w:r>
      <w:r w:rsidR="00FC4F8A" w:rsidRPr="00AC0841">
        <w:t xml:space="preserve"> </w:t>
      </w:r>
      <w:r w:rsidR="008D7D3A" w:rsidRPr="00AC0841">
        <w:t>1 133,7</w:t>
      </w:r>
      <w:r w:rsidR="00893475" w:rsidRPr="00AC0841">
        <w:t>0</w:t>
      </w:r>
      <w:r w:rsidR="008D7D3A" w:rsidRPr="00AC0841">
        <w:t> </w:t>
      </w:r>
      <w:r w:rsidRPr="00AC0841">
        <w:t>€ na </w:t>
      </w:r>
      <w:r w:rsidR="008D7D3A" w:rsidRPr="00AC0841">
        <w:t>UPJŠ Košice</w:t>
      </w:r>
      <w:r w:rsidRPr="00AC0841">
        <w:t>.</w:t>
      </w:r>
      <w:r w:rsidR="0099291B" w:rsidRPr="00AC0841">
        <w:t xml:space="preserve"> Priemerný plat v národnom hospodárstve v roku 201</w:t>
      </w:r>
      <w:r w:rsidR="001F7061" w:rsidRPr="00AC0841">
        <w:t>4</w:t>
      </w:r>
      <w:r w:rsidR="0099291B" w:rsidRPr="00AC0841">
        <w:t xml:space="preserve"> bol </w:t>
      </w:r>
      <w:r w:rsidR="001F7061" w:rsidRPr="00AC0841">
        <w:t>858</w:t>
      </w:r>
      <w:r w:rsidR="0099291B" w:rsidRPr="00AC0841">
        <w:t xml:space="preserve"> </w:t>
      </w:r>
      <w:r w:rsidR="0099291B" w:rsidRPr="00AC0841">
        <w:rPr>
          <w:bCs/>
        </w:rPr>
        <w:t>€,</w:t>
      </w:r>
      <w:r w:rsidR="00C56E1C" w:rsidRPr="00AC0841">
        <w:rPr>
          <w:rStyle w:val="Odkaznapoznmkupodiarou"/>
          <w:bCs/>
        </w:rPr>
        <w:footnoteReference w:id="8"/>
      </w:r>
      <w:r w:rsidR="00C56E1C" w:rsidRPr="00AC0841">
        <w:rPr>
          <w:bCs/>
        </w:rPr>
        <w:t>)</w:t>
      </w:r>
      <w:r w:rsidR="001F7061" w:rsidRPr="00AC0841">
        <w:rPr>
          <w:bCs/>
        </w:rPr>
        <w:t xml:space="preserve"> medziročný nárast o 4,13</w:t>
      </w:r>
      <w:r w:rsidR="0099291B" w:rsidRPr="00AC0841">
        <w:rPr>
          <w:bCs/>
        </w:rPr>
        <w:t> %.</w:t>
      </w:r>
    </w:p>
    <w:p w:rsidR="00EE7C7F" w:rsidRDefault="00096DB3" w:rsidP="00EE7C7F">
      <w:pPr>
        <w:pStyle w:val="Zoznam1"/>
        <w:numPr>
          <w:ilvl w:val="0"/>
          <w:numId w:val="0"/>
        </w:numPr>
        <w:rPr>
          <w:noProof/>
          <w:lang w:eastAsia="sk-SK"/>
        </w:rPr>
      </w:pPr>
      <w:r>
        <w:rPr>
          <w:noProof/>
          <w:lang w:eastAsia="sk-SK"/>
        </w:rPr>
        <w:lastRenderedPageBreak/>
        <w:drawing>
          <wp:inline distT="0" distB="0" distL="0" distR="0">
            <wp:extent cx="5554345" cy="2286000"/>
            <wp:effectExtent l="0" t="0" r="27305" b="19050"/>
            <wp:docPr id="5"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122C4" w:rsidRPr="005E5FF1" w:rsidRDefault="007122C4" w:rsidP="007122C4">
      <w:pPr>
        <w:pStyle w:val="Popis"/>
        <w:keepNext/>
        <w:spacing w:after="240"/>
        <w:jc w:val="center"/>
      </w:pPr>
      <w:r w:rsidRPr="00AC0841">
        <w:t xml:space="preserve">Graf č. </w:t>
      </w:r>
      <w:r>
        <w:t>5</w:t>
      </w:r>
      <w:r w:rsidRPr="00AC0841">
        <w:t xml:space="preserve"> Vývoj priem</w:t>
      </w:r>
      <w:r w:rsidR="00F11935">
        <w:t>e</w:t>
      </w:r>
      <w:r w:rsidRPr="00AC0841">
        <w:t>rných platov zamestnancov verejných vysokých škôl</w:t>
      </w:r>
    </w:p>
    <w:p w:rsidR="00C56E1C" w:rsidRPr="00AC0841" w:rsidRDefault="00C56E1C" w:rsidP="00C2109F">
      <w:pPr>
        <w:pStyle w:val="Zoznam1"/>
      </w:pPr>
      <w:r w:rsidRPr="00AC0841">
        <w:rPr>
          <w:b/>
          <w:bCs/>
        </w:rPr>
        <w:t>Priemerný plat učiteľa</w:t>
      </w:r>
      <w:r w:rsidRPr="00AC0841">
        <w:t xml:space="preserve"> verejnej vysokej školy v roku </w:t>
      </w:r>
      <w:r w:rsidR="001D377B" w:rsidRPr="00AC0841">
        <w:rPr>
          <w:b/>
          <w:bCs/>
        </w:rPr>
        <w:t>201</w:t>
      </w:r>
      <w:r w:rsidR="008D7D3A" w:rsidRPr="00AC0841">
        <w:rPr>
          <w:b/>
          <w:bCs/>
        </w:rPr>
        <w:t>4</w:t>
      </w:r>
      <w:r w:rsidRPr="00AC0841">
        <w:t xml:space="preserve"> bol </w:t>
      </w:r>
      <w:r w:rsidR="00893475" w:rsidRPr="00AC0841">
        <w:rPr>
          <w:b/>
          <w:bCs/>
        </w:rPr>
        <w:t>1 322,6</w:t>
      </w:r>
      <w:r w:rsidR="00880D51" w:rsidRPr="00AC0841">
        <w:rPr>
          <w:b/>
          <w:bCs/>
        </w:rPr>
        <w:t>5</w:t>
      </w:r>
      <w:r w:rsidR="008D7D3A" w:rsidRPr="00AC0841">
        <w:rPr>
          <w:b/>
          <w:bCs/>
        </w:rPr>
        <w:t> </w:t>
      </w:r>
      <w:r w:rsidRPr="00AC0841">
        <w:rPr>
          <w:b/>
          <w:bCs/>
        </w:rPr>
        <w:t>€</w:t>
      </w:r>
      <w:r w:rsidRPr="00AC0841">
        <w:t xml:space="preserve">, čo predstavuje medziročný nárast </w:t>
      </w:r>
      <w:r w:rsidR="001D377B" w:rsidRPr="00AC0841">
        <w:rPr>
          <w:b/>
          <w:bCs/>
        </w:rPr>
        <w:t>o</w:t>
      </w:r>
      <w:r w:rsidR="008D7D3A" w:rsidRPr="00AC0841">
        <w:rPr>
          <w:b/>
          <w:bCs/>
        </w:rPr>
        <w:t> 6,2</w:t>
      </w:r>
      <w:r w:rsidR="00893475" w:rsidRPr="00AC0841">
        <w:rPr>
          <w:b/>
          <w:bCs/>
        </w:rPr>
        <w:t>2</w:t>
      </w:r>
      <w:r w:rsidR="008D7D3A" w:rsidRPr="00AC0841">
        <w:rPr>
          <w:b/>
          <w:bCs/>
        </w:rPr>
        <w:t> </w:t>
      </w:r>
      <w:r w:rsidRPr="00AC0841">
        <w:rPr>
          <w:b/>
          <w:bCs/>
        </w:rPr>
        <w:t>%.</w:t>
      </w:r>
      <w:r w:rsidRPr="00AC0841">
        <w:t xml:space="preserve"> </w:t>
      </w:r>
      <w:r w:rsidRPr="00AC0841">
        <w:rPr>
          <w:b/>
          <w:bCs/>
        </w:rPr>
        <w:t>Priemerný plat profesorov</w:t>
      </w:r>
      <w:r w:rsidRPr="00AC0841">
        <w:t xml:space="preserve"> na verejných vysokých školách v roku </w:t>
      </w:r>
      <w:r w:rsidRPr="00AC0841">
        <w:rPr>
          <w:b/>
          <w:bCs/>
        </w:rPr>
        <w:t>201</w:t>
      </w:r>
      <w:r w:rsidR="008D7D3A" w:rsidRPr="00AC0841">
        <w:rPr>
          <w:b/>
          <w:bCs/>
        </w:rPr>
        <w:t>4</w:t>
      </w:r>
      <w:r w:rsidRPr="00AC0841">
        <w:t xml:space="preserve"> bol</w:t>
      </w:r>
      <w:r w:rsidRPr="00AC0841">
        <w:rPr>
          <w:b/>
          <w:bCs/>
        </w:rPr>
        <w:t xml:space="preserve"> 1</w:t>
      </w:r>
      <w:r w:rsidR="008D7D3A" w:rsidRPr="00AC0841">
        <w:rPr>
          <w:b/>
          <w:bCs/>
        </w:rPr>
        <w:t> 947,</w:t>
      </w:r>
      <w:r w:rsidR="00893475" w:rsidRPr="00AC0841">
        <w:rPr>
          <w:b/>
          <w:bCs/>
        </w:rPr>
        <w:t>8</w:t>
      </w:r>
      <w:r w:rsidR="00880D51" w:rsidRPr="00AC0841">
        <w:rPr>
          <w:b/>
          <w:bCs/>
        </w:rPr>
        <w:t>2</w:t>
      </w:r>
      <w:r w:rsidR="008D7D3A" w:rsidRPr="00AC0841">
        <w:rPr>
          <w:b/>
          <w:bCs/>
        </w:rPr>
        <w:t> </w:t>
      </w:r>
      <w:r w:rsidRPr="00AC0841">
        <w:rPr>
          <w:b/>
          <w:bCs/>
        </w:rPr>
        <w:t xml:space="preserve">€ </w:t>
      </w:r>
      <w:r w:rsidRPr="00AC0841">
        <w:t>(nárast o</w:t>
      </w:r>
      <w:r w:rsidR="008D7D3A" w:rsidRPr="00AC0841">
        <w:t> 5,3</w:t>
      </w:r>
      <w:r w:rsidR="00893475" w:rsidRPr="00AC0841">
        <w:t>2</w:t>
      </w:r>
      <w:r w:rsidR="008D7D3A" w:rsidRPr="00AC0841">
        <w:t> </w:t>
      </w:r>
      <w:r w:rsidRPr="00AC0841">
        <w:t xml:space="preserve">%). </w:t>
      </w:r>
      <w:r w:rsidRPr="00AC0841">
        <w:rPr>
          <w:b/>
          <w:bCs/>
        </w:rPr>
        <w:t>Priemerný plat docentov</w:t>
      </w:r>
      <w:r w:rsidRPr="00AC0841">
        <w:t xml:space="preserve"> v roku </w:t>
      </w:r>
      <w:r w:rsidRPr="00AC0841">
        <w:rPr>
          <w:b/>
          <w:bCs/>
        </w:rPr>
        <w:t>201</w:t>
      </w:r>
      <w:r w:rsidR="008D7D3A" w:rsidRPr="00AC0841">
        <w:rPr>
          <w:b/>
          <w:bCs/>
        </w:rPr>
        <w:t>4</w:t>
      </w:r>
      <w:r w:rsidRPr="00AC0841">
        <w:t xml:space="preserve"> bol </w:t>
      </w:r>
      <w:r w:rsidR="008D7D3A" w:rsidRPr="00AC0841">
        <w:rPr>
          <w:b/>
          <w:bCs/>
        </w:rPr>
        <w:t>1 503,</w:t>
      </w:r>
      <w:r w:rsidR="00880D51" w:rsidRPr="00AC0841">
        <w:rPr>
          <w:b/>
          <w:bCs/>
        </w:rPr>
        <w:t>47</w:t>
      </w:r>
      <w:r w:rsidR="008D7D3A" w:rsidRPr="00AC0841">
        <w:rPr>
          <w:b/>
          <w:bCs/>
        </w:rPr>
        <w:t> </w:t>
      </w:r>
      <w:r w:rsidRPr="00AC0841">
        <w:rPr>
          <w:b/>
          <w:bCs/>
        </w:rPr>
        <w:t xml:space="preserve">€ </w:t>
      </w:r>
      <w:r w:rsidRPr="00AC0841">
        <w:t>(nárast o</w:t>
      </w:r>
      <w:r w:rsidR="008D7D3A" w:rsidRPr="00AC0841">
        <w:t> 5,4</w:t>
      </w:r>
      <w:r w:rsidR="00893475" w:rsidRPr="00AC0841">
        <w:t>8</w:t>
      </w:r>
      <w:r w:rsidR="008D7D3A" w:rsidRPr="00AC0841">
        <w:t> </w:t>
      </w:r>
      <w:r w:rsidRPr="00AC0841">
        <w:t xml:space="preserve">%). Priemerný plat profesorov v pomere k priemernému platu vysokoškolských učiteľov </w:t>
      </w:r>
      <w:r w:rsidR="008D7D3A" w:rsidRPr="00AC0841">
        <w:t>bol</w:t>
      </w:r>
      <w:r w:rsidRPr="00AC0841">
        <w:t xml:space="preserve"> na úrovni 1,</w:t>
      </w:r>
      <w:r w:rsidR="0059066D" w:rsidRPr="00AC0841">
        <w:t>4</w:t>
      </w:r>
      <w:r w:rsidR="008D7D3A" w:rsidRPr="00AC0841">
        <w:t>7</w:t>
      </w:r>
      <w:r w:rsidRPr="00AC0841">
        <w:t xml:space="preserve"> násobku</w:t>
      </w:r>
      <w:r w:rsidR="008D7D3A" w:rsidRPr="00AC0841">
        <w:t xml:space="preserve"> (v roku 2013 to bol 1,48 násobok)</w:t>
      </w:r>
      <w:r w:rsidRPr="00AC0841">
        <w:t>. Pomer priemerného platu vysokoškolského učiteľa k priemernému platu zamestnanca verejných vysokých škôl bol na úrovni 1,</w:t>
      </w:r>
      <w:r w:rsidR="008D7D3A" w:rsidRPr="00AC0841">
        <w:t>27</w:t>
      </w:r>
      <w:r w:rsidRPr="00AC0841">
        <w:t xml:space="preserve"> násobku.</w:t>
      </w:r>
    </w:p>
    <w:p w:rsidR="00652A74" w:rsidRPr="00AC0841" w:rsidRDefault="00652A74" w:rsidP="00C2109F">
      <w:pPr>
        <w:pStyle w:val="Zoznam1"/>
      </w:pPr>
      <w:r w:rsidRPr="00AC0841">
        <w:rPr>
          <w:b/>
          <w:bCs/>
        </w:rPr>
        <w:t>Priemerný plat výskumných pracovníkov</w:t>
      </w:r>
      <w:r w:rsidR="00181F1F" w:rsidRPr="00AC0841">
        <w:rPr>
          <w:rStyle w:val="Odkaznapoznmkupodiarou"/>
          <w:bCs/>
        </w:rPr>
        <w:footnoteReference w:id="9"/>
      </w:r>
      <w:r w:rsidR="00C7795F" w:rsidRPr="00AC0841">
        <w:rPr>
          <w:bCs/>
        </w:rPr>
        <w:t>)</w:t>
      </w:r>
      <w:r w:rsidRPr="00AC0841">
        <w:t xml:space="preserve"> </w:t>
      </w:r>
      <w:r w:rsidR="00536A82" w:rsidRPr="00AC0841">
        <w:t xml:space="preserve">na verejných vysokých školách </w:t>
      </w:r>
      <w:r w:rsidRPr="00AC0841">
        <w:t xml:space="preserve">dosiahol v roku </w:t>
      </w:r>
      <w:r w:rsidR="00C20F20" w:rsidRPr="00AC0841">
        <w:rPr>
          <w:b/>
          <w:bCs/>
        </w:rPr>
        <w:t>201</w:t>
      </w:r>
      <w:r w:rsidR="000761B9" w:rsidRPr="00AC0841">
        <w:rPr>
          <w:b/>
          <w:bCs/>
        </w:rPr>
        <w:t>4</w:t>
      </w:r>
      <w:r w:rsidRPr="00AC0841">
        <w:t xml:space="preserve"> výšku</w:t>
      </w:r>
      <w:r w:rsidR="00BE4D93" w:rsidRPr="00AC0841">
        <w:rPr>
          <w:b/>
          <w:bCs/>
        </w:rPr>
        <w:t> </w:t>
      </w:r>
      <w:r w:rsidR="000761B9" w:rsidRPr="00AC0841">
        <w:rPr>
          <w:b/>
          <w:bCs/>
        </w:rPr>
        <w:t>1 06</w:t>
      </w:r>
      <w:r w:rsidR="00893475" w:rsidRPr="00AC0841">
        <w:rPr>
          <w:b/>
          <w:bCs/>
        </w:rPr>
        <w:t>2</w:t>
      </w:r>
      <w:r w:rsidR="000761B9" w:rsidRPr="00AC0841">
        <w:rPr>
          <w:b/>
          <w:bCs/>
        </w:rPr>
        <w:t>,</w:t>
      </w:r>
      <w:r w:rsidR="00893475" w:rsidRPr="00AC0841">
        <w:rPr>
          <w:b/>
          <w:bCs/>
        </w:rPr>
        <w:t>0</w:t>
      </w:r>
      <w:r w:rsidR="00880D51" w:rsidRPr="00AC0841">
        <w:rPr>
          <w:b/>
          <w:bCs/>
        </w:rPr>
        <w:t>2</w:t>
      </w:r>
      <w:r w:rsidR="000761B9" w:rsidRPr="00AC0841">
        <w:rPr>
          <w:b/>
          <w:bCs/>
        </w:rPr>
        <w:t> </w:t>
      </w:r>
      <w:r w:rsidR="00BB61B5" w:rsidRPr="00AC0841">
        <w:rPr>
          <w:b/>
          <w:bCs/>
        </w:rPr>
        <w:t>€</w:t>
      </w:r>
      <w:r w:rsidRPr="00AC0841">
        <w:t xml:space="preserve">. V porovnaní s priemerným platom z roku </w:t>
      </w:r>
      <w:r w:rsidR="006C225A" w:rsidRPr="00AC0841">
        <w:t>20</w:t>
      </w:r>
      <w:r w:rsidR="007B2788" w:rsidRPr="00AC0841">
        <w:t>1</w:t>
      </w:r>
      <w:r w:rsidR="000761B9" w:rsidRPr="00AC0841">
        <w:t>3</w:t>
      </w:r>
      <w:r w:rsidR="00BE4D93" w:rsidRPr="00AC0841">
        <w:t xml:space="preserve"> </w:t>
      </w:r>
      <w:r w:rsidR="00655F8C" w:rsidRPr="00AC0841">
        <w:t xml:space="preserve">ide </w:t>
      </w:r>
      <w:r w:rsidR="008B5EF0" w:rsidRPr="00AC0841">
        <w:rPr>
          <w:b/>
          <w:bCs/>
        </w:rPr>
        <w:t>o</w:t>
      </w:r>
      <w:r w:rsidR="000761B9" w:rsidRPr="00AC0841">
        <w:rPr>
          <w:b/>
          <w:bCs/>
        </w:rPr>
        <w:t> 5,84 </w:t>
      </w:r>
      <w:r w:rsidR="00655F8C" w:rsidRPr="00AC0841">
        <w:rPr>
          <w:b/>
          <w:bCs/>
        </w:rPr>
        <w:t xml:space="preserve">% </w:t>
      </w:r>
      <w:r w:rsidR="00B51273" w:rsidRPr="00AC0841">
        <w:rPr>
          <w:b/>
          <w:bCs/>
        </w:rPr>
        <w:t>nárast</w:t>
      </w:r>
      <w:r w:rsidR="00A36B17" w:rsidRPr="00AC0841">
        <w:rPr>
          <w:bCs/>
        </w:rPr>
        <w:t>.</w:t>
      </w:r>
      <w:r w:rsidR="00787EF6" w:rsidRPr="00AC0841">
        <w:rPr>
          <w:b/>
          <w:bCs/>
        </w:rPr>
        <w:t xml:space="preserve"> </w:t>
      </w:r>
    </w:p>
    <w:p w:rsidR="00FC4F8A" w:rsidRPr="00AC0841" w:rsidRDefault="00FC4F8A" w:rsidP="00C2109F">
      <w:pPr>
        <w:pStyle w:val="Zoznam1"/>
      </w:pPr>
      <w:r w:rsidRPr="00AC0841">
        <w:rPr>
          <w:b/>
          <w:bCs/>
        </w:rPr>
        <w:t>Priemerný plat neučiteľských pracovníkov</w:t>
      </w:r>
      <w:r w:rsidR="008D7EA9" w:rsidRPr="007D2C77">
        <w:rPr>
          <w:rStyle w:val="Odkaznapoznmkupodiarou"/>
          <w:bCs/>
        </w:rPr>
        <w:footnoteReference w:id="10"/>
      </w:r>
      <w:r w:rsidRPr="007D2C77">
        <w:rPr>
          <w:bCs/>
        </w:rPr>
        <w:t>)</w:t>
      </w:r>
      <w:r w:rsidRPr="00AC0841">
        <w:t xml:space="preserve"> na verejných vysokých školách dosiahol v roku </w:t>
      </w:r>
      <w:r w:rsidRPr="00AC0841">
        <w:rPr>
          <w:b/>
          <w:bCs/>
        </w:rPr>
        <w:t>201</w:t>
      </w:r>
      <w:r w:rsidR="000761B9" w:rsidRPr="00AC0841">
        <w:rPr>
          <w:b/>
          <w:bCs/>
        </w:rPr>
        <w:t>4</w:t>
      </w:r>
      <w:r w:rsidRPr="00AC0841">
        <w:t xml:space="preserve"> výšku</w:t>
      </w:r>
      <w:r w:rsidRPr="00AC0841">
        <w:rPr>
          <w:b/>
          <w:bCs/>
        </w:rPr>
        <w:t> </w:t>
      </w:r>
      <w:r w:rsidR="000761B9" w:rsidRPr="00AC0841">
        <w:rPr>
          <w:b/>
          <w:bCs/>
        </w:rPr>
        <w:t>7</w:t>
      </w:r>
      <w:r w:rsidR="00893475" w:rsidRPr="00AC0841">
        <w:rPr>
          <w:b/>
          <w:bCs/>
        </w:rPr>
        <w:t>89</w:t>
      </w:r>
      <w:r w:rsidR="000761B9" w:rsidRPr="00AC0841">
        <w:rPr>
          <w:b/>
          <w:bCs/>
        </w:rPr>
        <w:t>,</w:t>
      </w:r>
      <w:r w:rsidR="00893475" w:rsidRPr="00AC0841">
        <w:rPr>
          <w:b/>
          <w:bCs/>
        </w:rPr>
        <w:t>8</w:t>
      </w:r>
      <w:r w:rsidR="00880D51" w:rsidRPr="00AC0841">
        <w:rPr>
          <w:b/>
          <w:bCs/>
        </w:rPr>
        <w:t>3</w:t>
      </w:r>
      <w:r w:rsidR="000761B9" w:rsidRPr="00AC0841">
        <w:rPr>
          <w:b/>
          <w:bCs/>
        </w:rPr>
        <w:t> </w:t>
      </w:r>
      <w:r w:rsidRPr="00AC0841">
        <w:rPr>
          <w:b/>
          <w:bCs/>
        </w:rPr>
        <w:t>€</w:t>
      </w:r>
      <w:r w:rsidRPr="00AC0841">
        <w:t>. V porovnaní</w:t>
      </w:r>
      <w:r w:rsidR="000761B9" w:rsidRPr="00AC0841">
        <w:t xml:space="preserve"> s priemerným platom z roku 2013</w:t>
      </w:r>
      <w:r w:rsidRPr="00AC0841">
        <w:t xml:space="preserve"> ide </w:t>
      </w:r>
      <w:r w:rsidRPr="00AC0841">
        <w:rPr>
          <w:b/>
          <w:bCs/>
        </w:rPr>
        <w:t>o</w:t>
      </w:r>
      <w:r w:rsidR="000761B9" w:rsidRPr="00AC0841">
        <w:rPr>
          <w:b/>
          <w:bCs/>
        </w:rPr>
        <w:t> </w:t>
      </w:r>
      <w:r w:rsidR="00893475" w:rsidRPr="00AC0841">
        <w:rPr>
          <w:b/>
          <w:bCs/>
        </w:rPr>
        <w:t>8</w:t>
      </w:r>
      <w:r w:rsidR="000761B9" w:rsidRPr="00AC0841">
        <w:rPr>
          <w:b/>
          <w:bCs/>
        </w:rPr>
        <w:t>,8</w:t>
      </w:r>
      <w:r w:rsidR="00893475" w:rsidRPr="00AC0841">
        <w:rPr>
          <w:b/>
          <w:bCs/>
        </w:rPr>
        <w:t>5</w:t>
      </w:r>
      <w:r w:rsidR="000761B9" w:rsidRPr="00AC0841">
        <w:rPr>
          <w:b/>
          <w:bCs/>
        </w:rPr>
        <w:t> </w:t>
      </w:r>
      <w:r w:rsidRPr="00AC0841">
        <w:rPr>
          <w:b/>
          <w:bCs/>
        </w:rPr>
        <w:t>% nárast</w:t>
      </w:r>
      <w:r w:rsidRPr="00AC0841">
        <w:rPr>
          <w:bCs/>
        </w:rPr>
        <w:t>.</w:t>
      </w:r>
    </w:p>
    <w:p w:rsidR="0091320B" w:rsidRPr="00AC0841" w:rsidRDefault="002921F0" w:rsidP="00C2109F">
      <w:pPr>
        <w:pStyle w:val="Zoznam1"/>
        <w:rPr>
          <w:b/>
          <w:bCs/>
        </w:rPr>
      </w:pPr>
      <w:r w:rsidRPr="00AC0841">
        <w:t xml:space="preserve">V roku </w:t>
      </w:r>
      <w:r w:rsidR="00C20F20" w:rsidRPr="00AC0841">
        <w:t>201</w:t>
      </w:r>
      <w:r w:rsidR="00960B98" w:rsidRPr="00AC0841">
        <w:t>4</w:t>
      </w:r>
      <w:r w:rsidR="00E6027C" w:rsidRPr="00AC0841">
        <w:t xml:space="preserve"> prezident SR</w:t>
      </w:r>
      <w:r w:rsidR="0091320B" w:rsidRPr="00AC0841">
        <w:t xml:space="preserve"> vymenoval na základe návrhov verejných vysokých škôl a</w:t>
      </w:r>
      <w:r w:rsidR="00CA1332" w:rsidRPr="00AC0841">
        <w:t> </w:t>
      </w:r>
      <w:r w:rsidR="0091320B" w:rsidRPr="00AC0841">
        <w:t>súkromn</w:t>
      </w:r>
      <w:r w:rsidR="00CA1332" w:rsidRPr="00AC0841">
        <w:t>ých vysokých škôl</w:t>
      </w:r>
      <w:r w:rsidR="005F7594" w:rsidRPr="00AC0841">
        <w:t xml:space="preserve"> </w:t>
      </w:r>
      <w:r w:rsidR="00960B98" w:rsidRPr="00AC0841">
        <w:rPr>
          <w:b/>
          <w:bCs/>
        </w:rPr>
        <w:t>79</w:t>
      </w:r>
      <w:r w:rsidR="00E6027C" w:rsidRPr="00AC0841">
        <w:t xml:space="preserve"> </w:t>
      </w:r>
      <w:r w:rsidR="00E6027C" w:rsidRPr="00AC0841">
        <w:rPr>
          <w:b/>
          <w:bCs/>
        </w:rPr>
        <w:t>profesor</w:t>
      </w:r>
      <w:r w:rsidR="0091320B" w:rsidRPr="00AC0841">
        <w:rPr>
          <w:b/>
          <w:bCs/>
        </w:rPr>
        <w:t>ov</w:t>
      </w:r>
      <w:r w:rsidR="00E6027C" w:rsidRPr="00AC0841">
        <w:t>.</w:t>
      </w:r>
      <w:r w:rsidR="00E81E0D" w:rsidRPr="00AC0841">
        <w:t xml:space="preserve"> </w:t>
      </w:r>
      <w:r w:rsidR="00E84933" w:rsidRPr="00AC0841">
        <w:t>P</w:t>
      </w:r>
      <w:r w:rsidR="00FE5DDB" w:rsidRPr="00AC0841">
        <w:t xml:space="preserve">riemerný vek vymenovaných </w:t>
      </w:r>
      <w:r w:rsidR="00456E09" w:rsidRPr="00AC0841">
        <w:t>sa z</w:t>
      </w:r>
      <w:r w:rsidR="004E5DBA" w:rsidRPr="00AC0841">
        <w:t>níži</w:t>
      </w:r>
      <w:r w:rsidR="00333BA1" w:rsidRPr="00AC0841">
        <w:t>l</w:t>
      </w:r>
      <w:r w:rsidR="00456E09" w:rsidRPr="00AC0841">
        <w:t xml:space="preserve"> na 5</w:t>
      </w:r>
      <w:r w:rsidR="00F470F1" w:rsidRPr="00AC0841">
        <w:t>0</w:t>
      </w:r>
      <w:r w:rsidR="002D67CF" w:rsidRPr="00AC0841">
        <w:t>,</w:t>
      </w:r>
      <w:r w:rsidR="00F470F1" w:rsidRPr="00AC0841">
        <w:t>97</w:t>
      </w:r>
      <w:r w:rsidR="00456E09" w:rsidRPr="00AC0841">
        <w:t xml:space="preserve"> rokov (v roku 201</w:t>
      </w:r>
      <w:r w:rsidR="00F470F1" w:rsidRPr="00AC0841">
        <w:t>3</w:t>
      </w:r>
      <w:r w:rsidR="00456E09" w:rsidRPr="00AC0841">
        <w:t xml:space="preserve"> </w:t>
      </w:r>
      <w:r w:rsidR="00AC2EF4" w:rsidRPr="00AC0841">
        <w:t xml:space="preserve">to </w:t>
      </w:r>
      <w:r w:rsidR="00FE5DDB" w:rsidRPr="00AC0841">
        <w:t>bol</w:t>
      </w:r>
      <w:r w:rsidR="00AC2EF4" w:rsidRPr="00AC0841">
        <w:t>o</w:t>
      </w:r>
      <w:r w:rsidR="00FE5DDB" w:rsidRPr="00AC0841">
        <w:t xml:space="preserve"> 5</w:t>
      </w:r>
      <w:r w:rsidR="00333BA1" w:rsidRPr="00AC0841">
        <w:t>2,</w:t>
      </w:r>
      <w:r w:rsidR="00F470F1" w:rsidRPr="00AC0841">
        <w:t>69</w:t>
      </w:r>
      <w:r w:rsidR="00F327C1" w:rsidRPr="00AC0841">
        <w:t xml:space="preserve"> rokov</w:t>
      </w:r>
      <w:r w:rsidR="00456E09" w:rsidRPr="00AC0841">
        <w:t>)</w:t>
      </w:r>
      <w:r w:rsidR="00E84933" w:rsidRPr="00AC0841">
        <w:t>.</w:t>
      </w:r>
      <w:r w:rsidR="00324EB1" w:rsidRPr="00AC0841">
        <w:t xml:space="preserve"> Najviac</w:t>
      </w:r>
      <w:r w:rsidR="005B7532" w:rsidRPr="00AC0841">
        <w:t xml:space="preserve"> </w:t>
      </w:r>
      <w:r w:rsidR="0024770A" w:rsidRPr="00AC0841">
        <w:t>16</w:t>
      </w:r>
      <w:r w:rsidR="00324EB1" w:rsidRPr="00AC0841">
        <w:t xml:space="preserve"> </w:t>
      </w:r>
      <w:r w:rsidR="005B7532" w:rsidRPr="00AC0841">
        <w:t xml:space="preserve">profesorov bolo vymenovaných v skupine </w:t>
      </w:r>
      <w:r w:rsidR="0024770A" w:rsidRPr="00AC0841">
        <w:t xml:space="preserve">prírodné vedy, 15 profesorov bolo vymenovaných v skupine humanitné vedy a umenie, 14 profesorov bolo vymenovaných v skupine </w:t>
      </w:r>
      <w:r w:rsidR="005B7532" w:rsidRPr="00AC0841">
        <w:t>konštruovanie, te</w:t>
      </w:r>
      <w:r w:rsidR="0024770A" w:rsidRPr="00AC0841">
        <w:t>chnológie, výroba a komunikácie</w:t>
      </w:r>
      <w:r w:rsidR="00946E13" w:rsidRPr="00AC0841">
        <w:t>.</w:t>
      </w:r>
      <w:r w:rsidR="00AF5284" w:rsidRPr="00AC0841">
        <w:t xml:space="preserve"> </w:t>
      </w:r>
      <w:r w:rsidR="00AF5284" w:rsidRPr="00AC0841">
        <w:rPr>
          <w:rStyle w:val="Textzstupnhosymbolu"/>
          <w:color w:val="auto"/>
        </w:rPr>
        <w:t xml:space="preserve">Najviac </w:t>
      </w:r>
      <w:r w:rsidR="00F470F1" w:rsidRPr="00AC0841">
        <w:rPr>
          <w:rStyle w:val="Textzstupnhosymbolu"/>
          <w:color w:val="auto"/>
        </w:rPr>
        <w:t xml:space="preserve">vymenovaných </w:t>
      </w:r>
      <w:r w:rsidR="00AF5284" w:rsidRPr="00AC0841">
        <w:rPr>
          <w:rStyle w:val="Textzstupnhosymbolu"/>
          <w:color w:val="auto"/>
        </w:rPr>
        <w:t>profesorov</w:t>
      </w:r>
      <w:r w:rsidR="00F470F1" w:rsidRPr="00AC0841">
        <w:rPr>
          <w:rStyle w:val="Textzstupnhosymbolu"/>
          <w:color w:val="auto"/>
        </w:rPr>
        <w:t xml:space="preserve"> bolo </w:t>
      </w:r>
      <w:r w:rsidR="005B7A4E">
        <w:rPr>
          <w:rStyle w:val="Textzstupnhosymbolu"/>
          <w:color w:val="auto"/>
        </w:rPr>
        <w:t xml:space="preserve">navrhnutých </w:t>
      </w:r>
      <w:r w:rsidR="00F470F1" w:rsidRPr="00AC0841">
        <w:rPr>
          <w:rStyle w:val="Textzstupnhosymbolu"/>
          <w:color w:val="auto"/>
        </w:rPr>
        <w:t>z</w:t>
      </w:r>
      <w:r w:rsidR="00AF5284" w:rsidRPr="00AC0841">
        <w:rPr>
          <w:rStyle w:val="Textzstupnhosymbolu"/>
          <w:color w:val="auto"/>
        </w:rPr>
        <w:t xml:space="preserve"> </w:t>
      </w:r>
      <w:r w:rsidR="00DD3A66" w:rsidRPr="00AC0841">
        <w:rPr>
          <w:rStyle w:val="Textzstupnhosymbolu"/>
          <w:color w:val="auto"/>
        </w:rPr>
        <w:t>UK Bratislava</w:t>
      </w:r>
      <w:r w:rsidR="00AF5284" w:rsidRPr="00AC0841">
        <w:rPr>
          <w:rStyle w:val="Textzstupnhosymbolu"/>
          <w:color w:val="auto"/>
        </w:rPr>
        <w:t xml:space="preserve"> (</w:t>
      </w:r>
      <w:r w:rsidR="00F470F1" w:rsidRPr="00AC0841">
        <w:rPr>
          <w:rStyle w:val="Textzstupnhosymbolu"/>
          <w:color w:val="auto"/>
        </w:rPr>
        <w:t>1</w:t>
      </w:r>
      <w:r w:rsidR="00A804AF" w:rsidRPr="00AC0841">
        <w:rPr>
          <w:rStyle w:val="Textzstupnhosymbolu"/>
          <w:color w:val="auto"/>
        </w:rPr>
        <w:t>5</w:t>
      </w:r>
      <w:r w:rsidR="00AF5284" w:rsidRPr="00AC0841">
        <w:rPr>
          <w:rStyle w:val="Textzstupnhosymbolu"/>
          <w:color w:val="auto"/>
        </w:rPr>
        <w:t>)</w:t>
      </w:r>
      <w:r w:rsidR="006B563D" w:rsidRPr="00AC0841">
        <w:rPr>
          <w:rStyle w:val="Textzstupnhosymbolu"/>
          <w:color w:val="auto"/>
        </w:rPr>
        <w:t>, S</w:t>
      </w:r>
      <w:r w:rsidR="00DD3A66" w:rsidRPr="00AC0841">
        <w:rPr>
          <w:rStyle w:val="Textzstupnhosymbolu"/>
          <w:color w:val="auto"/>
        </w:rPr>
        <w:t>TU Bratislava</w:t>
      </w:r>
      <w:r w:rsidR="006B563D" w:rsidRPr="00AC0841">
        <w:rPr>
          <w:rStyle w:val="Textzstupnhosymbolu"/>
          <w:color w:val="auto"/>
        </w:rPr>
        <w:t xml:space="preserve"> (</w:t>
      </w:r>
      <w:r w:rsidR="00A804AF" w:rsidRPr="00AC0841">
        <w:rPr>
          <w:rStyle w:val="Textzstupnhosymbolu"/>
          <w:color w:val="auto"/>
        </w:rPr>
        <w:t>1</w:t>
      </w:r>
      <w:r w:rsidR="00F470F1" w:rsidRPr="00AC0841">
        <w:rPr>
          <w:rStyle w:val="Textzstupnhosymbolu"/>
          <w:color w:val="auto"/>
        </w:rPr>
        <w:t>0</w:t>
      </w:r>
      <w:r w:rsidR="006B563D" w:rsidRPr="00AC0841">
        <w:rPr>
          <w:rStyle w:val="Textzstupnhosymbolu"/>
          <w:color w:val="auto"/>
        </w:rPr>
        <w:t>)</w:t>
      </w:r>
      <w:r w:rsidR="00864B27" w:rsidRPr="00AC0841">
        <w:rPr>
          <w:rStyle w:val="Textzstupnhosymbolu"/>
          <w:color w:val="auto"/>
        </w:rPr>
        <w:t>,</w:t>
      </w:r>
      <w:r w:rsidR="006B563D" w:rsidRPr="00AC0841">
        <w:rPr>
          <w:rStyle w:val="Textzstupnhosymbolu"/>
          <w:color w:val="auto"/>
        </w:rPr>
        <w:t xml:space="preserve"> </w:t>
      </w:r>
      <w:r w:rsidR="00DD3A66" w:rsidRPr="00AC0841">
        <w:rPr>
          <w:rStyle w:val="Textzstupnhosymbolu"/>
          <w:color w:val="auto"/>
        </w:rPr>
        <w:t>UKF Nitra</w:t>
      </w:r>
      <w:r w:rsidR="00A804AF" w:rsidRPr="00AC0841">
        <w:rPr>
          <w:rStyle w:val="Textzstupnhosymbolu"/>
          <w:color w:val="auto"/>
        </w:rPr>
        <w:t xml:space="preserve"> (</w:t>
      </w:r>
      <w:r w:rsidR="00F470F1" w:rsidRPr="00AC0841">
        <w:rPr>
          <w:rStyle w:val="Textzstupnhosymbolu"/>
          <w:color w:val="auto"/>
        </w:rPr>
        <w:t>10</w:t>
      </w:r>
      <w:r w:rsidR="00A804AF" w:rsidRPr="00AC0841">
        <w:rPr>
          <w:rStyle w:val="Textzstupnhosymbolu"/>
          <w:color w:val="auto"/>
        </w:rPr>
        <w:t>)</w:t>
      </w:r>
      <w:r w:rsidR="001F7061" w:rsidRPr="00AC0841">
        <w:rPr>
          <w:rStyle w:val="Textzstupnhosymbolu"/>
          <w:color w:val="auto"/>
        </w:rPr>
        <w:t xml:space="preserve"> a</w:t>
      </w:r>
      <w:r w:rsidR="005B7A4E">
        <w:rPr>
          <w:rStyle w:val="Textzstupnhosymbolu"/>
          <w:color w:val="auto"/>
        </w:rPr>
        <w:t> </w:t>
      </w:r>
      <w:r w:rsidR="00F470F1" w:rsidRPr="00AC0841">
        <w:rPr>
          <w:rStyle w:val="Textzstupnhosymbolu"/>
          <w:color w:val="auto"/>
        </w:rPr>
        <w:t>VŠMU Bratislava (8)</w:t>
      </w:r>
      <w:r w:rsidR="006B563D" w:rsidRPr="00AC0841">
        <w:rPr>
          <w:rStyle w:val="Textzstupnhosymbolu"/>
          <w:color w:val="auto"/>
        </w:rPr>
        <w:t xml:space="preserve">. </w:t>
      </w:r>
      <w:r w:rsidR="00731430" w:rsidRPr="00AC0841">
        <w:rPr>
          <w:rStyle w:val="Textzstupnhosymbolu"/>
          <w:color w:val="auto"/>
        </w:rPr>
        <w:t>Naj</w:t>
      </w:r>
      <w:r w:rsidR="002D67CF" w:rsidRPr="00AC0841">
        <w:rPr>
          <w:rStyle w:val="Textzstupnhosymbolu"/>
          <w:color w:val="auto"/>
        </w:rPr>
        <w:t xml:space="preserve">starší vymenovaný profesor bol vo veku </w:t>
      </w:r>
      <w:r w:rsidR="00F470F1" w:rsidRPr="00AC0841">
        <w:rPr>
          <w:rStyle w:val="Textzstupnhosymbolu"/>
          <w:color w:val="auto"/>
        </w:rPr>
        <w:t>69</w:t>
      </w:r>
      <w:r w:rsidR="002D67CF" w:rsidRPr="00AC0841">
        <w:rPr>
          <w:rStyle w:val="Textzstupnhosymbolu"/>
          <w:color w:val="auto"/>
        </w:rPr>
        <w:t xml:space="preserve"> rokov, naj</w:t>
      </w:r>
      <w:r w:rsidR="00731430" w:rsidRPr="00AC0841">
        <w:rPr>
          <w:rStyle w:val="Textzstupnhosymbolu"/>
          <w:color w:val="auto"/>
        </w:rPr>
        <w:t xml:space="preserve">mladší vymenovaný profesor bol vo veku </w:t>
      </w:r>
      <w:r w:rsidR="00B570F7" w:rsidRPr="00AC0841">
        <w:rPr>
          <w:rStyle w:val="Textzstupnhosymbolu"/>
          <w:color w:val="auto"/>
        </w:rPr>
        <w:t>3</w:t>
      </w:r>
      <w:r w:rsidR="00F470F1" w:rsidRPr="00AC0841">
        <w:rPr>
          <w:rStyle w:val="Textzstupnhosymbolu"/>
          <w:color w:val="auto"/>
        </w:rPr>
        <w:t>3</w:t>
      </w:r>
      <w:r w:rsidR="00731430" w:rsidRPr="00AC0841">
        <w:rPr>
          <w:rStyle w:val="Textzstupnhosymbolu"/>
          <w:color w:val="auto"/>
        </w:rPr>
        <w:t xml:space="preserve"> rokov.</w:t>
      </w:r>
    </w:p>
    <w:p w:rsidR="003452A0" w:rsidRPr="00AC0841" w:rsidRDefault="003452A0" w:rsidP="00C2109F">
      <w:pPr>
        <w:pStyle w:val="Zoznam1"/>
        <w:rPr>
          <w:b/>
          <w:bCs/>
        </w:rPr>
      </w:pPr>
      <w:r w:rsidRPr="00AC0841">
        <w:t>Podľa údajov</w:t>
      </w:r>
      <w:r w:rsidR="0032394E" w:rsidRPr="00AC0841">
        <w:t xml:space="preserve"> z registra zamestnancov vysokých škôl k 31. 12. 201</w:t>
      </w:r>
      <w:r w:rsidR="00F734F4" w:rsidRPr="00AC0841">
        <w:t>4</w:t>
      </w:r>
      <w:r w:rsidRPr="00AC0841">
        <w:t xml:space="preserve"> najstarší vysokoškolsk</w:t>
      </w:r>
      <w:r w:rsidR="00C14762" w:rsidRPr="00AC0841">
        <w:t>ý</w:t>
      </w:r>
      <w:r w:rsidRPr="00AC0841">
        <w:t xml:space="preserve"> učiteľ vo funkcií profesora mal na vysokých školách</w:t>
      </w:r>
      <w:r w:rsidR="0032394E" w:rsidRPr="00AC0841">
        <w:t xml:space="preserve"> (vrátane štátnych)</w:t>
      </w:r>
      <w:r w:rsidRPr="00AC0841">
        <w:t xml:space="preserve"> vek 8</w:t>
      </w:r>
      <w:r w:rsidR="00F734F4" w:rsidRPr="00AC0841">
        <w:t>8</w:t>
      </w:r>
      <w:r w:rsidR="00EC6F75" w:rsidRPr="00AC0841">
        <w:t> </w:t>
      </w:r>
      <w:r w:rsidR="003C0608" w:rsidRPr="00AC0841">
        <w:t>rokov, najmladší 3</w:t>
      </w:r>
      <w:r w:rsidR="00F734F4" w:rsidRPr="00AC0841">
        <w:t>2</w:t>
      </w:r>
      <w:r w:rsidRPr="00AC0841">
        <w:t xml:space="preserve"> rokov. </w:t>
      </w:r>
      <w:r w:rsidR="00CA7041" w:rsidRPr="00AC0841">
        <w:t>Menej ako 5</w:t>
      </w:r>
      <w:r w:rsidR="00BB06C6" w:rsidRPr="00AC0841">
        <w:t>6</w:t>
      </w:r>
      <w:r w:rsidR="00CA7041" w:rsidRPr="00AC0841">
        <w:t xml:space="preserve"> rokov má štvrtina </w:t>
      </w:r>
      <w:r w:rsidR="00CA7041" w:rsidRPr="00AC0841">
        <w:rPr>
          <w:bCs/>
        </w:rPr>
        <w:t>vysokoškolských učiteľov vo</w:t>
      </w:r>
      <w:r w:rsidR="00681C00" w:rsidRPr="00AC0841">
        <w:rPr>
          <w:bCs/>
        </w:rPr>
        <w:t> </w:t>
      </w:r>
      <w:r w:rsidR="00CA7041" w:rsidRPr="00AC0841">
        <w:rPr>
          <w:bCs/>
        </w:rPr>
        <w:t>funkci</w:t>
      </w:r>
      <w:r w:rsidR="00C14762" w:rsidRPr="00AC0841">
        <w:rPr>
          <w:bCs/>
        </w:rPr>
        <w:t>i</w:t>
      </w:r>
      <w:r w:rsidR="00CA7041" w:rsidRPr="00AC0841">
        <w:rPr>
          <w:bCs/>
        </w:rPr>
        <w:t xml:space="preserve"> profesora</w:t>
      </w:r>
      <w:r w:rsidR="00CA7041" w:rsidRPr="00AC0841">
        <w:t xml:space="preserve">, </w:t>
      </w:r>
      <w:r w:rsidR="00CA7041" w:rsidRPr="00AC0841">
        <w:rPr>
          <w:b/>
          <w:bCs/>
        </w:rPr>
        <w:t xml:space="preserve">medián veku bol </w:t>
      </w:r>
      <w:r w:rsidR="00D52FD5" w:rsidRPr="00AC0841">
        <w:rPr>
          <w:b/>
          <w:bCs/>
        </w:rPr>
        <w:t>6</w:t>
      </w:r>
      <w:r w:rsidR="00EE7C7F" w:rsidRPr="00AC0841">
        <w:rPr>
          <w:b/>
          <w:bCs/>
        </w:rPr>
        <w:t>2</w:t>
      </w:r>
      <w:r w:rsidR="0032394E" w:rsidRPr="00AC0841">
        <w:rPr>
          <w:b/>
          <w:bCs/>
        </w:rPr>
        <w:t xml:space="preserve"> </w:t>
      </w:r>
      <w:r w:rsidR="00C60920" w:rsidRPr="00AC0841">
        <w:rPr>
          <w:b/>
          <w:bCs/>
        </w:rPr>
        <w:t>rokov</w:t>
      </w:r>
      <w:r w:rsidR="00CA7041" w:rsidRPr="00AC0841">
        <w:t xml:space="preserve"> a štvrtina vysokoškolských učiteľov vo</w:t>
      </w:r>
      <w:r w:rsidR="00681C00" w:rsidRPr="00AC0841">
        <w:t> </w:t>
      </w:r>
      <w:r w:rsidR="00CA7041" w:rsidRPr="00AC0841">
        <w:t>funkci</w:t>
      </w:r>
      <w:r w:rsidR="009433B0" w:rsidRPr="00AC0841">
        <w:t>i</w:t>
      </w:r>
      <w:r w:rsidR="00CA7041" w:rsidRPr="00AC0841">
        <w:t xml:space="preserve"> profesora mala ve</w:t>
      </w:r>
      <w:r w:rsidR="00692789" w:rsidRPr="00AC0841">
        <w:t>k viac ako 6</w:t>
      </w:r>
      <w:r w:rsidR="00177613" w:rsidRPr="00AC0841">
        <w:t>6</w:t>
      </w:r>
      <w:r w:rsidR="00CA7041" w:rsidRPr="00AC0841">
        <w:t xml:space="preserve"> rokov.</w:t>
      </w:r>
      <w:r w:rsidR="00C4167F" w:rsidRPr="00AC0841">
        <w:rPr>
          <w:rStyle w:val="Odkaznapoznmkupodiarou"/>
        </w:rPr>
        <w:footnoteReference w:id="11"/>
      </w:r>
      <w:r w:rsidR="00AB4288" w:rsidRPr="00AC0841">
        <w:rPr>
          <w:vertAlign w:val="superscript"/>
        </w:rPr>
        <w:t>)</w:t>
      </w:r>
    </w:p>
    <w:p w:rsidR="001E7F45" w:rsidRPr="005B7A4E" w:rsidRDefault="00C60920" w:rsidP="00C2109F">
      <w:pPr>
        <w:pStyle w:val="Zoznam1"/>
        <w:rPr>
          <w:b/>
          <w:bCs/>
        </w:rPr>
      </w:pPr>
      <w:r w:rsidRPr="005B7A4E">
        <w:lastRenderedPageBreak/>
        <w:t xml:space="preserve">Vek vysokoškolských učiteľov vo </w:t>
      </w:r>
      <w:r w:rsidRPr="005B7A4E">
        <w:rPr>
          <w:b/>
          <w:bCs/>
        </w:rPr>
        <w:t>funkcií docent</w:t>
      </w:r>
      <w:r w:rsidR="00692789" w:rsidRPr="005B7A4E">
        <w:t xml:space="preserve"> bol od </w:t>
      </w:r>
      <w:r w:rsidR="00D17432" w:rsidRPr="005B7A4E">
        <w:t>3</w:t>
      </w:r>
      <w:r w:rsidR="00F734F4" w:rsidRPr="005B7A4E">
        <w:t>0</w:t>
      </w:r>
      <w:r w:rsidRPr="005B7A4E">
        <w:t xml:space="preserve"> do 8</w:t>
      </w:r>
      <w:r w:rsidR="00F734F4" w:rsidRPr="005B7A4E">
        <w:t>3</w:t>
      </w:r>
      <w:r w:rsidRPr="005B7A4E">
        <w:t xml:space="preserve"> rokov. Štvrtina vysokoškolských učiteľov vo funkci</w:t>
      </w:r>
      <w:r w:rsidR="006831FB">
        <w:t>i</w:t>
      </w:r>
      <w:r w:rsidRPr="005B7A4E">
        <w:t xml:space="preserve"> docenta má vek do 4</w:t>
      </w:r>
      <w:r w:rsidR="00177613" w:rsidRPr="005B7A4E">
        <w:t>4</w:t>
      </w:r>
      <w:r w:rsidRPr="005B7A4E">
        <w:t xml:space="preserve"> rokov, </w:t>
      </w:r>
      <w:r w:rsidR="00602514" w:rsidRPr="005B7A4E">
        <w:rPr>
          <w:b/>
          <w:bCs/>
        </w:rPr>
        <w:t>medián veku bol</w:t>
      </w:r>
      <w:r w:rsidRPr="005B7A4E">
        <w:rPr>
          <w:b/>
          <w:bCs/>
        </w:rPr>
        <w:t xml:space="preserve"> 5</w:t>
      </w:r>
      <w:r w:rsidR="00EE7C7F" w:rsidRPr="005B7A4E">
        <w:rPr>
          <w:b/>
          <w:bCs/>
        </w:rPr>
        <w:t>4</w:t>
      </w:r>
      <w:r w:rsidR="00EC6F75" w:rsidRPr="005B7A4E">
        <w:rPr>
          <w:b/>
          <w:bCs/>
        </w:rPr>
        <w:t> </w:t>
      </w:r>
      <w:r w:rsidRPr="005B7A4E">
        <w:rPr>
          <w:b/>
          <w:bCs/>
        </w:rPr>
        <w:t>rokov</w:t>
      </w:r>
      <w:r w:rsidRPr="005B7A4E">
        <w:t xml:space="preserve"> a štvrtina </w:t>
      </w:r>
      <w:r w:rsidR="00602514" w:rsidRPr="005B7A4E">
        <w:t>mala</w:t>
      </w:r>
      <w:r w:rsidRPr="005B7A4E">
        <w:t xml:space="preserve"> viac ako 6</w:t>
      </w:r>
      <w:r w:rsidR="00BB06C6" w:rsidRPr="005B7A4E">
        <w:t>2</w:t>
      </w:r>
      <w:r w:rsidRPr="005B7A4E">
        <w:t xml:space="preserve"> rokov.</w:t>
      </w:r>
    </w:p>
    <w:p w:rsidR="00EE7C7F" w:rsidRDefault="00096DB3" w:rsidP="00EE7C7F">
      <w:pPr>
        <w:pStyle w:val="Zoznam1"/>
        <w:numPr>
          <w:ilvl w:val="0"/>
          <w:numId w:val="0"/>
        </w:numPr>
      </w:pPr>
      <w:r>
        <w:rPr>
          <w:noProof/>
          <w:lang w:eastAsia="sk-SK"/>
        </w:rPr>
        <w:drawing>
          <wp:inline distT="0" distB="0" distL="0" distR="0">
            <wp:extent cx="5651500" cy="2136140"/>
            <wp:effectExtent l="0" t="0" r="25400" b="16510"/>
            <wp:docPr id="6"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122C4" w:rsidRPr="005E5FF1" w:rsidRDefault="007122C4" w:rsidP="007122C4">
      <w:pPr>
        <w:pStyle w:val="Popis"/>
        <w:keepNext/>
        <w:spacing w:after="240"/>
        <w:jc w:val="center"/>
      </w:pPr>
      <w:r w:rsidRPr="00AC0841">
        <w:t xml:space="preserve">Graf č. </w:t>
      </w:r>
      <w:r>
        <w:t>6</w:t>
      </w:r>
      <w:r w:rsidRPr="00AC0841">
        <w:t xml:space="preserve"> Veková štruktúra vysokoškolských učiteľov vysokých škôl (vrátane štátnych) </w:t>
      </w:r>
      <w:r w:rsidRPr="00AC0841">
        <w:br/>
        <w:t xml:space="preserve">(minimálny vek, prvý </w:t>
      </w:r>
      <w:proofErr w:type="spellStart"/>
      <w:r w:rsidRPr="00AC0841">
        <w:t>kvartil</w:t>
      </w:r>
      <w:proofErr w:type="spellEnd"/>
      <w:r w:rsidRPr="00AC0841">
        <w:t xml:space="preserve">, medián, tretí </w:t>
      </w:r>
      <w:proofErr w:type="spellStart"/>
      <w:r w:rsidRPr="00AC0841">
        <w:t>kvartil</w:t>
      </w:r>
      <w:proofErr w:type="spellEnd"/>
      <w:r w:rsidRPr="00AC0841">
        <w:t xml:space="preserve"> a maximálny vek)</w:t>
      </w:r>
    </w:p>
    <w:p w:rsidR="007122C4" w:rsidRPr="007122C4" w:rsidRDefault="007122C4" w:rsidP="007122C4"/>
    <w:p w:rsidR="00D3303E" w:rsidRPr="005659BE" w:rsidRDefault="00D3303E" w:rsidP="00C2109F">
      <w:pPr>
        <w:pStyle w:val="Zoznam1"/>
        <w:rPr>
          <w:b/>
        </w:rPr>
      </w:pPr>
      <w:r w:rsidRPr="00AC0841">
        <w:t>Podľa stavu k 31.12.</w:t>
      </w:r>
      <w:r w:rsidR="00B83DC5" w:rsidRPr="00AC0841">
        <w:t xml:space="preserve"> </w:t>
      </w:r>
      <w:r w:rsidRPr="00AC0841">
        <w:t>počet fyzických osôb zamestnaných na vysok</w:t>
      </w:r>
      <w:r w:rsidR="00433C4C" w:rsidRPr="00AC0841">
        <w:t>ých</w:t>
      </w:r>
      <w:r w:rsidRPr="00AC0841">
        <w:t xml:space="preserve"> škol</w:t>
      </w:r>
      <w:r w:rsidR="00433C4C" w:rsidRPr="00AC0841">
        <w:t>ách</w:t>
      </w:r>
      <w:r w:rsidRPr="00AC0841">
        <w:t xml:space="preserve"> (vrátane štátn</w:t>
      </w:r>
      <w:r w:rsidR="00CA1332" w:rsidRPr="00AC0841">
        <w:t>ych</w:t>
      </w:r>
      <w:r w:rsidRPr="00AC0841">
        <w:t>) ako vysokoškolský učiteľ alebo výskumný/umelecký pracovník medziročne</w:t>
      </w:r>
      <w:r w:rsidR="00B83DC5" w:rsidRPr="00AC0841">
        <w:t xml:space="preserve"> </w:t>
      </w:r>
      <w:r w:rsidR="001D67D3" w:rsidRPr="00AC0841">
        <w:t xml:space="preserve">zaznamenal mierny nárast </w:t>
      </w:r>
      <w:r w:rsidR="00B83DC5" w:rsidRPr="00AC0841">
        <w:t>(</w:t>
      </w:r>
      <w:r w:rsidR="00B83DC5" w:rsidRPr="00F46C5B">
        <w:t>vrátane počtu zamestnancov mimo pracovného pomeru, pričom sa nezohľadňuje výška úväzku).</w:t>
      </w:r>
      <w:r w:rsidRPr="00F46C5B">
        <w:t xml:space="preserve"> </w:t>
      </w:r>
      <w:r w:rsidR="00B83DC5" w:rsidRPr="00F46C5B">
        <w:t xml:space="preserve">V rámci zamestnancov v pracovnom pomere, najväčší nárast bol v prípade </w:t>
      </w:r>
      <w:r w:rsidR="00553110" w:rsidRPr="00F46C5B">
        <w:t>vysokoškolských učiteľov vo funkcii docent</w:t>
      </w:r>
      <w:r w:rsidR="00B83DC5" w:rsidRPr="00F46C5B">
        <w:t>, kde sa počet fyzických osôb zamestnaných v tejto kategórii medziročne zvýšil o</w:t>
      </w:r>
      <w:r w:rsidR="000E3777" w:rsidRPr="00F46C5B">
        <w:t> </w:t>
      </w:r>
      <w:r w:rsidR="00A931E5" w:rsidRPr="00F46C5B">
        <w:t>154</w:t>
      </w:r>
      <w:r w:rsidR="000E3777" w:rsidRPr="00F46C5B">
        <w:t xml:space="preserve"> (</w:t>
      </w:r>
      <w:r w:rsidR="005659BE" w:rsidRPr="00F46C5B">
        <w:t>úbytok 233</w:t>
      </w:r>
      <w:r w:rsidR="005659BE">
        <w:t xml:space="preserve">, </w:t>
      </w:r>
      <w:r w:rsidR="000E3777" w:rsidRPr="00F46C5B">
        <w:t xml:space="preserve">prírastok </w:t>
      </w:r>
      <w:r w:rsidR="00A931E5" w:rsidRPr="00F46C5B">
        <w:t>387</w:t>
      </w:r>
      <w:r w:rsidR="000E3777" w:rsidRPr="00F46C5B">
        <w:t>)</w:t>
      </w:r>
      <w:r w:rsidR="00B83DC5" w:rsidRPr="00F46C5B">
        <w:t xml:space="preserve">. Naopak, k najväčšiemu poklesu v rámci zamestnancov v pracovnom pomere došlo v prípade odborných </w:t>
      </w:r>
      <w:r w:rsidR="00FA083B" w:rsidRPr="00F46C5B">
        <w:t>asistent</w:t>
      </w:r>
      <w:r w:rsidR="00B83DC5" w:rsidRPr="00F46C5B">
        <w:t>ov, kde sa počet fyzických osôb v tejto funkcii znížil medziročne o </w:t>
      </w:r>
      <w:r w:rsidR="00A931E5" w:rsidRPr="00F46C5B">
        <w:t>232</w:t>
      </w:r>
      <w:r w:rsidR="00B83DC5" w:rsidRPr="00F46C5B">
        <w:t xml:space="preserve"> osôb</w:t>
      </w:r>
      <w:r w:rsidR="000E3777" w:rsidRPr="00F46C5B">
        <w:t xml:space="preserve"> (</w:t>
      </w:r>
      <w:r w:rsidR="005659BE" w:rsidRPr="00F46C5B">
        <w:t>úbytok 1019</w:t>
      </w:r>
      <w:r w:rsidR="005659BE">
        <w:t xml:space="preserve">, </w:t>
      </w:r>
      <w:r w:rsidR="000E3777" w:rsidRPr="00F46C5B">
        <w:t xml:space="preserve">prírastok </w:t>
      </w:r>
      <w:r w:rsidR="00A931E5" w:rsidRPr="00F46C5B">
        <w:t>787</w:t>
      </w:r>
      <w:r w:rsidR="000E3777" w:rsidRPr="00F46C5B">
        <w:t>)</w:t>
      </w:r>
      <w:r w:rsidR="00423BCC" w:rsidRPr="00F46C5B">
        <w:t>.</w:t>
      </w:r>
    </w:p>
    <w:p w:rsidR="005659BE" w:rsidRDefault="00096DB3" w:rsidP="005659BE">
      <w:pPr>
        <w:pStyle w:val="Zoznam1"/>
        <w:numPr>
          <w:ilvl w:val="0"/>
          <w:numId w:val="0"/>
        </w:numPr>
      </w:pPr>
      <w:r>
        <w:rPr>
          <w:noProof/>
          <w:lang w:eastAsia="sk-SK"/>
        </w:rPr>
        <w:drawing>
          <wp:inline distT="0" distB="0" distL="0" distR="0">
            <wp:extent cx="5620385" cy="2487930"/>
            <wp:effectExtent l="0" t="0" r="18415" b="26670"/>
            <wp:docPr id="7"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23BCC" w:rsidRPr="00F46C5B" w:rsidRDefault="00673F15" w:rsidP="0000743A">
      <w:pPr>
        <w:pStyle w:val="Popis"/>
        <w:jc w:val="center"/>
      </w:pPr>
      <w:r w:rsidRPr="00AC0841">
        <w:t xml:space="preserve">Graf č. </w:t>
      </w:r>
      <w:r w:rsidR="00145D1A">
        <w:t>7</w:t>
      </w:r>
      <w:r w:rsidR="0000743A" w:rsidRPr="00C31EC8">
        <w:t xml:space="preserve"> Zmeny v p</w:t>
      </w:r>
      <w:r w:rsidR="00B83DC5" w:rsidRPr="00C31EC8">
        <w:t>očte fyzických osôb k 31.12.201</w:t>
      </w:r>
      <w:r w:rsidR="00A931E5" w:rsidRPr="00C31EC8">
        <w:t>3</w:t>
      </w:r>
      <w:r w:rsidR="00B83DC5" w:rsidRPr="00C31EC8">
        <w:t xml:space="preserve"> a 31.12.201</w:t>
      </w:r>
      <w:r w:rsidR="00A931E5" w:rsidRPr="00C31EC8">
        <w:t>4</w:t>
      </w:r>
      <w:r w:rsidR="00DD3A66" w:rsidRPr="00C31EC8">
        <w:t xml:space="preserve"> zamestnaných na vysokej škole</w:t>
      </w:r>
      <w:r w:rsidR="0000743A" w:rsidRPr="00C31EC8">
        <w:t xml:space="preserve"> (vysokoškolský učiteľ, výskumný/umelecký pracovník) podľa funkcie, zdroj: Register zamestnancov vysokých </w:t>
      </w:r>
      <w:r w:rsidR="0000743A" w:rsidRPr="0046392E">
        <w:t>šk</w:t>
      </w:r>
      <w:r w:rsidR="0000743A" w:rsidRPr="00C31EC8">
        <w:t>ôl</w:t>
      </w:r>
      <w:r w:rsidR="0000743A" w:rsidRPr="00F46C5B">
        <w:rPr>
          <w:rStyle w:val="Odkaznapoznmkupodiarou"/>
        </w:rPr>
        <w:footnoteReference w:id="12"/>
      </w:r>
      <w:r w:rsidR="0000743A" w:rsidRPr="00F46C5B">
        <w:t>)</w:t>
      </w:r>
    </w:p>
    <w:p w:rsidR="00B4089A" w:rsidRPr="000845C4" w:rsidRDefault="00B4089A" w:rsidP="00C2109F">
      <w:pPr>
        <w:pStyle w:val="Zoznam1"/>
        <w:rPr>
          <w:b/>
        </w:rPr>
      </w:pPr>
      <w:r w:rsidRPr="00F46C5B">
        <w:lastRenderedPageBreak/>
        <w:t>Prezident Slovenskej republiky vymenoval v roku</w:t>
      </w:r>
      <w:r w:rsidRPr="000845C4">
        <w:t xml:space="preserve"> </w:t>
      </w:r>
      <w:r w:rsidR="00C20F20" w:rsidRPr="000845C4">
        <w:t>201</w:t>
      </w:r>
      <w:r w:rsidR="00A54211" w:rsidRPr="000845C4">
        <w:t>4</w:t>
      </w:r>
      <w:r w:rsidR="000E2C1E" w:rsidRPr="000845C4">
        <w:t xml:space="preserve"> </w:t>
      </w:r>
      <w:r w:rsidR="00A54211" w:rsidRPr="000845C4">
        <w:t>šesť</w:t>
      </w:r>
      <w:r w:rsidRPr="000845C4">
        <w:t xml:space="preserve"> rektor</w:t>
      </w:r>
      <w:r w:rsidR="000E2C1E" w:rsidRPr="000845C4">
        <w:t>ov</w:t>
      </w:r>
      <w:r w:rsidRPr="000845C4">
        <w:t xml:space="preserve"> verejn</w:t>
      </w:r>
      <w:r w:rsidR="004C1FB5" w:rsidRPr="000845C4">
        <w:t>ých</w:t>
      </w:r>
      <w:r w:rsidRPr="000845C4">
        <w:t xml:space="preserve"> vysok</w:t>
      </w:r>
      <w:r w:rsidR="004C1FB5" w:rsidRPr="000845C4">
        <w:t>ých škôl</w:t>
      </w:r>
      <w:r w:rsidRPr="000845C4">
        <w:t xml:space="preserve"> a</w:t>
      </w:r>
      <w:r w:rsidR="00A54211" w:rsidRPr="000845C4">
        <w:t xml:space="preserve"> štyroch</w:t>
      </w:r>
      <w:r w:rsidR="00871E6E" w:rsidRPr="000845C4">
        <w:t xml:space="preserve"> rektorov</w:t>
      </w:r>
      <w:r w:rsidRPr="000845C4">
        <w:t xml:space="preserve"> súkromn</w:t>
      </w:r>
      <w:r w:rsidR="00871E6E" w:rsidRPr="000845C4">
        <w:t xml:space="preserve">ých </w:t>
      </w:r>
      <w:r w:rsidRPr="000845C4">
        <w:t>vysok</w:t>
      </w:r>
      <w:r w:rsidR="00871E6E" w:rsidRPr="000845C4">
        <w:t>ých</w:t>
      </w:r>
      <w:r w:rsidRPr="000845C4">
        <w:t xml:space="preserve"> šk</w:t>
      </w:r>
      <w:r w:rsidR="00871E6E" w:rsidRPr="000845C4">
        <w:t>ôl</w:t>
      </w:r>
      <w:r w:rsidRPr="000845C4">
        <w:t>.</w:t>
      </w:r>
    </w:p>
    <w:p w:rsidR="009F54B0" w:rsidRPr="000845C4" w:rsidRDefault="009F54B0" w:rsidP="00C2109F">
      <w:pPr>
        <w:pStyle w:val="Zoznam1"/>
        <w:rPr>
          <w:b/>
        </w:rPr>
      </w:pPr>
      <w:r w:rsidRPr="000845C4">
        <w:t>Slovenská komisia pre vedecké hodnosti (ďalej len „SKVH“), poradný orgán ministra školstva, vedy, výskumu a športu SR na rozhodovanie o otázkach týkajúcich sa udeľovania najvyššej vedeckej hodnosti doktora vied „DrSc.“, prerokovala v roku 201</w:t>
      </w:r>
      <w:r w:rsidR="00A8081F" w:rsidRPr="000845C4">
        <w:t>4</w:t>
      </w:r>
      <w:r w:rsidRPr="000845C4">
        <w:t xml:space="preserve"> celkovo </w:t>
      </w:r>
      <w:r w:rsidR="00A8081F" w:rsidRPr="000845C4">
        <w:t>23</w:t>
      </w:r>
      <w:r w:rsidR="00CA10AE" w:rsidRPr="000845C4">
        <w:t> </w:t>
      </w:r>
      <w:r w:rsidRPr="000845C4">
        <w:t>návrhov na obhajobu vedeckej hodnosti doktora vied. Z návrhov, ktoré SKVH odporučila na obhajobu, bolo v roku 201</w:t>
      </w:r>
      <w:r w:rsidR="00A8081F" w:rsidRPr="000845C4">
        <w:t>4</w:t>
      </w:r>
      <w:r w:rsidRPr="000845C4">
        <w:t xml:space="preserve"> vedeckými radami vysokých škôl a Slovenskej akadémie vied na Slovensku udelených 1</w:t>
      </w:r>
      <w:r w:rsidR="00E518D5" w:rsidRPr="000845C4">
        <w:t>4</w:t>
      </w:r>
      <w:r w:rsidRPr="000845C4">
        <w:t xml:space="preserve"> </w:t>
      </w:r>
      <w:r w:rsidR="00500490" w:rsidRPr="000845C4">
        <w:t xml:space="preserve">vedeckých hodností </w:t>
      </w:r>
      <w:r w:rsidR="00E409BF" w:rsidRPr="000845C4">
        <w:t>doktora vied</w:t>
      </w:r>
      <w:r w:rsidRPr="000845C4">
        <w:rPr>
          <w:b/>
        </w:rPr>
        <w:t>.</w:t>
      </w:r>
    </w:p>
    <w:p w:rsidR="0016386D" w:rsidRPr="000845C4" w:rsidRDefault="0016386D" w:rsidP="00C2109F">
      <w:pPr>
        <w:pStyle w:val="Zoznam1"/>
        <w:rPr>
          <w:b/>
          <w:bCs/>
        </w:rPr>
      </w:pPr>
      <w:r w:rsidRPr="000845C4">
        <w:t xml:space="preserve">Podrobnejšie údaje týkajúce sa zamestnancov vysokých škôl sú </w:t>
      </w:r>
      <w:r w:rsidRPr="000845C4">
        <w:rPr>
          <w:b/>
          <w:bCs/>
        </w:rPr>
        <w:t xml:space="preserve">v tabuľkách č. </w:t>
      </w:r>
      <w:r w:rsidR="00A15224" w:rsidRPr="000845C4">
        <w:rPr>
          <w:b/>
          <w:bCs/>
        </w:rPr>
        <w:t>10</w:t>
      </w:r>
      <w:r w:rsidR="0010241C" w:rsidRPr="000845C4">
        <w:rPr>
          <w:b/>
          <w:bCs/>
        </w:rPr>
        <w:t xml:space="preserve"> </w:t>
      </w:r>
      <w:r w:rsidR="00903114" w:rsidRPr="000845C4">
        <w:rPr>
          <w:b/>
          <w:bCs/>
        </w:rPr>
        <w:t>a 1</w:t>
      </w:r>
      <w:r w:rsidR="00921CA9" w:rsidRPr="000845C4">
        <w:rPr>
          <w:b/>
          <w:bCs/>
        </w:rPr>
        <w:t>1</w:t>
      </w:r>
      <w:r w:rsidR="00A15224" w:rsidRPr="000845C4">
        <w:rPr>
          <w:b/>
          <w:bCs/>
        </w:rPr>
        <w:t>.</w:t>
      </w:r>
    </w:p>
    <w:p w:rsidR="00652A74" w:rsidRPr="000845C4" w:rsidRDefault="00CF1218" w:rsidP="00652A74">
      <w:pPr>
        <w:pStyle w:val="Nadpis3-vavo"/>
        <w:numPr>
          <w:ilvl w:val="2"/>
          <w:numId w:val="1"/>
        </w:numPr>
        <w:ind w:left="0" w:firstLine="0"/>
      </w:pPr>
      <w:bookmarkStart w:id="46" w:name="_Toc136065585"/>
      <w:bookmarkStart w:id="47" w:name="_Toc264838386"/>
      <w:bookmarkStart w:id="48" w:name="_Toc427750179"/>
      <w:r w:rsidRPr="000845C4">
        <w:t>1.5</w:t>
      </w:r>
      <w:r w:rsidR="00652A74" w:rsidRPr="000845C4">
        <w:t xml:space="preserve"> Vysokoškolská veda a</w:t>
      </w:r>
      <w:r w:rsidR="00E63ED0" w:rsidRPr="000845C4">
        <w:t> </w:t>
      </w:r>
      <w:r w:rsidR="00652A74" w:rsidRPr="000845C4">
        <w:t>technika</w:t>
      </w:r>
      <w:bookmarkEnd w:id="46"/>
      <w:bookmarkEnd w:id="47"/>
      <w:bookmarkEnd w:id="48"/>
    </w:p>
    <w:p w:rsidR="00034E5E" w:rsidRPr="000845C4" w:rsidRDefault="00B76454" w:rsidP="00C2109F">
      <w:pPr>
        <w:pStyle w:val="Zoznam1"/>
      </w:pPr>
      <w:r w:rsidRPr="000845C4">
        <w:t>Vysoké školy získali v roku 201</w:t>
      </w:r>
      <w:r w:rsidR="00D63EBC">
        <w:t>4</w:t>
      </w:r>
      <w:r w:rsidRPr="000845C4">
        <w:t xml:space="preserve"> finančné prostriedky na uskutočňovanie výskumu a vývoja zo štátneho rozpočtu takmer výlučne prostredníctvom kapitoly ministerstva. Získavali ich ako inštitucionálnu formu podpory výskumu a vývoja v rámci rozpočtového programu </w:t>
      </w:r>
      <w:r w:rsidRPr="000845C4">
        <w:rPr>
          <w:iCs/>
        </w:rPr>
        <w:t>077 – Vysokoškolské vzdelávanie a veda, sociálna podpora študentov vysokých škôl</w:t>
      </w:r>
      <w:r w:rsidRPr="000845C4">
        <w:t xml:space="preserve"> a tiež ako účelovú formu podpory na základe súťaže s ostatnými subjektmi zaoberajúcimi sa výskumom a vývojom z Agentúry na podporu výskumu a vývoja.</w:t>
      </w:r>
    </w:p>
    <w:p w:rsidR="00034E5E" w:rsidRPr="000845C4" w:rsidRDefault="00034E5E" w:rsidP="00934E6E">
      <w:pPr>
        <w:pStyle w:val="Nadpis4"/>
        <w:numPr>
          <w:ilvl w:val="3"/>
          <w:numId w:val="0"/>
        </w:numPr>
        <w:tabs>
          <w:tab w:val="left" w:pos="5363"/>
        </w:tabs>
        <w:rPr>
          <w:lang w:val="sk-SK"/>
        </w:rPr>
      </w:pPr>
      <w:bookmarkStart w:id="49" w:name="_Toc198705330"/>
      <w:bookmarkStart w:id="50" w:name="_Toc232215241"/>
      <w:bookmarkStart w:id="51" w:name="_Toc232791880"/>
      <w:bookmarkStart w:id="52" w:name="_Toc427750180"/>
      <w:r w:rsidRPr="000845C4">
        <w:rPr>
          <w:lang w:val="sk-SK"/>
        </w:rPr>
        <w:t>Podprogram Vysokoškolská veda a technika</w:t>
      </w:r>
      <w:bookmarkEnd w:id="49"/>
      <w:bookmarkEnd w:id="50"/>
      <w:bookmarkEnd w:id="51"/>
      <w:bookmarkEnd w:id="52"/>
      <w:r w:rsidR="00934E6E" w:rsidRPr="000845C4">
        <w:rPr>
          <w:lang w:val="sk-SK"/>
        </w:rPr>
        <w:tab/>
      </w:r>
    </w:p>
    <w:p w:rsidR="00B76454" w:rsidRPr="000845C4" w:rsidRDefault="00B76454" w:rsidP="00C2109F">
      <w:pPr>
        <w:pStyle w:val="Zoznam1"/>
      </w:pPr>
      <w:r w:rsidRPr="000845C4">
        <w:t xml:space="preserve"> V rámci podprogramu </w:t>
      </w:r>
      <w:r w:rsidRPr="000845C4">
        <w:rPr>
          <w:i/>
          <w:iCs/>
        </w:rPr>
        <w:t xml:space="preserve">077 12 – Vysokoškolská veda a technika </w:t>
      </w:r>
      <w:r w:rsidRPr="000845C4">
        <w:t>bol</w:t>
      </w:r>
      <w:r w:rsidR="00D205E5" w:rsidRPr="000845C4">
        <w:t>a</w:t>
      </w:r>
      <w:r w:rsidRPr="000845C4">
        <w:t xml:space="preserve"> v roku 201</w:t>
      </w:r>
      <w:r w:rsidR="00D63EBC">
        <w:t>4</w:t>
      </w:r>
      <w:r w:rsidRPr="000845C4">
        <w:t xml:space="preserve"> ministerstvom podporovan</w:t>
      </w:r>
      <w:r w:rsidR="00D205E5" w:rsidRPr="000845C4">
        <w:t>á</w:t>
      </w:r>
      <w:r w:rsidRPr="000845C4">
        <w:t xml:space="preserve"> </w:t>
      </w:r>
      <w:r w:rsidR="00D205E5" w:rsidRPr="000845C4">
        <w:t>oblasť</w:t>
      </w:r>
      <w:r w:rsidRPr="000845C4">
        <w:t>:</w:t>
      </w:r>
    </w:p>
    <w:p w:rsidR="00B76454" w:rsidRPr="000845C4" w:rsidRDefault="00B76454" w:rsidP="006D0EB0">
      <w:pPr>
        <w:pStyle w:val="Zoznam3"/>
        <w:numPr>
          <w:ilvl w:val="0"/>
          <w:numId w:val="13"/>
        </w:numPr>
      </w:pPr>
      <w:r w:rsidRPr="000845C4">
        <w:rPr>
          <w:bCs/>
        </w:rPr>
        <w:t>prevádzky a rozvoja infraštruktúry</w:t>
      </w:r>
      <w:r w:rsidRPr="000845C4">
        <w:t xml:space="preserve"> pre výskum a vývoj,</w:t>
      </w:r>
    </w:p>
    <w:p w:rsidR="00B76454" w:rsidRPr="000845C4" w:rsidRDefault="00B76454" w:rsidP="006D0EB0">
      <w:pPr>
        <w:pStyle w:val="Zoznam3"/>
        <w:numPr>
          <w:ilvl w:val="0"/>
          <w:numId w:val="13"/>
        </w:numPr>
      </w:pPr>
      <w:r w:rsidRPr="000845C4">
        <w:rPr>
          <w:bCs/>
        </w:rPr>
        <w:t>základného výskumu</w:t>
      </w:r>
      <w:r w:rsidRPr="000845C4">
        <w:t xml:space="preserve"> prostredníctvom vnútorného grantového systému </w:t>
      </w:r>
      <w:r w:rsidRPr="000845C4">
        <w:rPr>
          <w:bCs/>
        </w:rPr>
        <w:t>VEGA</w:t>
      </w:r>
      <w:r w:rsidRPr="000845C4">
        <w:t>,</w:t>
      </w:r>
    </w:p>
    <w:p w:rsidR="00B76454" w:rsidRPr="000845C4" w:rsidRDefault="00D205E5" w:rsidP="006D0EB0">
      <w:pPr>
        <w:pStyle w:val="Zoznam3"/>
        <w:numPr>
          <w:ilvl w:val="0"/>
          <w:numId w:val="13"/>
        </w:numPr>
      </w:pPr>
      <w:r w:rsidRPr="000845C4">
        <w:t>aplikovanéh</w:t>
      </w:r>
      <w:r w:rsidR="002B5314" w:rsidRPr="000845C4">
        <w:t>o</w:t>
      </w:r>
      <w:r w:rsidRPr="000845C4">
        <w:t xml:space="preserve"> </w:t>
      </w:r>
      <w:r w:rsidR="00B76454" w:rsidRPr="000845C4">
        <w:rPr>
          <w:bCs/>
        </w:rPr>
        <w:t>výskumu pre rezort školstva</w:t>
      </w:r>
      <w:r w:rsidR="00B76454" w:rsidRPr="000845C4">
        <w:t xml:space="preserve"> prostredníctvom vnútorného grantového systému </w:t>
      </w:r>
      <w:r w:rsidR="00B76454" w:rsidRPr="000845C4">
        <w:rPr>
          <w:bCs/>
        </w:rPr>
        <w:t>KEGA</w:t>
      </w:r>
      <w:r w:rsidR="00B76454" w:rsidRPr="000845C4">
        <w:t>.</w:t>
      </w:r>
    </w:p>
    <w:p w:rsidR="0005454E" w:rsidRPr="005E5FF1" w:rsidRDefault="00B76454" w:rsidP="00C2109F">
      <w:pPr>
        <w:pStyle w:val="Zoznam1"/>
      </w:pPr>
      <w:r w:rsidRPr="000845C4">
        <w:rPr>
          <w:b/>
        </w:rPr>
        <w:t>Na prevádzku a rozvoj infraštruktúry</w:t>
      </w:r>
      <w:r w:rsidRPr="000845C4">
        <w:t xml:space="preserve"> </w:t>
      </w:r>
      <w:r w:rsidR="00F90240" w:rsidRPr="000845C4">
        <w:t xml:space="preserve">pre výskum a vývoj </w:t>
      </w:r>
      <w:r w:rsidRPr="000845C4">
        <w:t xml:space="preserve">bolo </w:t>
      </w:r>
      <w:r w:rsidR="00757517">
        <w:t xml:space="preserve">z dotácie pre verejné vysoké školy </w:t>
      </w:r>
      <w:r w:rsidRPr="000845C4">
        <w:t>v roku 201</w:t>
      </w:r>
      <w:r w:rsidR="00BE0B85" w:rsidRPr="000845C4">
        <w:t>4</w:t>
      </w:r>
      <w:r w:rsidRPr="000845C4">
        <w:t xml:space="preserve"> </w:t>
      </w:r>
      <w:r w:rsidRPr="000845C4">
        <w:rPr>
          <w:b/>
        </w:rPr>
        <w:t xml:space="preserve">vyčlenených </w:t>
      </w:r>
      <w:r w:rsidR="00F90240" w:rsidRPr="000845C4">
        <w:rPr>
          <w:b/>
        </w:rPr>
        <w:t>13</w:t>
      </w:r>
      <w:r w:rsidR="007F7EF6" w:rsidRPr="000845C4">
        <w:rPr>
          <w:b/>
        </w:rPr>
        <w:t>1</w:t>
      </w:r>
      <w:r w:rsidR="00F90240" w:rsidRPr="000845C4">
        <w:rPr>
          <w:b/>
        </w:rPr>
        <w:t> </w:t>
      </w:r>
      <w:r w:rsidR="007F7EF6" w:rsidRPr="000845C4">
        <w:rPr>
          <w:b/>
        </w:rPr>
        <w:t>214</w:t>
      </w:r>
      <w:r w:rsidR="00F90240" w:rsidRPr="000845C4">
        <w:rPr>
          <w:b/>
        </w:rPr>
        <w:t xml:space="preserve"> </w:t>
      </w:r>
      <w:r w:rsidR="007F7EF6" w:rsidRPr="000845C4">
        <w:rPr>
          <w:b/>
        </w:rPr>
        <w:t>463</w:t>
      </w:r>
      <w:r w:rsidRPr="000845C4">
        <w:rPr>
          <w:b/>
        </w:rPr>
        <w:t xml:space="preserve"> €</w:t>
      </w:r>
      <w:r w:rsidR="008D7EA9" w:rsidRPr="000845C4">
        <w:rPr>
          <w:szCs w:val="22"/>
        </w:rPr>
        <w:t xml:space="preserve">, </w:t>
      </w:r>
      <w:r w:rsidR="007F7EF6" w:rsidRPr="000845C4">
        <w:rPr>
          <w:szCs w:val="22"/>
        </w:rPr>
        <w:t>t.j.</w:t>
      </w:r>
      <w:r w:rsidR="00757517">
        <w:rPr>
          <w:szCs w:val="22"/>
        </w:rPr>
        <w:t xml:space="preserve"> rozpočet </w:t>
      </w:r>
      <w:r w:rsidR="007F7EF6" w:rsidRPr="000845C4">
        <w:rPr>
          <w:szCs w:val="22"/>
        </w:rPr>
        <w:t xml:space="preserve"> </w:t>
      </w:r>
      <w:r w:rsidR="007F7EF6" w:rsidRPr="000845C4">
        <w:rPr>
          <w:b/>
          <w:szCs w:val="22"/>
        </w:rPr>
        <w:t xml:space="preserve">nižší o 1 618 106 </w:t>
      </w:r>
      <w:r w:rsidR="007F7EF6" w:rsidRPr="000845C4">
        <w:rPr>
          <w:b/>
        </w:rPr>
        <w:t>€</w:t>
      </w:r>
      <w:r w:rsidR="007F7EF6" w:rsidRPr="000845C4">
        <w:rPr>
          <w:b/>
          <w:szCs w:val="22"/>
        </w:rPr>
        <w:t xml:space="preserve"> </w:t>
      </w:r>
      <w:r w:rsidR="007F7EF6" w:rsidRPr="000845C4">
        <w:rPr>
          <w:szCs w:val="22"/>
        </w:rPr>
        <w:t xml:space="preserve">ako bol </w:t>
      </w:r>
      <w:r w:rsidR="008D7EA9" w:rsidRPr="000845C4">
        <w:rPr>
          <w:szCs w:val="22"/>
        </w:rPr>
        <w:t>v roku 201</w:t>
      </w:r>
      <w:r w:rsidR="00D63EBC">
        <w:rPr>
          <w:szCs w:val="22"/>
        </w:rPr>
        <w:t>3</w:t>
      </w:r>
      <w:r w:rsidR="00E8096F" w:rsidRPr="000845C4">
        <w:t>.</w:t>
      </w:r>
      <w:r w:rsidRPr="000845C4">
        <w:t xml:space="preserve"> </w:t>
      </w:r>
      <w:r w:rsidR="00975C9B" w:rsidRPr="000845C4">
        <w:t>Spôsob rozpisu finančných prostriedkov je uvedený v</w:t>
      </w:r>
      <w:r w:rsidR="007E194A">
        <w:t> časti 2.1.</w:t>
      </w:r>
    </w:p>
    <w:p w:rsidR="005E5068" w:rsidRPr="000845C4" w:rsidRDefault="00B76454" w:rsidP="00C2109F">
      <w:pPr>
        <w:pStyle w:val="Zoznam1"/>
      </w:pPr>
      <w:r w:rsidRPr="005E5FF1">
        <w:t xml:space="preserve"> </w:t>
      </w:r>
      <w:r w:rsidRPr="000845C4">
        <w:t xml:space="preserve">Na podporu projektov základného výskumu prostredníctvom </w:t>
      </w:r>
      <w:r w:rsidRPr="000845C4">
        <w:rPr>
          <w:b/>
        </w:rPr>
        <w:t xml:space="preserve">VEGA </w:t>
      </w:r>
      <w:r w:rsidRPr="000845C4">
        <w:t>bolo v roku 201</w:t>
      </w:r>
      <w:r w:rsidR="007F7EF6" w:rsidRPr="000845C4">
        <w:t>4</w:t>
      </w:r>
      <w:r w:rsidRPr="000845C4">
        <w:t xml:space="preserve"> na verejné vysoké školy</w:t>
      </w:r>
      <w:r w:rsidR="000541FD" w:rsidRPr="000845C4">
        <w:t xml:space="preserve"> </w:t>
      </w:r>
      <w:r w:rsidRPr="000845C4">
        <w:rPr>
          <w:b/>
        </w:rPr>
        <w:t xml:space="preserve">rozpísaných </w:t>
      </w:r>
      <w:r w:rsidR="00147256" w:rsidRPr="000845C4">
        <w:rPr>
          <w:b/>
        </w:rPr>
        <w:t>9</w:t>
      </w:r>
      <w:r w:rsidR="008D7EA9" w:rsidRPr="000845C4">
        <w:rPr>
          <w:b/>
        </w:rPr>
        <w:t> </w:t>
      </w:r>
      <w:r w:rsidR="007F7EF6" w:rsidRPr="000845C4">
        <w:rPr>
          <w:b/>
        </w:rPr>
        <w:t>359</w:t>
      </w:r>
      <w:r w:rsidR="008D7EA9" w:rsidRPr="000845C4">
        <w:rPr>
          <w:b/>
        </w:rPr>
        <w:t xml:space="preserve"> </w:t>
      </w:r>
      <w:r w:rsidR="007F7EF6" w:rsidRPr="000845C4">
        <w:rPr>
          <w:b/>
        </w:rPr>
        <w:t>666</w:t>
      </w:r>
      <w:r w:rsidRPr="000845C4">
        <w:rPr>
          <w:b/>
        </w:rPr>
        <w:t xml:space="preserve"> €</w:t>
      </w:r>
      <w:bookmarkStart w:id="53" w:name="_Ref297121966"/>
      <w:r w:rsidR="00BE4A40" w:rsidRPr="000845C4">
        <w:rPr>
          <w:rStyle w:val="Odkaznapoznmkupodiarou"/>
        </w:rPr>
        <w:footnoteReference w:id="13"/>
      </w:r>
      <w:bookmarkEnd w:id="53"/>
      <w:r w:rsidR="00BE4A40" w:rsidRPr="000845C4">
        <w:t>)</w:t>
      </w:r>
      <w:r w:rsidR="0087782E" w:rsidRPr="000845C4">
        <w:t>,</w:t>
      </w:r>
      <w:r w:rsidRPr="000845C4">
        <w:t xml:space="preserve"> </w:t>
      </w:r>
      <w:r w:rsidR="00413AD8" w:rsidRPr="000845C4">
        <w:t>čo je o</w:t>
      </w:r>
      <w:r w:rsidR="007F7EF6" w:rsidRPr="000845C4">
        <w:t> 104 172</w:t>
      </w:r>
      <w:r w:rsidR="00413AD8" w:rsidRPr="000845C4">
        <w:t xml:space="preserve"> € </w:t>
      </w:r>
      <w:r w:rsidR="007F7EF6" w:rsidRPr="000845C4">
        <w:t>viac</w:t>
      </w:r>
      <w:r w:rsidR="00413AD8" w:rsidRPr="000845C4">
        <w:t xml:space="preserve"> ako v r</w:t>
      </w:r>
      <w:r w:rsidR="008D7EA9" w:rsidRPr="000845C4">
        <w:t>oku 201</w:t>
      </w:r>
      <w:r w:rsidR="007F7EF6" w:rsidRPr="000845C4">
        <w:t>3</w:t>
      </w:r>
      <w:r w:rsidRPr="000845C4">
        <w:t>. Výber a hodnotenie projektov uskutočnilo trinásť komisií zložených z odborníkov z vysokých škôl a</w:t>
      </w:r>
      <w:r w:rsidR="00A8081F" w:rsidRPr="000845C4">
        <w:t> z pra</w:t>
      </w:r>
      <w:r w:rsidR="005763F6" w:rsidRPr="000845C4">
        <w:t>c</w:t>
      </w:r>
      <w:r w:rsidR="00A8081F" w:rsidRPr="000845C4">
        <w:t>ovísk</w:t>
      </w:r>
      <w:r w:rsidRPr="000845C4">
        <w:t xml:space="preserve"> Slovenskej akadémie vied. Postupovalo sa pritom podľa platných pravidiel VEGA</w:t>
      </w:r>
      <w:r w:rsidR="00F34560" w:rsidRPr="000845C4">
        <w:t xml:space="preserve">. V rámci </w:t>
      </w:r>
      <w:r w:rsidR="00F81365" w:rsidRPr="000845C4">
        <w:t xml:space="preserve">pokračujúcej </w:t>
      </w:r>
      <w:proofErr w:type="spellStart"/>
      <w:r w:rsidR="00F34560" w:rsidRPr="000845C4">
        <w:t>debyrokratizácie</w:t>
      </w:r>
      <w:proofErr w:type="spellEnd"/>
      <w:r w:rsidR="00F34560" w:rsidRPr="000845C4">
        <w:t xml:space="preserve"> školstva ministerstvo </w:t>
      </w:r>
      <w:r w:rsidR="00F81365" w:rsidRPr="000845C4">
        <w:t>uskutočnilo ďalšie zmeny</w:t>
      </w:r>
      <w:r w:rsidR="00A8081F" w:rsidRPr="000845C4">
        <w:t xml:space="preserve"> smerujúce</w:t>
      </w:r>
      <w:r w:rsidR="00F81365" w:rsidRPr="000845C4">
        <w:t xml:space="preserve"> k úplnej </w:t>
      </w:r>
      <w:r w:rsidR="00F34560" w:rsidRPr="000845C4">
        <w:t>elektronizáci</w:t>
      </w:r>
      <w:r w:rsidR="00A8081F" w:rsidRPr="000845C4">
        <w:t>i</w:t>
      </w:r>
      <w:r w:rsidR="00F34560" w:rsidRPr="000845C4">
        <w:t xml:space="preserve"> podávania žiadostí o dotáciu na nové projekty VEGA a ich hodnotenia, ako aj podávania finančných a záverečných správ projektov VEGA v rámci systému </w:t>
      </w:r>
      <w:r w:rsidR="00F81365" w:rsidRPr="000845C4">
        <w:t xml:space="preserve">on-line systému </w:t>
      </w:r>
      <w:proofErr w:type="spellStart"/>
      <w:r w:rsidR="00F34560" w:rsidRPr="000845C4">
        <w:t>e-VEGA</w:t>
      </w:r>
      <w:proofErr w:type="spellEnd"/>
      <w:r w:rsidRPr="000845C4">
        <w:t>.</w:t>
      </w:r>
    </w:p>
    <w:p w:rsidR="00034E5E" w:rsidRPr="000845C4" w:rsidRDefault="00B76454" w:rsidP="00C2109F">
      <w:pPr>
        <w:pStyle w:val="Zoznam1"/>
      </w:pPr>
      <w:r w:rsidRPr="000845C4">
        <w:rPr>
          <w:b/>
        </w:rPr>
        <w:t>Na jeden projekt VEGA</w:t>
      </w:r>
      <w:r w:rsidRPr="000845C4">
        <w:t xml:space="preserve"> bolo v priemere vynaložených </w:t>
      </w:r>
      <w:r w:rsidR="00BE0B85" w:rsidRPr="000845C4">
        <w:rPr>
          <w:b/>
        </w:rPr>
        <w:t>6 753</w:t>
      </w:r>
      <w:r w:rsidRPr="000845C4">
        <w:rPr>
          <w:b/>
        </w:rPr>
        <w:t xml:space="preserve"> €</w:t>
      </w:r>
      <w:r w:rsidRPr="000845C4">
        <w:t>, čo je o</w:t>
      </w:r>
      <w:r w:rsidR="00F81365" w:rsidRPr="000845C4">
        <w:t> </w:t>
      </w:r>
      <w:r w:rsidR="00BE0B85" w:rsidRPr="000845C4">
        <w:t>950</w:t>
      </w:r>
      <w:r w:rsidR="00F81365" w:rsidRPr="000845C4">
        <w:t xml:space="preserve"> </w:t>
      </w:r>
      <w:r w:rsidRPr="000845C4">
        <w:t xml:space="preserve">€ </w:t>
      </w:r>
      <w:r w:rsidR="00BE0B85" w:rsidRPr="000845C4">
        <w:t>viac</w:t>
      </w:r>
      <w:r w:rsidRPr="000845C4">
        <w:t xml:space="preserve"> ako v</w:t>
      </w:r>
      <w:r w:rsidR="00BE0B85" w:rsidRPr="000845C4">
        <w:t> predchádzajúcom roku</w:t>
      </w:r>
      <w:r w:rsidRPr="000845C4">
        <w:t xml:space="preserve">. Počet financovaných </w:t>
      </w:r>
      <w:r w:rsidR="00F81365" w:rsidRPr="000845C4">
        <w:t>žiadostí</w:t>
      </w:r>
      <w:r w:rsidRPr="000845C4">
        <w:t xml:space="preserve"> VEGA sa oproti roku 20</w:t>
      </w:r>
      <w:r w:rsidR="00F34560" w:rsidRPr="000845C4">
        <w:t>1</w:t>
      </w:r>
      <w:r w:rsidR="00BE0B85" w:rsidRPr="000845C4">
        <w:t>3</w:t>
      </w:r>
      <w:r w:rsidRPr="000845C4">
        <w:t xml:space="preserve"> </w:t>
      </w:r>
      <w:r w:rsidR="00F81365" w:rsidRPr="000845C4">
        <w:t>z</w:t>
      </w:r>
      <w:r w:rsidR="00BE0B85" w:rsidRPr="000845C4">
        <w:t>nížil</w:t>
      </w:r>
      <w:r w:rsidR="00F81365" w:rsidRPr="000845C4">
        <w:t xml:space="preserve"> o</w:t>
      </w:r>
      <w:r w:rsidR="008A7B73">
        <w:t> </w:t>
      </w:r>
      <w:r w:rsidR="00BE0B85" w:rsidRPr="000845C4">
        <w:t>38</w:t>
      </w:r>
      <w:r w:rsidR="008A7B73">
        <w:t> </w:t>
      </w:r>
      <w:r w:rsidR="00F81365" w:rsidRPr="000845C4">
        <w:t>projektov</w:t>
      </w:r>
      <w:r w:rsidR="00FB5C35" w:rsidRPr="000845C4">
        <w:t>.</w:t>
      </w:r>
    </w:p>
    <w:p w:rsidR="00034E5E" w:rsidRPr="000845C4" w:rsidRDefault="00FB5C35" w:rsidP="00C2109F">
      <w:pPr>
        <w:pStyle w:val="Zoznam1"/>
      </w:pPr>
      <w:r w:rsidRPr="000845C4">
        <w:t xml:space="preserve"> Prehľad o úspešnosti jednotlivých vysokých škôl v rámci VEGA je </w:t>
      </w:r>
      <w:r w:rsidR="009433B0" w:rsidRPr="000845C4">
        <w:rPr>
          <w:b/>
        </w:rPr>
        <w:t>v tabuľke č.</w:t>
      </w:r>
      <w:r w:rsidR="00AF5D0D" w:rsidRPr="000845C4">
        <w:rPr>
          <w:b/>
        </w:rPr>
        <w:t> </w:t>
      </w:r>
      <w:r w:rsidR="009433B0" w:rsidRPr="000845C4">
        <w:rPr>
          <w:b/>
        </w:rPr>
        <w:t>12</w:t>
      </w:r>
      <w:r w:rsidRPr="000845C4">
        <w:rPr>
          <w:b/>
        </w:rPr>
        <w:t>a.</w:t>
      </w:r>
      <w:r w:rsidRPr="000845C4">
        <w:t xml:space="preserve"> Údaje o</w:t>
      </w:r>
      <w:r w:rsidR="000046A2" w:rsidRPr="000845C4">
        <w:t xml:space="preserve"> počte </w:t>
      </w:r>
      <w:r w:rsidRPr="000845C4">
        <w:t>riešených projekto</w:t>
      </w:r>
      <w:r w:rsidR="00757517">
        <w:t>v</w:t>
      </w:r>
      <w:r w:rsidRPr="000845C4">
        <w:t xml:space="preserve"> </w:t>
      </w:r>
      <w:r w:rsidR="00615269" w:rsidRPr="000845C4">
        <w:t>a</w:t>
      </w:r>
      <w:r w:rsidR="00BE0B85" w:rsidRPr="000845C4">
        <w:t xml:space="preserve"> výška</w:t>
      </w:r>
      <w:r w:rsidR="00615269" w:rsidRPr="000845C4">
        <w:t xml:space="preserve"> finančných prostriedkov poskytnutých na ich riešenie </w:t>
      </w:r>
      <w:r w:rsidRPr="000845C4">
        <w:t xml:space="preserve">podľa jednotlivých odborných komisií VEGA sú uvedené </w:t>
      </w:r>
      <w:r w:rsidRPr="000845C4">
        <w:rPr>
          <w:b/>
        </w:rPr>
        <w:t>v tabuľke č. 1</w:t>
      </w:r>
      <w:r w:rsidR="009433B0" w:rsidRPr="000845C4">
        <w:rPr>
          <w:b/>
        </w:rPr>
        <w:t>2</w:t>
      </w:r>
      <w:r w:rsidRPr="000845C4">
        <w:rPr>
          <w:b/>
        </w:rPr>
        <w:t>b</w:t>
      </w:r>
      <w:r w:rsidR="00034E5E" w:rsidRPr="000845C4">
        <w:rPr>
          <w:b/>
        </w:rPr>
        <w:t>.</w:t>
      </w:r>
    </w:p>
    <w:p w:rsidR="00034E5E" w:rsidRPr="000845C4" w:rsidRDefault="00FB5C35" w:rsidP="00C2109F">
      <w:pPr>
        <w:pStyle w:val="Zoznam1"/>
      </w:pPr>
      <w:r w:rsidRPr="000845C4">
        <w:lastRenderedPageBreak/>
        <w:t xml:space="preserve">Na podporu projektov v oblasti výskumu pre rezort školstva prostredníctvom </w:t>
      </w:r>
      <w:r w:rsidRPr="000845C4">
        <w:rPr>
          <w:b/>
        </w:rPr>
        <w:t>KEGA</w:t>
      </w:r>
      <w:r w:rsidRPr="000845C4">
        <w:t xml:space="preserve"> bolo v roku 201</w:t>
      </w:r>
      <w:r w:rsidR="00BE0B85" w:rsidRPr="000845C4">
        <w:t>4</w:t>
      </w:r>
      <w:r w:rsidRPr="000845C4">
        <w:t xml:space="preserve"> </w:t>
      </w:r>
      <w:r w:rsidRPr="000845C4">
        <w:rPr>
          <w:b/>
        </w:rPr>
        <w:t xml:space="preserve">rozpísaných </w:t>
      </w:r>
      <w:r w:rsidR="00147256" w:rsidRPr="000845C4">
        <w:rPr>
          <w:b/>
        </w:rPr>
        <w:t>2 </w:t>
      </w:r>
      <w:r w:rsidR="00BE0B85" w:rsidRPr="000845C4">
        <w:rPr>
          <w:b/>
        </w:rPr>
        <w:t>500</w:t>
      </w:r>
      <w:r w:rsidR="00147256" w:rsidRPr="000845C4">
        <w:rPr>
          <w:b/>
        </w:rPr>
        <w:t xml:space="preserve"> 000</w:t>
      </w:r>
      <w:r w:rsidRPr="000845C4">
        <w:rPr>
          <w:b/>
        </w:rPr>
        <w:t xml:space="preserve"> €</w:t>
      </w:r>
      <w:r w:rsidR="00770B0C" w:rsidRPr="000845C4">
        <w:rPr>
          <w:b/>
          <w:vertAlign w:val="superscript"/>
        </w:rPr>
        <w:fldChar w:fldCharType="begin"/>
      </w:r>
      <w:r w:rsidR="00770B0C" w:rsidRPr="000845C4">
        <w:rPr>
          <w:b/>
          <w:vertAlign w:val="superscript"/>
        </w:rPr>
        <w:instrText xml:space="preserve"> NOTEREF _Ref297121966 \h  \* MERGEFORMAT </w:instrText>
      </w:r>
      <w:r w:rsidR="00770B0C" w:rsidRPr="000845C4">
        <w:rPr>
          <w:b/>
          <w:vertAlign w:val="superscript"/>
        </w:rPr>
      </w:r>
      <w:r w:rsidR="00770B0C" w:rsidRPr="000845C4">
        <w:rPr>
          <w:b/>
          <w:vertAlign w:val="superscript"/>
        </w:rPr>
        <w:fldChar w:fldCharType="separate"/>
      </w:r>
      <w:r w:rsidR="005010AB">
        <w:rPr>
          <w:b/>
          <w:vertAlign w:val="superscript"/>
        </w:rPr>
        <w:t>13</w:t>
      </w:r>
      <w:r w:rsidR="00770B0C" w:rsidRPr="000845C4">
        <w:rPr>
          <w:b/>
          <w:vertAlign w:val="superscript"/>
        </w:rPr>
        <w:fldChar w:fldCharType="end"/>
      </w:r>
      <w:r w:rsidR="0087782E" w:rsidRPr="000845C4">
        <w:t>)</w:t>
      </w:r>
      <w:r w:rsidR="008D7EA9" w:rsidRPr="000845C4">
        <w:t xml:space="preserve">, </w:t>
      </w:r>
      <w:r w:rsidR="00BE0B85" w:rsidRPr="000845C4">
        <w:t>čo je o 8 000 €</w:t>
      </w:r>
      <w:r w:rsidR="00BE0B85" w:rsidRPr="000845C4">
        <w:rPr>
          <w:b/>
        </w:rPr>
        <w:t xml:space="preserve"> </w:t>
      </w:r>
      <w:r w:rsidR="00BE0B85" w:rsidRPr="000845C4">
        <w:t xml:space="preserve">viac </w:t>
      </w:r>
      <w:r w:rsidR="008D7EA9" w:rsidRPr="000845C4">
        <w:t>ako v roku 201</w:t>
      </w:r>
      <w:r w:rsidR="00BE0B85" w:rsidRPr="000845C4">
        <w:t>3</w:t>
      </w:r>
      <w:r w:rsidR="008D7EA9" w:rsidRPr="000845C4">
        <w:t>.</w:t>
      </w:r>
      <w:r w:rsidR="007B2E8C" w:rsidRPr="000845C4">
        <w:t xml:space="preserve"> </w:t>
      </w:r>
      <w:r w:rsidR="00F34560" w:rsidRPr="000845C4">
        <w:t>V roku 201</w:t>
      </w:r>
      <w:r w:rsidR="00BE0B85" w:rsidRPr="000845C4">
        <w:t>4</w:t>
      </w:r>
      <w:r w:rsidR="00F34560" w:rsidRPr="000845C4">
        <w:t xml:space="preserve"> bolo prostredníctvom KEGA finančne podporených </w:t>
      </w:r>
      <w:r w:rsidR="00BE0B85" w:rsidRPr="000845C4">
        <w:t>395</w:t>
      </w:r>
      <w:r w:rsidR="00F34560" w:rsidRPr="000845C4">
        <w:t xml:space="preserve"> projektov (</w:t>
      </w:r>
      <w:r w:rsidR="002F00F5" w:rsidRPr="000845C4">
        <w:t>13</w:t>
      </w:r>
      <w:r w:rsidR="00BE0B85" w:rsidRPr="000845C4">
        <w:t>5</w:t>
      </w:r>
      <w:r w:rsidR="00F34560" w:rsidRPr="000845C4">
        <w:t xml:space="preserve"> nových projektov so</w:t>
      </w:r>
      <w:r w:rsidR="003A1787" w:rsidRPr="000845C4">
        <w:t> </w:t>
      </w:r>
      <w:r w:rsidR="00F34560" w:rsidRPr="000845C4">
        <w:t>začiatkom riešenia v roku 201</w:t>
      </w:r>
      <w:r w:rsidR="00BE0B85" w:rsidRPr="000845C4">
        <w:t>4</w:t>
      </w:r>
      <w:r w:rsidR="00F34560" w:rsidRPr="000845C4">
        <w:t xml:space="preserve"> a</w:t>
      </w:r>
      <w:r w:rsidR="00796177">
        <w:t> </w:t>
      </w:r>
      <w:r w:rsidR="002F00F5" w:rsidRPr="000845C4">
        <w:t>26</w:t>
      </w:r>
      <w:r w:rsidR="00BE0B85" w:rsidRPr="000845C4">
        <w:t>0</w:t>
      </w:r>
      <w:r w:rsidR="00796177">
        <w:t xml:space="preserve"> </w:t>
      </w:r>
      <w:r w:rsidR="00BE0B85" w:rsidRPr="000845C4">
        <w:t xml:space="preserve">projektov </w:t>
      </w:r>
      <w:r w:rsidR="00F34560" w:rsidRPr="000845C4">
        <w:t xml:space="preserve">pokračujúcich </w:t>
      </w:r>
      <w:r w:rsidR="00BE0B85" w:rsidRPr="000845C4">
        <w:t>v riešení</w:t>
      </w:r>
      <w:r w:rsidR="00082ED2" w:rsidRPr="000845C4">
        <w:t>)</w:t>
      </w:r>
      <w:r w:rsidR="00F34560" w:rsidRPr="000845C4">
        <w:t>. V roku 201</w:t>
      </w:r>
      <w:r w:rsidR="00BE0B85" w:rsidRPr="000845C4">
        <w:t>4</w:t>
      </w:r>
      <w:r w:rsidR="00F34560" w:rsidRPr="000845C4">
        <w:t xml:space="preserve"> bolo o</w:t>
      </w:r>
      <w:r w:rsidR="00F81365" w:rsidRPr="000845C4">
        <w:t> </w:t>
      </w:r>
      <w:r w:rsidR="00796177">
        <w:t>päť</w:t>
      </w:r>
      <w:r w:rsidR="00BE0B85" w:rsidRPr="000845C4">
        <w:t xml:space="preserve"> menej</w:t>
      </w:r>
      <w:r w:rsidR="00F34560" w:rsidRPr="000845C4">
        <w:t xml:space="preserve"> riešených projektov KEGA ako v roku 201</w:t>
      </w:r>
      <w:r w:rsidR="00BE0B85" w:rsidRPr="000845C4">
        <w:t>3</w:t>
      </w:r>
      <w:r w:rsidR="00F34560" w:rsidRPr="000845C4">
        <w:t>. Výber a hodnotenie projektov KEGA zabezpečovali štyri komisie zložené z odborníkov z vysokých škôl. Postupovalo sa pritom podľa platných pravidiel KEGA. V roku 201</w:t>
      </w:r>
      <w:r w:rsidR="00BE0B85" w:rsidRPr="000845C4">
        <w:t>4</w:t>
      </w:r>
      <w:r w:rsidR="00F34560" w:rsidRPr="000845C4">
        <w:t xml:space="preserve"> ministerstvo pokračovalo v realizácii úplnej elektronizácie podávania žiadostí o dotáciu na nové projekty KEGA a ich hodnotenia, ako aj podávania ročných a záverečných správ projektov KEGA v</w:t>
      </w:r>
      <w:r w:rsidR="008A7B73">
        <w:t> </w:t>
      </w:r>
      <w:r w:rsidR="00F34560" w:rsidRPr="000845C4">
        <w:t>rámci Portálu vysokých škôl</w:t>
      </w:r>
      <w:r w:rsidRPr="000845C4">
        <w:t>.</w:t>
      </w:r>
      <w:r w:rsidR="00AF5D0D" w:rsidRPr="000845C4">
        <w:t xml:space="preserve"> </w:t>
      </w:r>
      <w:r w:rsidR="00350F73" w:rsidRPr="000845C4">
        <w:t xml:space="preserve">Prehľad o úspešnosti jednotlivých vysokých škôl v rámci KEGA </w:t>
      </w:r>
      <w:r w:rsidR="00AF5D0D" w:rsidRPr="000845C4">
        <w:t xml:space="preserve">sú uvedené </w:t>
      </w:r>
      <w:r w:rsidR="00AF5D0D" w:rsidRPr="000845C4">
        <w:rPr>
          <w:b/>
        </w:rPr>
        <w:t>v tabuľke č. 13.</w:t>
      </w:r>
    </w:p>
    <w:p w:rsidR="00034E5E" w:rsidRPr="000845C4" w:rsidRDefault="00034E5E" w:rsidP="006F1646">
      <w:pPr>
        <w:pStyle w:val="Nadpis4"/>
        <w:rPr>
          <w:lang w:val="sk-SK"/>
        </w:rPr>
      </w:pPr>
      <w:bookmarkStart w:id="54" w:name="_Toc198705331"/>
      <w:bookmarkStart w:id="55" w:name="_Toc232215242"/>
      <w:bookmarkStart w:id="56" w:name="_Toc232791881"/>
      <w:bookmarkStart w:id="57" w:name="_Toc427750181"/>
      <w:r w:rsidRPr="000845C4">
        <w:rPr>
          <w:lang w:val="sk-SK"/>
        </w:rPr>
        <w:t>Aktivity verejných vysokých škôl v rámci štátnych programov a projektov podporovaných Agentúrou na podporu výskumu a vývoja</w:t>
      </w:r>
      <w:bookmarkEnd w:id="54"/>
      <w:bookmarkEnd w:id="55"/>
      <w:bookmarkEnd w:id="56"/>
      <w:bookmarkEnd w:id="57"/>
    </w:p>
    <w:p w:rsidR="003E2F5A" w:rsidRPr="000845C4" w:rsidRDefault="00D31F4C" w:rsidP="00C2109F">
      <w:pPr>
        <w:pStyle w:val="Zoznam1"/>
      </w:pPr>
      <w:r w:rsidRPr="000845C4">
        <w:t>Verejné vysoké školy sa v roku 201</w:t>
      </w:r>
      <w:r w:rsidR="00533CBB" w:rsidRPr="000845C4">
        <w:t>4</w:t>
      </w:r>
      <w:r w:rsidRPr="000845C4">
        <w:t xml:space="preserve"> nepodieľali na riešení projektov zo </w:t>
      </w:r>
      <w:r w:rsidRPr="000845C4">
        <w:rPr>
          <w:b/>
        </w:rPr>
        <w:t>štátnych programov výskumu a</w:t>
      </w:r>
      <w:r w:rsidR="00FD5168" w:rsidRPr="000845C4">
        <w:rPr>
          <w:b/>
        </w:rPr>
        <w:t> </w:t>
      </w:r>
      <w:r w:rsidRPr="000845C4">
        <w:rPr>
          <w:b/>
        </w:rPr>
        <w:t>vývoja</w:t>
      </w:r>
      <w:r w:rsidRPr="000845C4">
        <w:t xml:space="preserve">, keďže riešenie </w:t>
      </w:r>
      <w:r w:rsidR="00FD5168" w:rsidRPr="000845C4">
        <w:t>projektov z predchádzajúcich rokov už bolo dokončené a nové projekty neboli schválené.</w:t>
      </w:r>
      <w:r w:rsidRPr="000845C4">
        <w:t xml:space="preserve"> </w:t>
      </w:r>
    </w:p>
    <w:p w:rsidR="00FD5168" w:rsidRPr="000845C4" w:rsidRDefault="00FB5C35" w:rsidP="00C2109F">
      <w:pPr>
        <w:pStyle w:val="Zoznam1"/>
      </w:pPr>
      <w:r w:rsidRPr="000845C4">
        <w:t xml:space="preserve"> Agentúra na podporu výskumu a vývoja (ďalej len „APVV“) poskytla v rámci podpory projektov financovaných na verejných vysokých školách z prostriedkov </w:t>
      </w:r>
      <w:r w:rsidRPr="000845C4">
        <w:rPr>
          <w:b/>
        </w:rPr>
        <w:t xml:space="preserve">APVV </w:t>
      </w:r>
      <w:r w:rsidR="00871E6E" w:rsidRPr="000845C4">
        <w:t xml:space="preserve">spolu </w:t>
      </w:r>
      <w:r w:rsidR="00871E6E" w:rsidRPr="000845C4">
        <w:rPr>
          <w:b/>
        </w:rPr>
        <w:t>1</w:t>
      </w:r>
      <w:r w:rsidR="004D6570" w:rsidRPr="000845C4">
        <w:rPr>
          <w:b/>
        </w:rPr>
        <w:t>3</w:t>
      </w:r>
      <w:r w:rsidR="00871E6E" w:rsidRPr="000845C4">
        <w:rPr>
          <w:b/>
        </w:rPr>
        <w:t> </w:t>
      </w:r>
      <w:r w:rsidR="004D6570" w:rsidRPr="000845C4">
        <w:rPr>
          <w:b/>
        </w:rPr>
        <w:t>043</w:t>
      </w:r>
      <w:r w:rsidR="00871E6E" w:rsidRPr="000845C4">
        <w:rPr>
          <w:b/>
        </w:rPr>
        <w:t> </w:t>
      </w:r>
      <w:r w:rsidR="004D6570" w:rsidRPr="000845C4">
        <w:rPr>
          <w:b/>
        </w:rPr>
        <w:t>385</w:t>
      </w:r>
      <w:r w:rsidR="00871E6E" w:rsidRPr="000845C4">
        <w:rPr>
          <w:b/>
        </w:rPr>
        <w:t xml:space="preserve"> €</w:t>
      </w:r>
      <w:r w:rsidR="005A1713" w:rsidRPr="000845C4">
        <w:rPr>
          <w:vertAlign w:val="superscript"/>
        </w:rPr>
        <w:fldChar w:fldCharType="begin"/>
      </w:r>
      <w:r w:rsidR="005A1713" w:rsidRPr="000845C4">
        <w:rPr>
          <w:vertAlign w:val="superscript"/>
        </w:rPr>
        <w:instrText xml:space="preserve"> NOTEREF _Ref297121966 \h  \* MERGEFORMAT </w:instrText>
      </w:r>
      <w:r w:rsidR="005A1713" w:rsidRPr="000845C4">
        <w:rPr>
          <w:vertAlign w:val="superscript"/>
        </w:rPr>
      </w:r>
      <w:r w:rsidR="005A1713" w:rsidRPr="000845C4">
        <w:rPr>
          <w:vertAlign w:val="superscript"/>
        </w:rPr>
        <w:fldChar w:fldCharType="separate"/>
      </w:r>
      <w:r w:rsidR="005010AB">
        <w:rPr>
          <w:vertAlign w:val="superscript"/>
        </w:rPr>
        <w:t>13</w:t>
      </w:r>
      <w:r w:rsidR="005A1713" w:rsidRPr="000845C4">
        <w:rPr>
          <w:vertAlign w:val="superscript"/>
        </w:rPr>
        <w:fldChar w:fldCharType="end"/>
      </w:r>
      <w:r w:rsidR="005A1713" w:rsidRPr="000845C4">
        <w:t>)</w:t>
      </w:r>
      <w:r w:rsidR="00871E6E" w:rsidRPr="000845C4">
        <w:t xml:space="preserve"> (v roku 201</w:t>
      </w:r>
      <w:r w:rsidR="004D6570" w:rsidRPr="000845C4">
        <w:t>3</w:t>
      </w:r>
      <w:r w:rsidR="00871E6E" w:rsidRPr="000845C4">
        <w:t xml:space="preserve"> to bolo 1</w:t>
      </w:r>
      <w:r w:rsidR="004D6570" w:rsidRPr="000845C4">
        <w:t>2 471 072</w:t>
      </w:r>
      <w:r w:rsidR="00871E6E" w:rsidRPr="000845C4">
        <w:t xml:space="preserve"> </w:t>
      </w:r>
      <w:r w:rsidR="00871E6E" w:rsidRPr="000845C4">
        <w:rPr>
          <w:bCs/>
        </w:rPr>
        <w:t>€</w:t>
      </w:r>
      <w:r w:rsidR="004D6570" w:rsidRPr="000845C4">
        <w:rPr>
          <w:bCs/>
        </w:rPr>
        <w:t>)</w:t>
      </w:r>
      <w:r w:rsidR="00871E6E" w:rsidRPr="000845C4">
        <w:rPr>
          <w:bCs/>
        </w:rPr>
        <w:t>, čo predstavuje nárast o </w:t>
      </w:r>
      <w:r w:rsidR="004D6570" w:rsidRPr="000845C4">
        <w:rPr>
          <w:bCs/>
        </w:rPr>
        <w:t>4</w:t>
      </w:r>
      <w:r w:rsidR="00871E6E" w:rsidRPr="000845C4">
        <w:rPr>
          <w:bCs/>
        </w:rPr>
        <w:t>,</w:t>
      </w:r>
      <w:r w:rsidR="004D6570" w:rsidRPr="000845C4">
        <w:rPr>
          <w:bCs/>
        </w:rPr>
        <w:t>5</w:t>
      </w:r>
      <w:r w:rsidR="00C54F9F" w:rsidRPr="000845C4">
        <w:rPr>
          <w:bCs/>
        </w:rPr>
        <w:t>9</w:t>
      </w:r>
      <w:r w:rsidR="004D6570" w:rsidRPr="000845C4">
        <w:rPr>
          <w:bCs/>
        </w:rPr>
        <w:t xml:space="preserve"> </w:t>
      </w:r>
      <w:r w:rsidR="00871E6E" w:rsidRPr="000845C4">
        <w:rPr>
          <w:bCs/>
        </w:rPr>
        <w:t>%</w:t>
      </w:r>
      <w:r w:rsidR="00871E6E" w:rsidRPr="000845C4">
        <w:t>). Podiel verejných vysokých škôl na celkovom objeme finančných prostriedkov poskytnutých na</w:t>
      </w:r>
      <w:r w:rsidR="0096219C" w:rsidRPr="000845C4">
        <w:t> </w:t>
      </w:r>
      <w:r w:rsidR="00871E6E" w:rsidRPr="000845C4">
        <w:t xml:space="preserve">podporu projektov APVV predstavuje </w:t>
      </w:r>
      <w:r w:rsidR="004D6570" w:rsidRPr="000845C4">
        <w:t>51</w:t>
      </w:r>
      <w:r w:rsidR="00871E6E" w:rsidRPr="000845C4">
        <w:t>,</w:t>
      </w:r>
      <w:r w:rsidR="004D6570" w:rsidRPr="000845C4">
        <w:t>8</w:t>
      </w:r>
      <w:r w:rsidR="00C54F9F" w:rsidRPr="000845C4">
        <w:t>6</w:t>
      </w:r>
      <w:r w:rsidR="00871E6E" w:rsidRPr="000845C4">
        <w:t> %. V porovnaní s rokom 201</w:t>
      </w:r>
      <w:r w:rsidR="004D6570" w:rsidRPr="000845C4">
        <w:t>3</w:t>
      </w:r>
      <w:r w:rsidR="00871E6E" w:rsidRPr="000845C4">
        <w:t xml:space="preserve"> ide o mierny nárast (o </w:t>
      </w:r>
      <w:r w:rsidR="004D6570" w:rsidRPr="000845C4">
        <w:t>3</w:t>
      </w:r>
      <w:r w:rsidR="00871E6E" w:rsidRPr="000845C4">
        <w:t>,</w:t>
      </w:r>
      <w:r w:rsidR="004D6570" w:rsidRPr="000845C4">
        <w:t>19</w:t>
      </w:r>
      <w:r w:rsidR="00871E6E" w:rsidRPr="000845C4">
        <w:t xml:space="preserve"> </w:t>
      </w:r>
      <w:r w:rsidR="00B80045" w:rsidRPr="000845C4">
        <w:t>p</w:t>
      </w:r>
      <w:r w:rsidR="00743173" w:rsidRPr="000845C4">
        <w:t>ercentuálneho bodu</w:t>
      </w:r>
      <w:r w:rsidR="00B80045" w:rsidRPr="000845C4">
        <w:t>)</w:t>
      </w:r>
      <w:r w:rsidRPr="000845C4">
        <w:t>.</w:t>
      </w:r>
    </w:p>
    <w:p w:rsidR="00395717" w:rsidRPr="000845C4" w:rsidRDefault="00FD5168" w:rsidP="00C2109F">
      <w:pPr>
        <w:pStyle w:val="Zoznam1"/>
      </w:pPr>
      <w:r w:rsidRPr="000845C4">
        <w:t>Pozícia sektora verejných vysokých škôl v rámci sektorov výskumu a vývoja pri získavaní účelovej podpory výskumu a vývoja prostredníctvom APVV zostala v roku 201</w:t>
      </w:r>
      <w:r w:rsidR="004D6570" w:rsidRPr="000845C4">
        <w:t>4</w:t>
      </w:r>
      <w:r w:rsidRPr="000845C4">
        <w:t xml:space="preserve"> dominantná. V roku 201</w:t>
      </w:r>
      <w:r w:rsidR="004D6570" w:rsidRPr="000845C4">
        <w:t>4</w:t>
      </w:r>
      <w:r w:rsidRPr="000845C4">
        <w:t xml:space="preserve"> bola vyhlásená všeobecná výzva APVV</w:t>
      </w:r>
      <w:r w:rsidR="004D6570" w:rsidRPr="000845C4">
        <w:t>. Podporené projekty z tejto grantovej schémy budú financované od 1. júla 2015. V </w:t>
      </w:r>
      <w:r w:rsidR="00E314F3" w:rsidRPr="000845C4">
        <w:t>r</w:t>
      </w:r>
      <w:r w:rsidR="004D6570" w:rsidRPr="000845C4">
        <w:t>oku 2014 boli zároveň poskytované f</w:t>
      </w:r>
      <w:r w:rsidRPr="000845C4">
        <w:t xml:space="preserve">inančné prostriedky na </w:t>
      </w:r>
      <w:r w:rsidR="000D2B51" w:rsidRPr="000845C4">
        <w:t>pokračujúce</w:t>
      </w:r>
      <w:r w:rsidRPr="000845C4">
        <w:t xml:space="preserve"> projekty z predchádzajúcich rokov</w:t>
      </w:r>
      <w:r w:rsidR="004D6570" w:rsidRPr="000845C4">
        <w:t xml:space="preserve"> v grantových schémach všeobecnej výzvy, </w:t>
      </w:r>
      <w:proofErr w:type="spellStart"/>
      <w:r w:rsidR="004D6570" w:rsidRPr="000845C4">
        <w:t>mobilitné</w:t>
      </w:r>
      <w:proofErr w:type="spellEnd"/>
      <w:r w:rsidR="004D6570" w:rsidRPr="000845C4">
        <w:t xml:space="preserve"> projekty a projekty na dofinancovanie 7</w:t>
      </w:r>
      <w:r w:rsidR="00F46C5B">
        <w:t xml:space="preserve"> </w:t>
      </w:r>
      <w:r w:rsidR="004D6570" w:rsidRPr="000845C4">
        <w:t>R</w:t>
      </w:r>
      <w:r w:rsidR="00F46C5B">
        <w:t>ámcového programu (7RP)</w:t>
      </w:r>
      <w:r w:rsidR="004D6570" w:rsidRPr="000845C4">
        <w:t>.</w:t>
      </w:r>
    </w:p>
    <w:p w:rsidR="00034E5E" w:rsidRPr="000845C4" w:rsidRDefault="00FB5C35" w:rsidP="00C2109F">
      <w:pPr>
        <w:pStyle w:val="Zoznam1"/>
      </w:pPr>
      <w:r w:rsidRPr="000845C4">
        <w:t xml:space="preserve">Úspešnosť jednotlivých verejných vysokých škôl v získavaní podpory na riešenie úloh výskumu a vývoja priamo z APVV je uvedená </w:t>
      </w:r>
      <w:r w:rsidRPr="000845C4">
        <w:rPr>
          <w:b/>
        </w:rPr>
        <w:t xml:space="preserve">v tabuľke č. </w:t>
      </w:r>
      <w:r w:rsidR="007825BF" w:rsidRPr="000845C4">
        <w:rPr>
          <w:b/>
        </w:rPr>
        <w:t>1</w:t>
      </w:r>
      <w:r w:rsidR="00F60911" w:rsidRPr="000845C4">
        <w:rPr>
          <w:b/>
        </w:rPr>
        <w:t>4</w:t>
      </w:r>
      <w:r w:rsidRPr="000845C4">
        <w:rPr>
          <w:b/>
        </w:rPr>
        <w:t>a.</w:t>
      </w:r>
      <w:r w:rsidRPr="000845C4">
        <w:t xml:space="preserve"> Porovnanie úspešnosti jednotlivých sektorov výskumu a vývoja na získavaní podpory od APVV v roku 201</w:t>
      </w:r>
      <w:r w:rsidR="004D6570" w:rsidRPr="000845C4">
        <w:t>4</w:t>
      </w:r>
      <w:r w:rsidRPr="000845C4">
        <w:t xml:space="preserve"> sa</w:t>
      </w:r>
      <w:r w:rsidR="00CA10AE" w:rsidRPr="000845C4">
        <w:t> </w:t>
      </w:r>
      <w:r w:rsidRPr="000845C4">
        <w:t xml:space="preserve">nachádza </w:t>
      </w:r>
      <w:r w:rsidRPr="000845C4">
        <w:rPr>
          <w:b/>
        </w:rPr>
        <w:t xml:space="preserve">v tabuľke č. </w:t>
      </w:r>
      <w:r w:rsidR="007825BF" w:rsidRPr="000845C4">
        <w:rPr>
          <w:b/>
        </w:rPr>
        <w:t>1</w:t>
      </w:r>
      <w:r w:rsidR="00F60911" w:rsidRPr="000845C4">
        <w:rPr>
          <w:b/>
        </w:rPr>
        <w:t>4</w:t>
      </w:r>
      <w:r w:rsidRPr="000845C4">
        <w:rPr>
          <w:b/>
        </w:rPr>
        <w:t>b.</w:t>
      </w:r>
    </w:p>
    <w:p w:rsidR="002940A2" w:rsidRPr="000845C4" w:rsidRDefault="002940A2" w:rsidP="002940A2">
      <w:pPr>
        <w:pStyle w:val="Nadpis4"/>
      </w:pPr>
      <w:bookmarkStart w:id="58" w:name="_Toc427750182"/>
      <w:proofErr w:type="spellStart"/>
      <w:r w:rsidRPr="000845C4">
        <w:t>Publikačná</w:t>
      </w:r>
      <w:proofErr w:type="spellEnd"/>
      <w:r w:rsidRPr="000845C4">
        <w:t xml:space="preserve"> </w:t>
      </w:r>
      <w:proofErr w:type="spellStart"/>
      <w:r w:rsidRPr="000845C4">
        <w:t>činnosť</w:t>
      </w:r>
      <w:bookmarkEnd w:id="58"/>
      <w:proofErr w:type="spellEnd"/>
    </w:p>
    <w:p w:rsidR="00041913" w:rsidRPr="000845C4" w:rsidRDefault="002940A2" w:rsidP="00C2109F">
      <w:pPr>
        <w:pStyle w:val="Zoznam1"/>
      </w:pPr>
      <w:r w:rsidRPr="000845C4">
        <w:t>Vysoké školy už niekoľko rokov evidujú svoje publikačné a umelecké výstupy v centrálnych registroch</w:t>
      </w:r>
      <w:r w:rsidR="00041913" w:rsidRPr="000845C4">
        <w:t xml:space="preserve"> </w:t>
      </w:r>
      <w:r w:rsidR="00501E01">
        <w:t xml:space="preserve">evidencie </w:t>
      </w:r>
      <w:r w:rsidR="00041913" w:rsidRPr="000845C4">
        <w:t>publikačnej činnosti a umeleckej činnosti</w:t>
      </w:r>
      <w:r w:rsidRPr="000845C4">
        <w:t xml:space="preserve"> vedených ministerstvom</w:t>
      </w:r>
      <w:r w:rsidR="00D82910">
        <w:t xml:space="preserve"> (CREPČ, CREUČ)</w:t>
      </w:r>
      <w:r w:rsidRPr="000845C4">
        <w:t>.</w:t>
      </w:r>
      <w:r w:rsidR="008062D7" w:rsidRPr="000845C4">
        <w:t xml:space="preserve"> </w:t>
      </w:r>
      <w:r w:rsidRPr="000845C4">
        <w:t>Za vykazova</w:t>
      </w:r>
      <w:r w:rsidR="00B674C1" w:rsidRPr="000845C4">
        <w:t>né</w:t>
      </w:r>
      <w:r w:rsidRPr="000845C4">
        <w:t xml:space="preserve"> obdobie roku 201</w:t>
      </w:r>
      <w:r w:rsidR="000E0EFE" w:rsidRPr="000845C4">
        <w:t>4</w:t>
      </w:r>
      <w:r w:rsidRPr="000845C4">
        <w:t xml:space="preserve"> bolo vysokými školami </w:t>
      </w:r>
      <w:r w:rsidR="008062D7" w:rsidRPr="000845C4">
        <w:t xml:space="preserve"> </w:t>
      </w:r>
      <w:r w:rsidRPr="000845C4">
        <w:t xml:space="preserve">zaregistrovaných </w:t>
      </w:r>
      <w:r w:rsidR="00B674C1" w:rsidRPr="000845C4">
        <w:rPr>
          <w:b/>
        </w:rPr>
        <w:t>54 329</w:t>
      </w:r>
      <w:r w:rsidRPr="000845C4">
        <w:rPr>
          <w:b/>
        </w:rPr>
        <w:t xml:space="preserve"> publikačných výstupov</w:t>
      </w:r>
      <w:r w:rsidR="006331FE" w:rsidRPr="000845C4">
        <w:rPr>
          <w:b/>
        </w:rPr>
        <w:t xml:space="preserve"> vo všetkých kategóriách</w:t>
      </w:r>
      <w:r w:rsidRPr="000845C4">
        <w:rPr>
          <w:rStyle w:val="Odkaznapoznmkupodiarou"/>
        </w:rPr>
        <w:footnoteReference w:id="14"/>
      </w:r>
      <w:r w:rsidRPr="000845C4">
        <w:t>)</w:t>
      </w:r>
      <w:r w:rsidR="008E4890">
        <w:t xml:space="preserve"> a </w:t>
      </w:r>
      <w:r w:rsidR="008E4890">
        <w:rPr>
          <w:b/>
        </w:rPr>
        <w:t>3</w:t>
      </w:r>
      <w:r w:rsidR="00D82910">
        <w:rPr>
          <w:b/>
        </w:rPr>
        <w:t> </w:t>
      </w:r>
      <w:r w:rsidR="008E4890">
        <w:rPr>
          <w:b/>
        </w:rPr>
        <w:t>984</w:t>
      </w:r>
      <w:r w:rsidR="00D82910">
        <w:rPr>
          <w:b/>
        </w:rPr>
        <w:t> </w:t>
      </w:r>
      <w:r w:rsidR="008E4890">
        <w:rPr>
          <w:b/>
        </w:rPr>
        <w:t>umeleckých výstupov</w:t>
      </w:r>
      <w:r w:rsidR="008E4890">
        <w:t xml:space="preserve"> v kategóriách Z**, Y** a X**.</w:t>
      </w:r>
    </w:p>
    <w:p w:rsidR="002940A2" w:rsidRPr="008A582D" w:rsidRDefault="002940A2" w:rsidP="00C2109F">
      <w:pPr>
        <w:pStyle w:val="Zoznam1"/>
      </w:pPr>
      <w:r w:rsidRPr="008A582D">
        <w:t>Bez zohľadnenia typu, rozsahu, či kvality publikácie, v rámci verejných vysokých škôl najväčší počet publikačných výstup</w:t>
      </w:r>
      <w:r w:rsidR="00757517">
        <w:t>ov</w:t>
      </w:r>
      <w:r w:rsidRPr="008A582D">
        <w:t xml:space="preserve"> pripadajúci na prepočítaný počet zamestnancov (vysokoškolských učiteľov a výskumných pracovníkov) bol zaregistrovaný na P</w:t>
      </w:r>
      <w:r w:rsidR="009D1829" w:rsidRPr="008A582D">
        <w:t>U</w:t>
      </w:r>
      <w:r w:rsidR="000D2B51" w:rsidRPr="008A582D">
        <w:t xml:space="preserve"> Prešov</w:t>
      </w:r>
      <w:r w:rsidRPr="008A582D">
        <w:t xml:space="preserve"> </w:t>
      </w:r>
      <w:r w:rsidR="009D1829" w:rsidRPr="008A582D">
        <w:lastRenderedPageBreak/>
        <w:t>(</w:t>
      </w:r>
      <w:r w:rsidR="008A582D" w:rsidRPr="008A582D">
        <w:t>6,496</w:t>
      </w:r>
      <w:r w:rsidR="009D1829" w:rsidRPr="008A582D">
        <w:t xml:space="preserve"> publikačných výstupov</w:t>
      </w:r>
      <w:r w:rsidRPr="008A582D">
        <w:t xml:space="preserve"> na zamestnanca vo funkcii vysokoškolského učiteľa a výskumného pracovníka</w:t>
      </w:r>
      <w:r w:rsidR="009D1829" w:rsidRPr="008A582D">
        <w:t>)</w:t>
      </w:r>
      <w:r w:rsidRPr="008A582D">
        <w:t xml:space="preserve">, </w:t>
      </w:r>
      <w:r w:rsidR="000D2B51" w:rsidRPr="008A582D">
        <w:t xml:space="preserve">najmenší na </w:t>
      </w:r>
      <w:r w:rsidR="008A582D" w:rsidRPr="008A582D">
        <w:t>UVLF Košice</w:t>
      </w:r>
      <w:r w:rsidR="009D1829" w:rsidRPr="008A582D">
        <w:t xml:space="preserve"> (3,</w:t>
      </w:r>
      <w:r w:rsidR="008A582D" w:rsidRPr="008A582D">
        <w:t>453</w:t>
      </w:r>
      <w:r w:rsidR="009D1829" w:rsidRPr="008A582D">
        <w:t xml:space="preserve"> publikačných výstupov na zamestnanca vo funkcii vysokoškolského učiteľa a výskumného p</w:t>
      </w:r>
      <w:r w:rsidR="000D2B51" w:rsidRPr="008A582D">
        <w:t>racovníka; bez zohľadnenia AU Banská Bystrica, VŠMU Bratislava a VŠVU Bratislava</w:t>
      </w:r>
      <w:r w:rsidR="009D1829" w:rsidRPr="008A582D">
        <w:t xml:space="preserve"> ako vysokých škôl orientovaných </w:t>
      </w:r>
      <w:r w:rsidR="000D2B51" w:rsidRPr="008A582D">
        <w:t>najmä</w:t>
      </w:r>
      <w:r w:rsidR="009D1829" w:rsidRPr="008A582D">
        <w:t xml:space="preserve"> na umelecký výkon).</w:t>
      </w:r>
    </w:p>
    <w:p w:rsidR="009D1829" w:rsidRPr="008A582D" w:rsidRDefault="009D1829" w:rsidP="00C2109F">
      <w:pPr>
        <w:pStyle w:val="Zoznam1"/>
      </w:pPr>
      <w:r w:rsidRPr="008A582D">
        <w:t>V prípade ved</w:t>
      </w:r>
      <w:r w:rsidR="00FC5FE1" w:rsidRPr="008A582D">
        <w:t>eckých prác a odborných článkov</w:t>
      </w:r>
      <w:r w:rsidRPr="008A582D">
        <w:t xml:space="preserve"> v </w:t>
      </w:r>
      <w:proofErr w:type="spellStart"/>
      <w:r w:rsidRPr="008A582D">
        <w:t>karentovaných</w:t>
      </w:r>
      <w:proofErr w:type="spellEnd"/>
      <w:r w:rsidRPr="008A582D">
        <w:t xml:space="preserve"> časopisoch najviac publikačných výstupov </w:t>
      </w:r>
      <w:r w:rsidR="00570835">
        <w:t xml:space="preserve">na prepočítaný počet zamestnancov </w:t>
      </w:r>
      <w:r w:rsidRPr="008A582D">
        <w:t>za</w:t>
      </w:r>
      <w:r w:rsidR="000D2B51" w:rsidRPr="008A582D">
        <w:t xml:space="preserve"> rok 201</w:t>
      </w:r>
      <w:r w:rsidR="008A582D" w:rsidRPr="008A582D">
        <w:t>4</w:t>
      </w:r>
      <w:r w:rsidR="000D2B51" w:rsidRPr="008A582D">
        <w:t xml:space="preserve"> zaregistrovala UPJŠ Košice </w:t>
      </w:r>
      <w:r w:rsidRPr="008A582D">
        <w:t>(0,4</w:t>
      </w:r>
      <w:r w:rsidR="008A582D" w:rsidRPr="008A582D">
        <w:t>62</w:t>
      </w:r>
      <w:r w:rsidRPr="008A582D">
        <w:t xml:space="preserve"> publikačných výstupov na vysokoškolského učiteľa a výskumného pracovník</w:t>
      </w:r>
      <w:r w:rsidR="000D2B51" w:rsidRPr="008A582D">
        <w:t>a), najmenej EU Bratislava</w:t>
      </w:r>
      <w:r w:rsidRPr="008A582D">
        <w:t xml:space="preserve"> (0,05</w:t>
      </w:r>
      <w:r w:rsidR="008A582D" w:rsidRPr="008A582D">
        <w:t>6</w:t>
      </w:r>
      <w:r w:rsidRPr="008A582D">
        <w:t xml:space="preserve"> publikačných výstupov na vysokoškolského učite</w:t>
      </w:r>
      <w:r w:rsidR="00743173" w:rsidRPr="008A582D">
        <w:t>ľa a výskumného pracovníka; bez </w:t>
      </w:r>
      <w:r w:rsidRPr="008A582D">
        <w:t xml:space="preserve">zohľadnenia umelecky orientovaných vysokých škôl). </w:t>
      </w:r>
    </w:p>
    <w:p w:rsidR="00041913" w:rsidRDefault="009D1829" w:rsidP="00C2109F">
      <w:pPr>
        <w:pStyle w:val="Zoznam1"/>
      </w:pPr>
      <w:r w:rsidRPr="000845C4">
        <w:t>Najväčší podiel 1</w:t>
      </w:r>
      <w:r w:rsidR="00161400" w:rsidRPr="000845C4">
        <w:t>9,65</w:t>
      </w:r>
      <w:r w:rsidRPr="000845C4">
        <w:t xml:space="preserve"> % na celkovom počte </w:t>
      </w:r>
      <w:r w:rsidR="00041913" w:rsidRPr="000845C4">
        <w:t xml:space="preserve">registrovaných </w:t>
      </w:r>
      <w:r w:rsidR="000D2B51" w:rsidRPr="000845C4">
        <w:t xml:space="preserve">publikačných výstupov má UK </w:t>
      </w:r>
      <w:r w:rsidRPr="000845C4">
        <w:t>Bratislav</w:t>
      </w:r>
      <w:r w:rsidR="000D2B51" w:rsidRPr="000845C4">
        <w:t>a</w:t>
      </w:r>
      <w:r w:rsidRPr="000845C4">
        <w:t xml:space="preserve">. </w:t>
      </w:r>
      <w:r w:rsidR="00041913" w:rsidRPr="000845C4">
        <w:t>Rovnako má aj najväčší podiel 3</w:t>
      </w:r>
      <w:r w:rsidR="00161400" w:rsidRPr="000845C4">
        <w:t>4,42</w:t>
      </w:r>
      <w:r w:rsidR="00041913" w:rsidRPr="000845C4">
        <w:t xml:space="preserve"> % na počte registrovaných vedeckých prácach a odborných článkoch v </w:t>
      </w:r>
      <w:proofErr w:type="spellStart"/>
      <w:r w:rsidR="00041913" w:rsidRPr="000845C4">
        <w:t>karentova</w:t>
      </w:r>
      <w:r w:rsidR="000D2B51" w:rsidRPr="000845C4">
        <w:t>ných</w:t>
      </w:r>
      <w:proofErr w:type="spellEnd"/>
      <w:r w:rsidR="000D2B51" w:rsidRPr="000845C4">
        <w:t xml:space="preserve"> časopisoch. Spolu so STU Bratislava</w:t>
      </w:r>
      <w:r w:rsidR="00041913" w:rsidRPr="000845C4">
        <w:t xml:space="preserve"> zaregistrovali viac ako polovicu publikačných výstupov typu vedecká práca alebo odborný článok v </w:t>
      </w:r>
      <w:proofErr w:type="spellStart"/>
      <w:r w:rsidR="00041913" w:rsidRPr="000845C4">
        <w:t>k</w:t>
      </w:r>
      <w:r w:rsidR="007C4FDE" w:rsidRPr="000845C4">
        <w:t>arentovanom</w:t>
      </w:r>
      <w:proofErr w:type="spellEnd"/>
      <w:r w:rsidR="007C4FDE" w:rsidRPr="000845C4">
        <w:t xml:space="preserve"> časopise za rok 2014</w:t>
      </w:r>
      <w:r w:rsidR="00041913" w:rsidRPr="005E5FF1">
        <w:t>.</w:t>
      </w:r>
      <w:r w:rsidR="000A57DB">
        <w:t xml:space="preserve"> Najväčší podiel na celkovom počte monografií má UK Bratislava 13,44% a UKF Nitra 11,36 %.</w:t>
      </w:r>
    </w:p>
    <w:p w:rsidR="000A57DB" w:rsidRDefault="000B460A" w:rsidP="00027196">
      <w:pPr>
        <w:pStyle w:val="Zoznam1"/>
        <w:spacing w:before="240"/>
      </w:pPr>
      <w:r w:rsidRPr="000A57DB">
        <w:rPr>
          <w:b/>
        </w:rPr>
        <w:t>V g</w:t>
      </w:r>
      <w:r w:rsidR="00033B57" w:rsidRPr="000A57DB">
        <w:rPr>
          <w:b/>
        </w:rPr>
        <w:t>raf</w:t>
      </w:r>
      <w:r w:rsidRPr="000A57DB">
        <w:rPr>
          <w:b/>
        </w:rPr>
        <w:t>e</w:t>
      </w:r>
      <w:r w:rsidR="00033B57" w:rsidRPr="000A57DB">
        <w:rPr>
          <w:b/>
        </w:rPr>
        <w:t xml:space="preserve"> č. </w:t>
      </w:r>
      <w:r w:rsidR="00015971" w:rsidRPr="000A57DB">
        <w:rPr>
          <w:b/>
        </w:rPr>
        <w:t>8</w:t>
      </w:r>
      <w:r w:rsidR="00033B57" w:rsidRPr="000B460A">
        <w:t xml:space="preserve"> </w:t>
      </w:r>
      <w:r w:rsidRPr="004A3080">
        <w:t xml:space="preserve">sú </w:t>
      </w:r>
      <w:r w:rsidRPr="000A57DB">
        <w:rPr>
          <w:bCs/>
        </w:rPr>
        <w:t>uvedené priemerné hodnoty citačného ohlasu</w:t>
      </w:r>
      <w:r w:rsidRPr="004A3080">
        <w:t xml:space="preserve"> normalizovaného podľa vedného odboru za roky 2010-2014 (členenie podľa kategórií odborov Veda a technika manuálu z </w:t>
      </w:r>
      <w:proofErr w:type="spellStart"/>
      <w:r w:rsidRPr="004A3080">
        <w:t>Frascati</w:t>
      </w:r>
      <w:proofErr w:type="spellEnd"/>
      <w:r w:rsidRPr="004A3080">
        <w:t>) v porovnaní so svetovým priemerným citačným ohlasom, ktorý má hodnotu približne 1</w:t>
      </w:r>
      <w:r w:rsidR="00027196">
        <w:rPr>
          <w:rStyle w:val="Odkaznapoznmkupodiarou"/>
        </w:rPr>
        <w:footnoteReference w:id="15"/>
      </w:r>
      <w:r w:rsidR="00027196">
        <w:t>)</w:t>
      </w:r>
      <w:r w:rsidRPr="004A3080">
        <w:t xml:space="preserve">. </w:t>
      </w:r>
    </w:p>
    <w:p w:rsidR="000A57DB" w:rsidRDefault="00096DB3" w:rsidP="00027196">
      <w:pPr>
        <w:pStyle w:val="Zoznam1"/>
        <w:numPr>
          <w:ilvl w:val="0"/>
          <w:numId w:val="0"/>
        </w:numPr>
      </w:pPr>
      <w:r>
        <w:rPr>
          <w:noProof/>
          <w:lang w:eastAsia="sk-SK"/>
        </w:rPr>
        <w:drawing>
          <wp:inline distT="0" distB="0" distL="0" distR="0">
            <wp:extent cx="5458460" cy="2959100"/>
            <wp:effectExtent l="0" t="0" r="27940" b="12700"/>
            <wp:docPr id="8" name="Graf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57DB" w:rsidRPr="00027196" w:rsidRDefault="000A57DB" w:rsidP="00027196">
      <w:pPr>
        <w:pStyle w:val="Zoznam1"/>
        <w:numPr>
          <w:ilvl w:val="0"/>
          <w:numId w:val="0"/>
        </w:numPr>
        <w:jc w:val="center"/>
        <w:rPr>
          <w:b/>
          <w:sz w:val="20"/>
          <w:szCs w:val="20"/>
        </w:rPr>
      </w:pPr>
      <w:r w:rsidRPr="00027196">
        <w:rPr>
          <w:b/>
          <w:sz w:val="20"/>
          <w:szCs w:val="20"/>
        </w:rPr>
        <w:t>Graf. č 8 Priemerný citačný ohlas normalizovaný podľa vedného odboru (C-N CI) za roky 2010-2014 v</w:t>
      </w:r>
      <w:r w:rsidRPr="00027196">
        <w:rPr>
          <w:rFonts w:eastAsia="Times New Roman"/>
          <w:b/>
          <w:sz w:val="20"/>
          <w:szCs w:val="20"/>
        </w:rPr>
        <w:t> </w:t>
      </w:r>
      <w:r w:rsidRPr="00027196">
        <w:rPr>
          <w:b/>
          <w:sz w:val="20"/>
          <w:szCs w:val="20"/>
        </w:rPr>
        <w:t xml:space="preserve">porovnaní s priemernou svetovou hodnotou (pribl.1) zdroj: </w:t>
      </w:r>
      <w:proofErr w:type="spellStart"/>
      <w:r w:rsidRPr="00027196">
        <w:rPr>
          <w:b/>
          <w:sz w:val="20"/>
          <w:szCs w:val="20"/>
        </w:rPr>
        <w:t>WoS</w:t>
      </w:r>
      <w:proofErr w:type="spellEnd"/>
      <w:r w:rsidRPr="00027196">
        <w:rPr>
          <w:b/>
          <w:sz w:val="20"/>
          <w:szCs w:val="20"/>
        </w:rPr>
        <w:t>/</w:t>
      </w:r>
      <w:proofErr w:type="spellStart"/>
      <w:r w:rsidRPr="00027196">
        <w:rPr>
          <w:b/>
          <w:sz w:val="20"/>
          <w:szCs w:val="20"/>
        </w:rPr>
        <w:t>InCites</w:t>
      </w:r>
      <w:proofErr w:type="spellEnd"/>
    </w:p>
    <w:p w:rsidR="000B460A" w:rsidRDefault="000B460A" w:rsidP="00027196">
      <w:pPr>
        <w:pStyle w:val="Zoznam1"/>
        <w:numPr>
          <w:ilvl w:val="0"/>
          <w:numId w:val="0"/>
        </w:numPr>
      </w:pPr>
    </w:p>
    <w:p w:rsidR="00033B57" w:rsidRDefault="00A82551" w:rsidP="00033B57">
      <w:pPr>
        <w:pStyle w:val="Zoznam1"/>
      </w:pPr>
      <w:r>
        <w:lastRenderedPageBreak/>
        <w:t>V</w:t>
      </w:r>
      <w:r w:rsidR="000B460A" w:rsidRPr="004A3080">
        <w:t>šetky z uvedených vysokých škôl publikujú v časopisoch zameraných na</w:t>
      </w:r>
      <w:r>
        <w:t> </w:t>
      </w:r>
      <w:r w:rsidR="000B460A" w:rsidRPr="004A3080">
        <w:rPr>
          <w:b/>
        </w:rPr>
        <w:t>prírodovedné</w:t>
      </w:r>
      <w:r w:rsidR="000B460A" w:rsidRPr="004A3080">
        <w:t xml:space="preserve"> disciplíny. </w:t>
      </w:r>
      <w:r>
        <w:t>S</w:t>
      </w:r>
      <w:r w:rsidR="000B460A" w:rsidRPr="004A3080">
        <w:t xml:space="preserve"> nadpriemernými hodnotami normalizovaného citačného ohlasu</w:t>
      </w:r>
      <w:r>
        <w:t xml:space="preserve"> podľa vedných odborov je </w:t>
      </w:r>
      <w:r w:rsidRPr="004A3080">
        <w:t>UK Bratislava a UPJŠ Košic</w:t>
      </w:r>
      <w:r>
        <w:t>e</w:t>
      </w:r>
      <w:r w:rsidR="000B460A" w:rsidRPr="004A3080">
        <w:t>. K</w:t>
      </w:r>
      <w:r w:rsidR="000B460A">
        <w:t> </w:t>
      </w:r>
      <w:r w:rsidR="000B460A" w:rsidRPr="004A3080">
        <w:t>svetovému priemeru v prírodných vedách sa približuje aj UKF Nitr</w:t>
      </w:r>
      <w:r w:rsidR="000B460A">
        <w:t>a</w:t>
      </w:r>
      <w:r w:rsidR="000B460A" w:rsidRPr="004A3080">
        <w:t xml:space="preserve"> vďaka </w:t>
      </w:r>
      <w:r w:rsidR="000B460A">
        <w:t>konferenčným príspevkom</w:t>
      </w:r>
      <w:r w:rsidR="000C3C98">
        <w:t xml:space="preserve">, ktoré boli </w:t>
      </w:r>
      <w:r w:rsidR="000B460A">
        <w:t xml:space="preserve"> </w:t>
      </w:r>
      <w:r w:rsidR="000B460A" w:rsidRPr="004A3080">
        <w:t>publikovan</w:t>
      </w:r>
      <w:r w:rsidR="000C3C98">
        <w:t>é</w:t>
      </w:r>
      <w:r w:rsidR="000B460A" w:rsidRPr="004A3080">
        <w:t xml:space="preserve"> v roku 2010 </w:t>
      </w:r>
      <w:r w:rsidR="000B460A">
        <w:t xml:space="preserve">a 2011 </w:t>
      </w:r>
      <w:r w:rsidR="000B460A" w:rsidRPr="004A3080">
        <w:t>v</w:t>
      </w:r>
      <w:r w:rsidR="000B460A">
        <w:t> oblasti výpočtov a informačných technológií (</w:t>
      </w:r>
      <w:proofErr w:type="spellStart"/>
      <w:r w:rsidR="000B460A">
        <w:t>podkategória</w:t>
      </w:r>
      <w:proofErr w:type="spellEnd"/>
      <w:r w:rsidR="000B460A">
        <w:t xml:space="preserve"> 1.02 v</w:t>
      </w:r>
      <w:r w:rsidR="000C3C98">
        <w:t> </w:t>
      </w:r>
      <w:r w:rsidR="002E4492">
        <w:t>m</w:t>
      </w:r>
      <w:r w:rsidR="000B460A">
        <w:t>anuáli z</w:t>
      </w:r>
      <w:r>
        <w:t> </w:t>
      </w:r>
      <w:proofErr w:type="spellStart"/>
      <w:r w:rsidR="000B460A">
        <w:t>Frascati</w:t>
      </w:r>
      <w:proofErr w:type="spellEnd"/>
      <w:r w:rsidR="000B460A">
        <w:t>)</w:t>
      </w:r>
      <w:r w:rsidR="000B460A" w:rsidRPr="004A3080">
        <w:t>.</w:t>
      </w:r>
    </w:p>
    <w:p w:rsidR="00A82551" w:rsidRDefault="00A82551" w:rsidP="00033B57">
      <w:pPr>
        <w:pStyle w:val="Zoznam1"/>
      </w:pPr>
      <w:r w:rsidRPr="004A3080">
        <w:t>Z </w:t>
      </w:r>
      <w:r w:rsidRPr="004A3080">
        <w:rPr>
          <w:b/>
        </w:rPr>
        <w:t>technicky zameraných</w:t>
      </w:r>
      <w:r w:rsidRPr="004A3080">
        <w:t xml:space="preserve"> vysokých škôl presiahla hodnotu svetového priemerného </w:t>
      </w:r>
      <w:r w:rsidRPr="004A3080">
        <w:rPr>
          <w:bCs/>
        </w:rPr>
        <w:t>citačného ohlasu</w:t>
      </w:r>
      <w:r w:rsidRPr="004A3080">
        <w:t xml:space="preserve"> normalizovaného podľa vedného odboru T</w:t>
      </w:r>
      <w:r>
        <w:t>U Košice</w:t>
      </w:r>
      <w:r w:rsidRPr="004A3080">
        <w:t xml:space="preserve">. Vyššie hodnoty </w:t>
      </w:r>
      <w:r w:rsidRPr="004A3080">
        <w:rPr>
          <w:bCs/>
        </w:rPr>
        <w:t xml:space="preserve">tohto ukazovateľa </w:t>
      </w:r>
      <w:r w:rsidRPr="004A3080">
        <w:t xml:space="preserve">v prípade </w:t>
      </w:r>
      <w:r>
        <w:t>UMB Banská Bystrica</w:t>
      </w:r>
      <w:r w:rsidRPr="004A3080">
        <w:t xml:space="preserve"> a</w:t>
      </w:r>
      <w:r>
        <w:t> UKF Nitra</w:t>
      </w:r>
      <w:r w:rsidRPr="004A3080">
        <w:t xml:space="preserve"> sú dôsledkom malého poč</w:t>
      </w:r>
      <w:r>
        <w:t xml:space="preserve">tu údajov s vyššou </w:t>
      </w:r>
      <w:proofErr w:type="spellStart"/>
      <w:r>
        <w:t>citovanosťou</w:t>
      </w:r>
      <w:proofErr w:type="spellEnd"/>
      <w:r>
        <w:t>.</w:t>
      </w:r>
    </w:p>
    <w:p w:rsidR="000B460A" w:rsidRDefault="002E4492" w:rsidP="00033B57">
      <w:pPr>
        <w:pStyle w:val="Zoznam1"/>
      </w:pPr>
      <w:r w:rsidRPr="004A3080">
        <w:t xml:space="preserve">K nadpriemernému citačnému ohlasu STU </w:t>
      </w:r>
      <w:r>
        <w:t xml:space="preserve">Bratislava </w:t>
      </w:r>
      <w:r w:rsidRPr="004A3080">
        <w:t xml:space="preserve">v </w:t>
      </w:r>
      <w:r w:rsidRPr="004A3080">
        <w:rPr>
          <w:b/>
        </w:rPr>
        <w:t>lekárskych vedách</w:t>
      </w:r>
      <w:r w:rsidRPr="004A3080">
        <w:t xml:space="preserve"> vý</w:t>
      </w:r>
      <w:r>
        <w:t>znamnou</w:t>
      </w:r>
      <w:r w:rsidRPr="004A3080">
        <w:t xml:space="preserve"> mierou prispievajú dve z celkového počtu 98 publikácií vydané v časopise </w:t>
      </w:r>
      <w:proofErr w:type="spellStart"/>
      <w:r w:rsidRPr="004A3080">
        <w:rPr>
          <w:i/>
        </w:rPr>
        <w:t>Toxicology</w:t>
      </w:r>
      <w:proofErr w:type="spellEnd"/>
      <w:r w:rsidRPr="004A3080">
        <w:t xml:space="preserve"> a </w:t>
      </w:r>
      <w:proofErr w:type="spellStart"/>
      <w:r w:rsidRPr="004A3080">
        <w:rPr>
          <w:i/>
        </w:rPr>
        <w:t>Journal</w:t>
      </w:r>
      <w:proofErr w:type="spellEnd"/>
      <w:r w:rsidRPr="004A3080">
        <w:rPr>
          <w:i/>
        </w:rPr>
        <w:t xml:space="preserve"> </w:t>
      </w:r>
      <w:proofErr w:type="spellStart"/>
      <w:r>
        <w:rPr>
          <w:i/>
        </w:rPr>
        <w:t>o</w:t>
      </w:r>
      <w:r w:rsidRPr="004A3080">
        <w:rPr>
          <w:i/>
        </w:rPr>
        <w:t>f</w:t>
      </w:r>
      <w:proofErr w:type="spellEnd"/>
      <w:r w:rsidRPr="004A3080">
        <w:rPr>
          <w:i/>
        </w:rPr>
        <w:t xml:space="preserve"> </w:t>
      </w:r>
      <w:proofErr w:type="spellStart"/>
      <w:r w:rsidRPr="004A3080">
        <w:rPr>
          <w:i/>
        </w:rPr>
        <w:t>Applied</w:t>
      </w:r>
      <w:proofErr w:type="spellEnd"/>
      <w:r w:rsidRPr="004A3080">
        <w:rPr>
          <w:i/>
        </w:rPr>
        <w:t xml:space="preserve"> </w:t>
      </w:r>
      <w:proofErr w:type="spellStart"/>
      <w:r w:rsidRPr="004A3080">
        <w:rPr>
          <w:i/>
        </w:rPr>
        <w:t>Toxicology</w:t>
      </w:r>
      <w:proofErr w:type="spellEnd"/>
      <w:r w:rsidRPr="004A3080">
        <w:t xml:space="preserve"> v roku 2011, ktoré do roku 2014 získali </w:t>
      </w:r>
      <w:r>
        <w:t>436</w:t>
      </w:r>
      <w:r w:rsidRPr="004A3080">
        <w:t xml:space="preserve"> a 142 citácií</w:t>
      </w:r>
      <w:r>
        <w:t>.</w:t>
      </w:r>
    </w:p>
    <w:p w:rsidR="002E4492" w:rsidRDefault="002E4492" w:rsidP="00033B57">
      <w:pPr>
        <w:pStyle w:val="Zoznam1"/>
      </w:pPr>
      <w:r>
        <w:t>S relatívne vysokým počtom citovaných publikácií (61 %, čo predstavuje hodnotu o</w:t>
      </w:r>
      <w:r w:rsidR="00A82551">
        <w:t> </w:t>
      </w:r>
      <w:r>
        <w:t>14</w:t>
      </w:r>
      <w:r w:rsidR="00A82551">
        <w:t> </w:t>
      </w:r>
      <w:r>
        <w:t>% vyššiu ako je svetový priemer) a pomerne vysokým počtom dosiahnutých citácií v </w:t>
      </w:r>
      <w:r w:rsidRPr="00B91A70">
        <w:rPr>
          <w:b/>
        </w:rPr>
        <w:t>spoločenských vedách</w:t>
      </w:r>
      <w:r>
        <w:rPr>
          <w:b/>
        </w:rPr>
        <w:t xml:space="preserve"> </w:t>
      </w:r>
      <w:r w:rsidRPr="00B91A70">
        <w:t>je mierne nad</w:t>
      </w:r>
      <w:r>
        <w:rPr>
          <w:b/>
        </w:rPr>
        <w:t xml:space="preserve"> </w:t>
      </w:r>
      <w:r w:rsidRPr="00B91A70">
        <w:t>úrov</w:t>
      </w:r>
      <w:r>
        <w:t>ň</w:t>
      </w:r>
      <w:r w:rsidRPr="00B91A70">
        <w:t xml:space="preserve">ou svetového </w:t>
      </w:r>
      <w:r>
        <w:t xml:space="preserve">citačného ohlasu normalizovaného podľa vedného odboru </w:t>
      </w:r>
      <w:proofErr w:type="spellStart"/>
      <w:r>
        <w:t>TvU</w:t>
      </w:r>
      <w:proofErr w:type="spellEnd"/>
      <w:r>
        <w:t xml:space="preserve"> Trnava. Podobne vyšší počet publikácií so</w:t>
      </w:r>
      <w:r w:rsidR="00A82551">
        <w:t> </w:t>
      </w:r>
      <w:r>
        <w:t xml:space="preserve">svetovo nadpriemerným počtom citovaných dokumentov v </w:t>
      </w:r>
      <w:r w:rsidRPr="00034DEF">
        <w:rPr>
          <w:b/>
        </w:rPr>
        <w:t>humanitných vedách</w:t>
      </w:r>
      <w:r>
        <w:t xml:space="preserve"> bol dosiahnutý na UKF Nitra a na UK Bratislava, ktorých hodnoty citačného ohlasu normalizovaného podľa vedného odboru sú nad svetovým priemerom tohto ukazovateľa (0,76) za sledované obdobie.</w:t>
      </w:r>
    </w:p>
    <w:p w:rsidR="007E194A" w:rsidRPr="005E5FF1" w:rsidRDefault="00041913" w:rsidP="007E194A">
      <w:pPr>
        <w:pStyle w:val="Zoznam1"/>
      </w:pPr>
      <w:r w:rsidRPr="005E5FF1">
        <w:t>Podrobnejšie informácie o publikačnej činnosti vysokých škôl</w:t>
      </w:r>
      <w:r w:rsidR="00724B5C">
        <w:t xml:space="preserve"> </w:t>
      </w:r>
      <w:r w:rsidRPr="005E5FF1">
        <w:t>sú uvedené v </w:t>
      </w:r>
      <w:r w:rsidRPr="005E5FF1">
        <w:rPr>
          <w:b/>
        </w:rPr>
        <w:t xml:space="preserve">tabuľkách </w:t>
      </w:r>
      <w:r w:rsidRPr="00BA436E">
        <w:rPr>
          <w:b/>
        </w:rPr>
        <w:t xml:space="preserve">č. </w:t>
      </w:r>
      <w:r w:rsidR="005E5FF1" w:rsidRPr="00BA436E">
        <w:rPr>
          <w:b/>
        </w:rPr>
        <w:t>15</w:t>
      </w:r>
      <w:r w:rsidRPr="00BA436E">
        <w:rPr>
          <w:b/>
        </w:rPr>
        <w:t>a</w:t>
      </w:r>
      <w:r w:rsidR="00673F15">
        <w:rPr>
          <w:b/>
        </w:rPr>
        <w:t xml:space="preserve">, </w:t>
      </w:r>
      <w:r w:rsidR="001D67D3" w:rsidRPr="00BA436E">
        <w:rPr>
          <w:b/>
        </w:rPr>
        <w:t>15b</w:t>
      </w:r>
      <w:r w:rsidR="00B505EC">
        <w:rPr>
          <w:b/>
        </w:rPr>
        <w:t xml:space="preserve">, tabuľka </w:t>
      </w:r>
      <w:r w:rsidR="00673F15" w:rsidRPr="004C47EF">
        <w:rPr>
          <w:b/>
        </w:rPr>
        <w:t>15c</w:t>
      </w:r>
      <w:r w:rsidR="00673F15" w:rsidRPr="004C47EF">
        <w:t xml:space="preserve"> </w:t>
      </w:r>
      <w:r w:rsidR="008E4890">
        <w:t xml:space="preserve">s citačným ohlasom a </w:t>
      </w:r>
      <w:r w:rsidR="004C47EF" w:rsidRPr="004C47EF">
        <w:rPr>
          <w:iCs/>
        </w:rPr>
        <w:t xml:space="preserve">doplňujúcimi odporúčanými </w:t>
      </w:r>
      <w:proofErr w:type="spellStart"/>
      <w:r w:rsidR="004C47EF" w:rsidRPr="004C47EF">
        <w:rPr>
          <w:iCs/>
        </w:rPr>
        <w:t>bibliometrickými</w:t>
      </w:r>
      <w:proofErr w:type="spellEnd"/>
      <w:r w:rsidR="004C47EF" w:rsidRPr="004C47EF">
        <w:rPr>
          <w:iCs/>
        </w:rPr>
        <w:t xml:space="preserve"> ukazovateľmi, na základe ktorých je možné vytvoriť si ucelenejší obraz</w:t>
      </w:r>
      <w:r w:rsidR="008E4890">
        <w:rPr>
          <w:iCs/>
        </w:rPr>
        <w:t xml:space="preserve"> a </w:t>
      </w:r>
      <w:r w:rsidR="008E4890">
        <w:rPr>
          <w:b/>
          <w:iCs/>
        </w:rPr>
        <w:t xml:space="preserve">tabuľka č. 15d </w:t>
      </w:r>
      <w:r w:rsidR="008E4890">
        <w:rPr>
          <w:iCs/>
        </w:rPr>
        <w:t>s prehľadom umeleckej činnosti</w:t>
      </w:r>
      <w:r w:rsidR="004C47EF">
        <w:rPr>
          <w:iCs/>
        </w:rPr>
        <w:t>.</w:t>
      </w:r>
    </w:p>
    <w:p w:rsidR="00A875BD" w:rsidRDefault="00652A74" w:rsidP="00A875BD">
      <w:pPr>
        <w:pStyle w:val="Nadpis3-vavo"/>
        <w:numPr>
          <w:ilvl w:val="2"/>
          <w:numId w:val="1"/>
        </w:numPr>
        <w:ind w:left="0" w:firstLine="0"/>
      </w:pPr>
      <w:bookmarkStart w:id="59" w:name="_Toc136920260"/>
      <w:bookmarkStart w:id="60" w:name="_Toc264838390"/>
      <w:bookmarkStart w:id="61" w:name="_Toc427750183"/>
      <w:r w:rsidRPr="005E5FF1">
        <w:t>1.</w:t>
      </w:r>
      <w:r w:rsidR="00B31238" w:rsidRPr="005E5FF1">
        <w:t>6</w:t>
      </w:r>
      <w:r w:rsidRPr="005E5FF1">
        <w:t xml:space="preserve"> Rozvoj vysokého školstva</w:t>
      </w:r>
      <w:bookmarkEnd w:id="59"/>
      <w:bookmarkEnd w:id="60"/>
      <w:bookmarkEnd w:id="61"/>
    </w:p>
    <w:p w:rsidR="007E194A" w:rsidRDefault="00F605A4" w:rsidP="00C2109F">
      <w:pPr>
        <w:pStyle w:val="Zoznam1"/>
      </w:pPr>
      <w:r w:rsidRPr="00AC0841">
        <w:t xml:space="preserve">V roku 2014 pokračovala podpora prevádzky a rozvoja základnej dátovej infraštruktúry (akademická dátová sieť SANET), prevádzka finančného informačného systému pre verejné vysoké školy SOFIA, prevádzkovanie a rozvoj centrálnych informačných systémov v oblasti vysokého školstva (centrálny register študentov, register zamestnancov vysokých škôl, centrálne registre publikačnej a umeleckej činnosti, centrálny register záverečných prác). Ďalej boli poskytované licencie spoločnosti Microsoft v rámci licenčného programu </w:t>
      </w:r>
      <w:proofErr w:type="spellStart"/>
      <w:r w:rsidRPr="00AC0841">
        <w:t>Campus</w:t>
      </w:r>
      <w:proofErr w:type="spellEnd"/>
      <w:r w:rsidRPr="00AC0841">
        <w:t xml:space="preserve"> </w:t>
      </w:r>
      <w:proofErr w:type="spellStart"/>
      <w:r w:rsidRPr="00AC0841">
        <w:t>Agreement</w:t>
      </w:r>
      <w:proofErr w:type="spellEnd"/>
      <w:r w:rsidRPr="00AC0841">
        <w:t xml:space="preserve"> pre verejné vysoké škol</w:t>
      </w:r>
      <w:r w:rsidRPr="00F46C5B">
        <w:t>y.</w:t>
      </w:r>
      <w:r w:rsidRPr="007E194A">
        <w:t xml:space="preserve"> </w:t>
      </w:r>
    </w:p>
    <w:p w:rsidR="00277406" w:rsidRPr="00F46C5B" w:rsidRDefault="00277406" w:rsidP="00C2109F">
      <w:pPr>
        <w:pStyle w:val="Zoznam1"/>
      </w:pPr>
      <w:r w:rsidRPr="00F46C5B">
        <w:t>V</w:t>
      </w:r>
      <w:r w:rsidRPr="004D6163">
        <w:t> </w:t>
      </w:r>
      <w:r w:rsidRPr="00F46C5B">
        <w:t>roku 2014 bola vyhlásená výzva na rozvojové projekty vysokých škôl zameraná na posilnenie kapacít na problematiku spracovania jadrového odpadu. O</w:t>
      </w:r>
      <w:r w:rsidRPr="004D6163">
        <w:t> </w:t>
      </w:r>
      <w:r w:rsidRPr="00F46C5B">
        <w:t>dotáciu na rozvoj požiadala STU Bratislava, ktorej bola schválená dotácia v</w:t>
      </w:r>
      <w:r w:rsidRPr="004D6163">
        <w:t> </w:t>
      </w:r>
      <w:r w:rsidRPr="00F46C5B">
        <w:t xml:space="preserve">sume 220 tis. </w:t>
      </w:r>
      <w:r w:rsidR="00E011E9" w:rsidRPr="00AC0841">
        <w:t>€</w:t>
      </w:r>
      <w:r w:rsidRPr="00F46C5B">
        <w:t xml:space="preserve"> na tri roky (z toho 90 tis. </w:t>
      </w:r>
      <w:r w:rsidR="00E011E9" w:rsidRPr="00AC0841">
        <w:t>€</w:t>
      </w:r>
      <w:r w:rsidRPr="00F46C5B">
        <w:t xml:space="preserve"> v roku 2014).</w:t>
      </w:r>
    </w:p>
    <w:p w:rsidR="00652A74" w:rsidRPr="00AC0841" w:rsidRDefault="00D44956" w:rsidP="00652A74">
      <w:pPr>
        <w:pStyle w:val="Nadpis3-vavo"/>
        <w:numPr>
          <w:ilvl w:val="2"/>
          <w:numId w:val="1"/>
        </w:numPr>
        <w:ind w:left="0" w:firstLine="0"/>
      </w:pPr>
      <w:bookmarkStart w:id="62" w:name="_Toc136920261"/>
      <w:bookmarkStart w:id="63" w:name="_Toc264838391"/>
      <w:bookmarkStart w:id="64" w:name="_Toc427750184"/>
      <w:r w:rsidRPr="005E5FF1">
        <w:t>1.</w:t>
      </w:r>
      <w:r w:rsidR="00B730D4" w:rsidRPr="005E5FF1">
        <w:t>7</w:t>
      </w:r>
      <w:r w:rsidR="00652A74" w:rsidRPr="005E5FF1">
        <w:t xml:space="preserve"> </w:t>
      </w:r>
      <w:r w:rsidR="00652A74" w:rsidRPr="00AC0841">
        <w:t>Systém sociálnej podpory študentov a sociálnych služieb</w:t>
      </w:r>
      <w:bookmarkEnd w:id="62"/>
      <w:bookmarkEnd w:id="63"/>
      <w:bookmarkEnd w:id="64"/>
    </w:p>
    <w:p w:rsidR="006773CA" w:rsidRPr="00AC0841" w:rsidRDefault="00CF21EB" w:rsidP="00C2109F">
      <w:pPr>
        <w:pStyle w:val="Zoznam1"/>
      </w:pPr>
      <w:bookmarkStart w:id="65" w:name="_Toc108584879"/>
      <w:r w:rsidRPr="00AC0841">
        <w:t>V roku 2014 systém sociálnej podpory študentov pozostával z priamej podpory formou štipendií z prostriedkov štátneho rozpočtu (sociálne štipendium a motivačné štipendium), štipendií z vlastných zdrojov vysokej školy, pôžičiek z Fondu na podporu vzdelávania a pôžičiek zo štipendijného fondu vysokej školy</w:t>
      </w:r>
      <w:r w:rsidR="006773CA" w:rsidRPr="00AC0841">
        <w:t>.</w:t>
      </w:r>
    </w:p>
    <w:p w:rsidR="006773CA" w:rsidRPr="00AC0841" w:rsidRDefault="00CF21EB" w:rsidP="00C2109F">
      <w:pPr>
        <w:pStyle w:val="Zoznam1"/>
      </w:pPr>
      <w:r w:rsidRPr="00AC0841">
        <w:t>Prostredníctvom nepriamej podpory mali študenti prístup k dotovanému ubytovaniu a stravovaniu, finančná podpora bola poskytovaná aj umeleckým súborom a športovým klubom pôsobiacim pri vysokých školách a univerzitným pastoračným centrám</w:t>
      </w:r>
      <w:r w:rsidR="006773CA" w:rsidRPr="00AC0841">
        <w:t>.</w:t>
      </w:r>
    </w:p>
    <w:p w:rsidR="006773CA" w:rsidRPr="00AC0841" w:rsidRDefault="006773CA" w:rsidP="00C2109F">
      <w:pPr>
        <w:pStyle w:val="Zoznam1"/>
      </w:pPr>
      <w:r w:rsidRPr="00AC0841">
        <w:rPr>
          <w:b/>
        </w:rPr>
        <w:lastRenderedPageBreak/>
        <w:t>Maximálna mesačná výška sociálneho štipendia</w:t>
      </w:r>
      <w:r w:rsidRPr="00AC0841">
        <w:t xml:space="preserve"> v akademickom roku 201</w:t>
      </w:r>
      <w:r w:rsidR="0038721E" w:rsidRPr="00AC0841">
        <w:t>3/14</w:t>
      </w:r>
      <w:r w:rsidRPr="00AC0841">
        <w:t xml:space="preserve"> bola </w:t>
      </w:r>
      <w:r w:rsidR="0009561A" w:rsidRPr="00AC0841">
        <w:t>27</w:t>
      </w:r>
      <w:r w:rsidR="0038721E" w:rsidRPr="00AC0841">
        <w:t>5</w:t>
      </w:r>
      <w:r w:rsidRPr="00AC0841">
        <w:t xml:space="preserve"> € a v akademickom roku </w:t>
      </w:r>
      <w:r w:rsidRPr="00AC0841">
        <w:rPr>
          <w:b/>
        </w:rPr>
        <w:t>201</w:t>
      </w:r>
      <w:r w:rsidR="0038721E" w:rsidRPr="00AC0841">
        <w:rPr>
          <w:b/>
        </w:rPr>
        <w:t>4</w:t>
      </w:r>
      <w:r w:rsidRPr="00AC0841">
        <w:rPr>
          <w:b/>
        </w:rPr>
        <w:t>/201</w:t>
      </w:r>
      <w:r w:rsidR="0038721E" w:rsidRPr="00AC0841">
        <w:rPr>
          <w:b/>
        </w:rPr>
        <w:t>5 takisto</w:t>
      </w:r>
      <w:r w:rsidRPr="00AC0841">
        <w:rPr>
          <w:b/>
        </w:rPr>
        <w:t xml:space="preserve"> bola 27</w:t>
      </w:r>
      <w:r w:rsidR="0009561A" w:rsidRPr="00AC0841">
        <w:rPr>
          <w:b/>
        </w:rPr>
        <w:t>5</w:t>
      </w:r>
      <w:r w:rsidRPr="00AC0841">
        <w:rPr>
          <w:b/>
        </w:rPr>
        <w:t xml:space="preserve"> €</w:t>
      </w:r>
      <w:r w:rsidRPr="00AC0841">
        <w:t>.</w:t>
      </w:r>
      <w:r w:rsidR="007F312A" w:rsidRPr="00AC0841">
        <w:t xml:space="preserve"> Výška sociálneho štipendia sa odvíja od súm životného minima. Nakoľko tie sa v roku 2014 nemenili, nezvyšovala sa ani maximálna výška sociálneho štipendia.</w:t>
      </w:r>
      <w:r w:rsidRPr="00AC0841">
        <w:t xml:space="preserve"> </w:t>
      </w:r>
      <w:r w:rsidR="00CF21EB" w:rsidRPr="00AC0841">
        <w:rPr>
          <w:b/>
        </w:rPr>
        <w:t>Verejné vysoké školy</w:t>
      </w:r>
      <w:r w:rsidR="00CF21EB" w:rsidRPr="00AC0841">
        <w:t xml:space="preserve"> v roku 2014 </w:t>
      </w:r>
      <w:r w:rsidR="00CF21EB" w:rsidRPr="00AC0841">
        <w:rPr>
          <w:b/>
        </w:rPr>
        <w:t>vyplatili sociálne štipendiá v objeme 23 935 255 €</w:t>
      </w:r>
      <w:r w:rsidR="00CF21EB" w:rsidRPr="00AC0841">
        <w:t>, čo je oproti roku 2013 pokles o</w:t>
      </w:r>
      <w:r w:rsidR="00F820D6" w:rsidRPr="00AC0841">
        <w:t> </w:t>
      </w:r>
      <w:r w:rsidR="00CF21EB" w:rsidRPr="00AC0841">
        <w:t>929</w:t>
      </w:r>
      <w:r w:rsidR="00F820D6" w:rsidRPr="00AC0841">
        <w:t> </w:t>
      </w:r>
      <w:r w:rsidR="00CF21EB" w:rsidRPr="00AC0841">
        <w:t>131 €.</w:t>
      </w:r>
      <w:r w:rsidR="00CF21EB" w:rsidRPr="00AC0841">
        <w:rPr>
          <w:rStyle w:val="Odkaznapoznmkupodiarou"/>
        </w:rPr>
        <w:footnoteReference w:id="16"/>
      </w:r>
      <w:r w:rsidR="00CF21EB" w:rsidRPr="00AC0841">
        <w:t>) K 31.</w:t>
      </w:r>
      <w:r w:rsidR="0018190C">
        <w:t> </w:t>
      </w:r>
      <w:r w:rsidR="00CF21EB" w:rsidRPr="00AC0841">
        <w:t>decembru 2014 poberalo sociálne štipendiá 16 417 študentov, čo predstavuje oproti roku 2013 pokles o 536 poberateľov. Súkromné vysoké školy v roku 2014 vyplatili sociálne štipendiá v objeme 849 222 €, čo je oproti roku 2013 pokles o 292 126 €. K 31. decembru 2014 poberalo sociálne štipendiá 782 študentov súkromných vysokých škôl, čo predstavuje oproti roku 2013 pokles o 207 poberateľov</w:t>
      </w:r>
      <w:r w:rsidR="0009561A" w:rsidRPr="00AC0841">
        <w:t>.</w:t>
      </w:r>
    </w:p>
    <w:p w:rsidR="006773CA" w:rsidRPr="00AC0841" w:rsidRDefault="006773CA" w:rsidP="00C2109F">
      <w:pPr>
        <w:pStyle w:val="Zoznam1"/>
      </w:pPr>
      <w:r w:rsidRPr="00AC0841">
        <w:t>V </w:t>
      </w:r>
      <w:r w:rsidR="00791F1B" w:rsidRPr="00AC0841">
        <w:t xml:space="preserve">roku 2014 pokračovali vysoké školy v poskytovaní </w:t>
      </w:r>
      <w:r w:rsidR="00791F1B" w:rsidRPr="00AC0841">
        <w:rPr>
          <w:b/>
        </w:rPr>
        <w:t>motivačných štipendií</w:t>
      </w:r>
      <w:r w:rsidR="00791F1B" w:rsidRPr="00AC0841">
        <w:t xml:space="preserve">. Prostriedky na motivačné štipendium sa v roku 2014 poskytli tak, aby desiatim percentám študentov študijných programov prvých dvoch stupňov denného štúdia, mohlo byť priznané štipendium vo výške 350 €. Okrem toho sa vysokým školám poskytli finančné prostriedky na motivačné štipendium pre študentov vo vybraných študijných odboroch tak, aby pätnástim percentám študentov denného štúdia mohlo byť priznané štipendium v priemernej výške 1 000 €. V roku 2014 poskytlo ministerstvo vysokým školám dotáciu na motivačné štipendiá v sume </w:t>
      </w:r>
      <w:r w:rsidR="00791F1B" w:rsidRPr="00AC0841">
        <w:rPr>
          <w:b/>
        </w:rPr>
        <w:t xml:space="preserve">8 878 115 €, </w:t>
      </w:r>
      <w:r w:rsidR="00791F1B" w:rsidRPr="00AC0841">
        <w:t>z toho čiastku 338 995 € súkromným vysokým školám</w:t>
      </w:r>
      <w:r w:rsidRPr="00AC0841">
        <w:t>.</w:t>
      </w:r>
    </w:p>
    <w:p w:rsidR="006773CA" w:rsidRPr="00AC0841" w:rsidRDefault="00791F1B" w:rsidP="00ED7B06">
      <w:pPr>
        <w:pStyle w:val="Zoznam1"/>
      </w:pPr>
      <w:r w:rsidRPr="00AC0841">
        <w:t xml:space="preserve">Vysoké školy v roku 2014 poskytli </w:t>
      </w:r>
      <w:r w:rsidRPr="00AC0841">
        <w:rPr>
          <w:b/>
        </w:rPr>
        <w:t>z vlastných zdrojov štipendiá</w:t>
      </w:r>
      <w:r w:rsidRPr="00AC0841">
        <w:t xml:space="preserve"> v sume </w:t>
      </w:r>
      <w:r w:rsidRPr="00AC0841">
        <w:rPr>
          <w:b/>
        </w:rPr>
        <w:t>1</w:t>
      </w:r>
      <w:r w:rsidR="00ED7B06">
        <w:rPr>
          <w:b/>
        </w:rPr>
        <w:t> </w:t>
      </w:r>
      <w:r w:rsidRPr="00ED7B06">
        <w:rPr>
          <w:b/>
        </w:rPr>
        <w:t>26</w:t>
      </w:r>
      <w:r w:rsidR="00ED7B06" w:rsidRPr="00ED7B06">
        <w:rPr>
          <w:b/>
        </w:rPr>
        <w:t>0 </w:t>
      </w:r>
      <w:r w:rsidRPr="00ED7B06">
        <w:rPr>
          <w:b/>
        </w:rPr>
        <w:t>921</w:t>
      </w:r>
      <w:r w:rsidR="00ED7B06" w:rsidRPr="00ED7B06">
        <w:rPr>
          <w:b/>
        </w:rPr>
        <w:t> </w:t>
      </w:r>
      <w:r w:rsidRPr="00ED7B06">
        <w:rPr>
          <w:b/>
        </w:rPr>
        <w:t>€</w:t>
      </w:r>
      <w:r w:rsidRPr="00AC0841">
        <w:t xml:space="preserve"> celkovo </w:t>
      </w:r>
      <w:r w:rsidRPr="00ED7B06">
        <w:rPr>
          <w:b/>
        </w:rPr>
        <w:t>5 308 študentom</w:t>
      </w:r>
      <w:r w:rsidRPr="00AC0841">
        <w:t xml:space="preserve">. Vyplatená suma predstavuje oproti roku 2013 </w:t>
      </w:r>
      <w:r w:rsidRPr="00ED7B06">
        <w:rPr>
          <w:b/>
        </w:rPr>
        <w:t>pokles o</w:t>
      </w:r>
      <w:r w:rsidR="00ED7B06">
        <w:rPr>
          <w:b/>
        </w:rPr>
        <w:t> </w:t>
      </w:r>
      <w:r w:rsidRPr="00ED7B06">
        <w:rPr>
          <w:b/>
        </w:rPr>
        <w:t>67</w:t>
      </w:r>
      <w:r w:rsidR="00ED7B06">
        <w:rPr>
          <w:b/>
        </w:rPr>
        <w:t> </w:t>
      </w:r>
      <w:r w:rsidRPr="00ED7B06">
        <w:rPr>
          <w:b/>
        </w:rPr>
        <w:t>606 €</w:t>
      </w:r>
      <w:r w:rsidRPr="00AC0841">
        <w:t xml:space="preserve">. Z uvedenej sumy vyplatili čiastku 7 135 € súkromné vysoké školy 19 študentom. Najvyššiu sumu na štipendiá z vlastných zdrojov poskytla v roku 2014 UK Bratislava, a to vo výške 216 939 € pre 1 040 študentov. Zo súkromných vysokých škôl poskytla najvyššiu sumu štipendií z vlastných zdrojov Hudobná </w:t>
      </w:r>
      <w:r w:rsidR="004D285C">
        <w:t xml:space="preserve">a umelecká </w:t>
      </w:r>
      <w:r w:rsidRPr="00AC0841">
        <w:t>akadémia J. Albrechta, a to vo výške 5</w:t>
      </w:r>
      <w:r w:rsidR="00F605A4" w:rsidRPr="00AC0841">
        <w:t xml:space="preserve"> </w:t>
      </w:r>
      <w:r w:rsidRPr="00AC0841">
        <w:t>000 € pre 4</w:t>
      </w:r>
      <w:r w:rsidR="00497B42" w:rsidRPr="00AC0841">
        <w:t> </w:t>
      </w:r>
      <w:r w:rsidR="0009561A" w:rsidRPr="00AC0841">
        <w:t>študentov</w:t>
      </w:r>
      <w:r w:rsidR="006773CA" w:rsidRPr="00AC0841">
        <w:t>.</w:t>
      </w:r>
    </w:p>
    <w:p w:rsidR="006773CA" w:rsidRPr="00AC0841" w:rsidRDefault="00A54211" w:rsidP="00C2109F">
      <w:pPr>
        <w:pStyle w:val="Zoznam1"/>
      </w:pPr>
      <w:r w:rsidRPr="00AC0841">
        <w:t>V roku 2014</w:t>
      </w:r>
      <w:r w:rsidR="0009561A" w:rsidRPr="00AC0841">
        <w:t xml:space="preserve"> </w:t>
      </w:r>
      <w:r w:rsidRPr="00AC0841">
        <w:t>vstúpil</w:t>
      </w:r>
      <w:r w:rsidR="0009561A" w:rsidRPr="00AC0841">
        <w:t xml:space="preserve"> </w:t>
      </w:r>
      <w:r w:rsidR="0009561A" w:rsidRPr="00AC0841">
        <w:rPr>
          <w:b/>
        </w:rPr>
        <w:t>Fond na podporu vzdelávania</w:t>
      </w:r>
      <w:r w:rsidR="0009561A" w:rsidRPr="00AC0841">
        <w:t xml:space="preserve"> </w:t>
      </w:r>
      <w:r w:rsidRPr="00AC0841">
        <w:t>do druhého roka svojej existencie. Vo svojej činnosti priamo nadviazal na činnosť a</w:t>
      </w:r>
      <w:r w:rsidR="00607CA7" w:rsidRPr="00AC0841">
        <w:t xml:space="preserve"> </w:t>
      </w:r>
      <w:r w:rsidRPr="00AC0841">
        <w:t>aktivity svojich predchodcov (Štu</w:t>
      </w:r>
      <w:r w:rsidR="0009561A" w:rsidRPr="00AC0841">
        <w:t>dentsk</w:t>
      </w:r>
      <w:r w:rsidRPr="00AC0841">
        <w:t>ý</w:t>
      </w:r>
      <w:r w:rsidR="0009561A" w:rsidRPr="00AC0841">
        <w:t xml:space="preserve"> pôžičkov</w:t>
      </w:r>
      <w:r w:rsidRPr="00AC0841">
        <w:t>ý</w:t>
      </w:r>
      <w:r w:rsidR="0009561A" w:rsidRPr="00AC0841">
        <w:t xml:space="preserve"> fond</w:t>
      </w:r>
      <w:r w:rsidRPr="00AC0841">
        <w:t xml:space="preserve">, </w:t>
      </w:r>
      <w:r w:rsidR="00950BF9" w:rsidRPr="00AC0841">
        <w:t xml:space="preserve">Fond pre začínajúcich pedagógov) a ďalej ich rozvíjal. </w:t>
      </w:r>
      <w:r w:rsidR="0009561A" w:rsidRPr="00AC0841">
        <w:t>V</w:t>
      </w:r>
      <w:r w:rsidR="00950BF9" w:rsidRPr="00AC0841">
        <w:t xml:space="preserve"> poskytovaní pôžičiek pre </w:t>
      </w:r>
      <w:r w:rsidR="0009561A" w:rsidRPr="00AC0841">
        <w:t>akademick</w:t>
      </w:r>
      <w:r w:rsidR="00950BF9" w:rsidRPr="00AC0841">
        <w:t>ý</w:t>
      </w:r>
      <w:r w:rsidR="0009561A" w:rsidRPr="00AC0841">
        <w:t xml:space="preserve"> rok 201</w:t>
      </w:r>
      <w:r w:rsidR="00950BF9" w:rsidRPr="00AC0841">
        <w:t>3</w:t>
      </w:r>
      <w:r w:rsidR="0009561A" w:rsidRPr="00AC0841">
        <w:t>/201</w:t>
      </w:r>
      <w:r w:rsidR="00950BF9" w:rsidRPr="00AC0841">
        <w:t>4 nastali zásadné zmeny oproti predchádzajúcim rokom. Hlavné zmeny vyplývali zo zmeny legislatívy. Za najzásadnejšie zmeny môžeme považovať rozšírenie okruhu možných žiadateľov o pôžičku o študentov tretieho stupňa vysokoškolského vzdelávania (doktorandov), zvýšenie maximálnej výšky pôžičky na 3 000 € v prípade študentov prvého a druhého stupňa vysokoškolského vzdelávania, resp. 6</w:t>
      </w:r>
      <w:r w:rsidR="006A096D" w:rsidRPr="00AC0841">
        <w:t> </w:t>
      </w:r>
      <w:r w:rsidR="00950BF9" w:rsidRPr="00AC0841">
        <w:t>000 € v prípade študentov tretieho stupňa vysokoškolského vzdelávania (doktorandov), ako aj zásadnú úpravu procesu schvaľovania žiadostí o</w:t>
      </w:r>
      <w:r w:rsidR="008967BB" w:rsidRPr="00AC0841">
        <w:t> </w:t>
      </w:r>
      <w:r w:rsidR="00950BF9" w:rsidRPr="00AC0841">
        <w:t>pôžičku</w:t>
      </w:r>
      <w:r w:rsidR="008967BB" w:rsidRPr="00AC0841">
        <w:t xml:space="preserve">. V akademickom roku 2013/2014 fond vyčlenil na pôžičky </w:t>
      </w:r>
      <w:r w:rsidR="008967BB" w:rsidRPr="00AC0841">
        <w:rPr>
          <w:b/>
        </w:rPr>
        <w:t>5 mil. €.</w:t>
      </w:r>
      <w:r w:rsidR="008967BB" w:rsidRPr="00AC0841">
        <w:t xml:space="preserve"> Celkovo bolo schválených 2 265 žiadostí o pôžičku v sume 5 770 900 €, z čoho bolo vyplatených 1</w:t>
      </w:r>
      <w:r w:rsidR="009E5300" w:rsidRPr="00AC0841">
        <w:t xml:space="preserve"> </w:t>
      </w:r>
      <w:r w:rsidR="008967BB" w:rsidRPr="00AC0841">
        <w:t xml:space="preserve">899 pôžičiek v celkovej výške </w:t>
      </w:r>
      <w:r w:rsidR="008967BB" w:rsidRPr="00AC0841">
        <w:rPr>
          <w:b/>
        </w:rPr>
        <w:t>4 916 900 €</w:t>
      </w:r>
      <w:r w:rsidR="006A096D" w:rsidRPr="00AC0841">
        <w:rPr>
          <w:b/>
        </w:rPr>
        <w:t>.</w:t>
      </w:r>
      <w:r w:rsidR="008967BB" w:rsidRPr="00AC0841">
        <w:t xml:space="preserve"> </w:t>
      </w:r>
      <w:r w:rsidR="006A096D" w:rsidRPr="00AC0841">
        <w:t>Z</w:t>
      </w:r>
      <w:r w:rsidR="00607CA7" w:rsidRPr="00AC0841">
        <w:t> </w:t>
      </w:r>
      <w:r w:rsidR="006A096D" w:rsidRPr="00AC0841">
        <w:t xml:space="preserve">celkového počtu 1 899 vyplatených pôžičiek bolo 1 685 pôžičiek vyplatených študentom </w:t>
      </w:r>
      <w:r w:rsidR="0009561A" w:rsidRPr="00AC0841">
        <w:t>slovenských vysokých škôl</w:t>
      </w:r>
      <w:r w:rsidR="006A096D" w:rsidRPr="00AC0841">
        <w:t>, 211 študentom na vysokých školách v zahraničí a trom študentom so</w:t>
      </w:r>
      <w:r w:rsidR="0009561A" w:rsidRPr="00AC0841">
        <w:t xml:space="preserve"> statusom zahraničného Slováka </w:t>
      </w:r>
      <w:r w:rsidR="006A096D" w:rsidRPr="00AC0841">
        <w:t>na slovenských vysokých školách</w:t>
      </w:r>
      <w:r w:rsidR="00927F77" w:rsidRPr="00AC0841">
        <w:t>.</w:t>
      </w:r>
    </w:p>
    <w:p w:rsidR="006773CA" w:rsidRPr="00AC0841" w:rsidRDefault="006773CA" w:rsidP="00C2109F">
      <w:pPr>
        <w:pStyle w:val="Zoznam1"/>
      </w:pPr>
      <w:r w:rsidRPr="00AC0841">
        <w:t xml:space="preserve">K 31. </w:t>
      </w:r>
      <w:r w:rsidR="00791F1B" w:rsidRPr="00AC0841">
        <w:t xml:space="preserve">decembru 2014 uviedli vysoké školy v štatistike </w:t>
      </w:r>
      <w:r w:rsidR="00791F1B" w:rsidRPr="00AC0841">
        <w:rPr>
          <w:b/>
        </w:rPr>
        <w:t>46 700 lôžok</w:t>
      </w:r>
      <w:r w:rsidR="00791F1B" w:rsidRPr="00AC0841">
        <w:t xml:space="preserve"> projektovanej lôžkovej kapacity v študentských domovoch a 2 982 lôžok v zmluvných zariadeniach, čo predstavuje celkom nárast o 121 vo vlastných študentských domovoch. Nárast počtu lôžok súvisí s otvorením časti novovybudovaného študentského domova na Trnavskej univerzite v Trnave a tiež s ukončením rekonštrukcie objektov na niektorých vysokých školách, v rámci </w:t>
      </w:r>
      <w:r w:rsidR="00791F1B" w:rsidRPr="00AC0841">
        <w:lastRenderedPageBreak/>
        <w:t>ktorej sa zvyšuje kvalita ubytovania, v niektorých prípadoch aj na úkor pôvodne projektovanej kapacity</w:t>
      </w:r>
      <w:r w:rsidR="00B72ADB" w:rsidRPr="00AC0841">
        <w:t>.</w:t>
      </w:r>
    </w:p>
    <w:p w:rsidR="006773CA" w:rsidRPr="00AC0841" w:rsidRDefault="00791F1B" w:rsidP="00C2109F">
      <w:pPr>
        <w:pStyle w:val="Zoznam1"/>
      </w:pPr>
      <w:r w:rsidRPr="00AC0841">
        <w:t xml:space="preserve">Suma dotácií poskytnutých </w:t>
      </w:r>
      <w:r w:rsidRPr="00AC0841">
        <w:rPr>
          <w:b/>
        </w:rPr>
        <w:t xml:space="preserve">na prevádzku študentských domovov v roku 2014 </w:t>
      </w:r>
      <w:r w:rsidRPr="00AC0841">
        <w:t xml:space="preserve">bola tak ako v roku 2013 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w:t>
      </w:r>
      <w:r w:rsidRPr="00AC0841">
        <w:rPr>
          <w:b/>
        </w:rPr>
        <w:t xml:space="preserve">dotácií na ubytovanie študentov v roku 2014 </w:t>
      </w:r>
      <w:r w:rsidRPr="00AC0841">
        <w:t xml:space="preserve">predstavovala </w:t>
      </w:r>
      <w:r w:rsidRPr="00AC0841">
        <w:rPr>
          <w:b/>
        </w:rPr>
        <w:t>16 905 188</w:t>
      </w:r>
      <w:r w:rsidRPr="00AC0841">
        <w:t xml:space="preserve"> </w:t>
      </w:r>
      <w:r w:rsidRPr="00AC0841">
        <w:rPr>
          <w:b/>
        </w:rPr>
        <w:t>€</w:t>
      </w:r>
      <w:r w:rsidRPr="00AC0841">
        <w:t xml:space="preserve">, čo predstavuje oproti roku 2013 </w:t>
      </w:r>
      <w:r w:rsidRPr="00AC0841">
        <w:rPr>
          <w:b/>
        </w:rPr>
        <w:t>nárast o 62 260 €</w:t>
      </w:r>
      <w:r w:rsidRPr="00AC0841">
        <w:t>. Priemerná ročná dotácia na lôžko študenta (vrátane lôžok zmluvných zariadení), mimo dotácie na odstránenie havarijných stavov a prvotné vybavenie bola 340 €</w:t>
      </w:r>
      <w:r w:rsidR="002E5941" w:rsidRPr="00AC0841">
        <w:t>.</w:t>
      </w:r>
    </w:p>
    <w:p w:rsidR="006773CA" w:rsidRPr="00AC0841" w:rsidRDefault="00791F1B" w:rsidP="00C2109F">
      <w:pPr>
        <w:pStyle w:val="Zoznam1"/>
        <w:rPr>
          <w:b/>
        </w:rPr>
      </w:pPr>
      <w:r w:rsidRPr="00AC0841">
        <w:t xml:space="preserve">Dotovanie stravovacích služieb sa uskutočňovalo formou príspevku na dve vydané jedlá denne študentom v dennej forme štúdia. Výška príspevku v roku 2014 bola </w:t>
      </w:r>
      <w:r w:rsidRPr="00AC0841">
        <w:rPr>
          <w:b/>
        </w:rPr>
        <w:t>1 €/jedno jedlo</w:t>
      </w:r>
      <w:r w:rsidRPr="00AC0841">
        <w:t xml:space="preserve">. Celková suma poskytnutých </w:t>
      </w:r>
      <w:r w:rsidRPr="00AC0841">
        <w:rPr>
          <w:b/>
        </w:rPr>
        <w:t>dotácií na stravovanie študentov v roku 2014</w:t>
      </w:r>
      <w:r w:rsidRPr="00AC0841">
        <w:t xml:space="preserve"> bola </w:t>
      </w:r>
      <w:r w:rsidRPr="00AC0841">
        <w:rPr>
          <w:b/>
        </w:rPr>
        <w:t>4</w:t>
      </w:r>
      <w:r w:rsidR="00F820D6" w:rsidRPr="00AC0841">
        <w:rPr>
          <w:b/>
        </w:rPr>
        <w:t> </w:t>
      </w:r>
      <w:r w:rsidRPr="00AC0841">
        <w:rPr>
          <w:b/>
        </w:rPr>
        <w:t>781</w:t>
      </w:r>
      <w:r w:rsidR="00F820D6" w:rsidRPr="00AC0841">
        <w:rPr>
          <w:b/>
        </w:rPr>
        <w:t> </w:t>
      </w:r>
      <w:r w:rsidRPr="00AC0841">
        <w:rPr>
          <w:b/>
        </w:rPr>
        <w:t xml:space="preserve">798 €, </w:t>
      </w:r>
      <w:r w:rsidRPr="00AC0841">
        <w:t>čo predstavuje oproti</w:t>
      </w:r>
      <w:r w:rsidRPr="00AC0841">
        <w:rPr>
          <w:b/>
        </w:rPr>
        <w:t xml:space="preserve"> </w:t>
      </w:r>
      <w:r w:rsidRPr="00AC0841">
        <w:t xml:space="preserve">roku 2013 </w:t>
      </w:r>
      <w:r w:rsidRPr="00AC0841">
        <w:rPr>
          <w:b/>
        </w:rPr>
        <w:t>pokles o 969 446</w:t>
      </w:r>
      <w:r w:rsidRPr="00AC0841">
        <w:t xml:space="preserve"> </w:t>
      </w:r>
      <w:r w:rsidRPr="00AC0841">
        <w:rPr>
          <w:b/>
        </w:rPr>
        <w:t>€</w:t>
      </w:r>
      <w:r w:rsidRPr="00AC0841">
        <w:t>. Vysokoškolské jedálne vydali v roku 2014 študentom vysokých škôl takmer o 24,3 tis. jedál viac ako v roku 2013 (celkový počet vydaných jedál v roku 2014 bol 4 980 tis</w:t>
      </w:r>
      <w:r w:rsidR="002E5941" w:rsidRPr="00AC0841">
        <w:t>.).</w:t>
      </w:r>
      <w:r w:rsidR="006773CA" w:rsidRPr="00AC0841">
        <w:t xml:space="preserve"> </w:t>
      </w:r>
    </w:p>
    <w:p w:rsidR="006773CA" w:rsidRPr="00AC0841" w:rsidRDefault="00791F1B" w:rsidP="00C2109F">
      <w:pPr>
        <w:pStyle w:val="Zoznam1"/>
      </w:pPr>
      <w:r w:rsidRPr="00AC0841">
        <w:t xml:space="preserve">V roku 2014 ministerstvo poskytlo vysokým školám dotáciu v sume </w:t>
      </w:r>
      <w:r w:rsidRPr="00AC0841">
        <w:rPr>
          <w:b/>
        </w:rPr>
        <w:t>882 399</w:t>
      </w:r>
      <w:r w:rsidRPr="00AC0841">
        <w:t xml:space="preserve"> </w:t>
      </w:r>
      <w:r w:rsidRPr="00AC0841">
        <w:rPr>
          <w:b/>
        </w:rPr>
        <w:t>€</w:t>
      </w:r>
      <w:r w:rsidRPr="00AC0841">
        <w:t xml:space="preserve"> </w:t>
      </w:r>
      <w:r w:rsidRPr="00AC0841">
        <w:rPr>
          <w:b/>
        </w:rPr>
        <w:t>na športovú a kultúrnu činnosť študentov</w:t>
      </w:r>
      <w:r w:rsidRPr="00AC0841">
        <w:t xml:space="preserve"> vysokých škôl a podporu činnosti univerzitných pastoračných centier. Pokles poskytnutej dotácie v porovnaní s predchádzajúcim rokom (o 1</w:t>
      </w:r>
      <w:r w:rsidR="00003CED" w:rsidRPr="00AC0841">
        <w:t> </w:t>
      </w:r>
      <w:r w:rsidRPr="00AC0841">
        <w:t>361 €) bol spôsobený najmä poklesom počtu študentov, na ktorých bola dotácia poskytnutá</w:t>
      </w:r>
      <w:r w:rsidR="002E5941" w:rsidRPr="00AC0841">
        <w:t>.</w:t>
      </w:r>
    </w:p>
    <w:p w:rsidR="006773CA" w:rsidRPr="00AC0841" w:rsidRDefault="006773CA" w:rsidP="006773CA">
      <w:pPr>
        <w:pStyle w:val="Nadpis2"/>
        <w:jc w:val="left"/>
      </w:pPr>
      <w:bookmarkStart w:id="66" w:name="_Toc334996771"/>
      <w:bookmarkStart w:id="67" w:name="_Toc427750185"/>
      <w:r w:rsidRPr="00AC0841">
        <w:t>Časť II</w:t>
      </w:r>
      <w:bookmarkEnd w:id="66"/>
      <w:bookmarkEnd w:id="67"/>
    </w:p>
    <w:p w:rsidR="006773CA" w:rsidRPr="00AC0841" w:rsidRDefault="006773CA" w:rsidP="006773CA">
      <w:pPr>
        <w:pStyle w:val="Nadpis2-vavo"/>
        <w:numPr>
          <w:ilvl w:val="1"/>
          <w:numId w:val="1"/>
        </w:numPr>
        <w:ind w:left="0" w:firstLine="0"/>
      </w:pPr>
      <w:bookmarkStart w:id="68" w:name="_Toc334996772"/>
      <w:bookmarkStart w:id="69" w:name="_Toc427750186"/>
      <w:r w:rsidRPr="00AC0841">
        <w:t>2. Správa o hospodárení verejných vysokých škôl v roku 201</w:t>
      </w:r>
      <w:bookmarkEnd w:id="68"/>
      <w:r w:rsidR="00003CED" w:rsidRPr="00AC0841">
        <w:t>4</w:t>
      </w:r>
      <w:bookmarkEnd w:id="69"/>
    </w:p>
    <w:p w:rsidR="006773CA" w:rsidRPr="00AC0841" w:rsidRDefault="006773CA" w:rsidP="00C2109F">
      <w:pPr>
        <w:pStyle w:val="Zoznam1"/>
      </w:pPr>
      <w:r w:rsidRPr="00AC0841">
        <w:t>Táto časť správy sa zaoberá hospodárením verejných vysokých škôl v roku 201</w:t>
      </w:r>
      <w:r w:rsidR="00B444B2" w:rsidRPr="00AC0841">
        <w:t>4</w:t>
      </w:r>
      <w:r w:rsidRPr="00AC0841">
        <w:t xml:space="preserve">. Verejné vysoké školy hospodária podľa rozpočtu výnosov a nákladov vrátane odpisov podľa odpisového plánu, ktorý si v súlade so zákonom o účtovníctve zostavuje každá verejná vysoká škola. </w:t>
      </w:r>
    </w:p>
    <w:p w:rsidR="006773CA" w:rsidRPr="00AC0841" w:rsidRDefault="005763F6" w:rsidP="00C2109F">
      <w:pPr>
        <w:pStyle w:val="Zoznam1"/>
      </w:pPr>
      <w:r w:rsidRPr="00AC0841">
        <w:t xml:space="preserve">Hlavným zdrojom financovania verejných vysokých škôl sú naďalej dotácie zo štátneho rozpočtu, ktoré sa verejnej vysokej škole poskytujú vo forme </w:t>
      </w:r>
      <w:r w:rsidRPr="00AC0841">
        <w:rPr>
          <w:b/>
          <w:bCs/>
        </w:rPr>
        <w:t>tzv. blokového grantu</w:t>
      </w:r>
      <w:r w:rsidRPr="00AC0841">
        <w:t>, teda vnútorne neštruktúrované s výnimkou účelovo určených finančných prostriedkov a záväzného ukazovateľa maximálnej sumy osobných nákladov (mzdy a odvody). Objem finančných prostriedkov z dotácií vynaložený na mzdy a odvody do poistných fondov nesmie prekročiť 80 % objemu finančných prostriedkov poskytnutých v danom roku verejnej vysokej škole na bežné výdavky</w:t>
      </w:r>
      <w:r w:rsidR="006773CA" w:rsidRPr="00AC0841">
        <w:t>.</w:t>
      </w:r>
    </w:p>
    <w:p w:rsidR="006773CA" w:rsidRPr="00AC0841" w:rsidRDefault="005763F6" w:rsidP="00C2109F">
      <w:pPr>
        <w:pStyle w:val="Zoznam1"/>
      </w:pPr>
      <w:r w:rsidRPr="00AC0841">
        <w:t xml:space="preserve">V prvej časti správy o hospodárení sú uvedené </w:t>
      </w:r>
      <w:r w:rsidRPr="00AC0841">
        <w:rPr>
          <w:b/>
          <w:bCs/>
        </w:rPr>
        <w:t>informácie o výške a spôsobe rozdelenia dotácií</w:t>
      </w:r>
      <w:r w:rsidRPr="00AC0841">
        <w:t xml:space="preserve"> zo štátneho rozpočtu verejným vysokým školám v roku 2014 a v druhej časti správy o hospodárení sa uvádzajú </w:t>
      </w:r>
      <w:r w:rsidRPr="00AC0841">
        <w:rPr>
          <w:b/>
          <w:bCs/>
        </w:rPr>
        <w:t xml:space="preserve">výsledky hospodárenia </w:t>
      </w:r>
      <w:r w:rsidRPr="00AC0841">
        <w:t>verejných vysokých škôl v roku 2014 tak, ako vyplývajú z výročných správ vysokých škôl o hospodárení a z výkazníctva vysokých škôl za rok 2014</w:t>
      </w:r>
      <w:r w:rsidR="006773CA" w:rsidRPr="00AC0841">
        <w:t>.</w:t>
      </w:r>
    </w:p>
    <w:p w:rsidR="006773CA" w:rsidRPr="00AC0841" w:rsidRDefault="006773CA" w:rsidP="006773CA">
      <w:pPr>
        <w:pStyle w:val="Nadpis3-vavo"/>
        <w:numPr>
          <w:ilvl w:val="2"/>
          <w:numId w:val="1"/>
        </w:numPr>
        <w:ind w:left="0" w:firstLine="0"/>
        <w:jc w:val="both"/>
      </w:pPr>
      <w:bookmarkStart w:id="70" w:name="_Toc334996773"/>
      <w:bookmarkStart w:id="71" w:name="_Toc427750187"/>
      <w:r w:rsidRPr="00AC0841">
        <w:lastRenderedPageBreak/>
        <w:t>2.1 Výška dotácií zo štátneho rozpočtu verejným vysokým školám v roku 201</w:t>
      </w:r>
      <w:r w:rsidR="005763F6" w:rsidRPr="00AC0841">
        <w:t>4</w:t>
      </w:r>
      <w:r w:rsidRPr="00AC0841">
        <w:t xml:space="preserve"> a spôsob ich rozdelenia</w:t>
      </w:r>
      <w:bookmarkEnd w:id="70"/>
      <w:bookmarkEnd w:id="71"/>
    </w:p>
    <w:p w:rsidR="006773CA" w:rsidRPr="00AC0841" w:rsidRDefault="006773CA" w:rsidP="00C2109F">
      <w:pPr>
        <w:pStyle w:val="Zoznam1"/>
      </w:pPr>
      <w:r w:rsidRPr="00AC0841">
        <w:t xml:space="preserve">Podľa § 89 zákona sú hlavným zdrojom financovania verejnej vysokej školy dotácie zo štátneho rozpočtu. Na pokrytie výdavkov na svoju činnosť verejná vysoká škola využíva v zmysle § 16 a § 89 ods.1 zákona okrem </w:t>
      </w:r>
      <w:r w:rsidR="0019243E" w:rsidRPr="00AC0841">
        <w:t>dotácií zo štátneho rozpočtu</w:t>
      </w:r>
      <w:r w:rsidRPr="00AC0841">
        <w:t xml:space="preserve"> aj ďalšie zdroje.</w:t>
      </w:r>
    </w:p>
    <w:p w:rsidR="006773CA" w:rsidRPr="00AC0841" w:rsidRDefault="006773CA" w:rsidP="006773CA">
      <w:pPr>
        <w:pStyle w:val="Nadpis4"/>
        <w:rPr>
          <w:lang w:val="sk-SK"/>
        </w:rPr>
      </w:pPr>
      <w:bookmarkStart w:id="72" w:name="_Toc334996774"/>
      <w:bookmarkStart w:id="73" w:name="_Toc427750188"/>
      <w:r w:rsidRPr="00AC0841">
        <w:rPr>
          <w:lang w:val="sk-SK"/>
        </w:rPr>
        <w:t>Výška dotácií zo štátneho rozpočtu verejným vysokým školám v roku 201</w:t>
      </w:r>
      <w:bookmarkEnd w:id="72"/>
      <w:r w:rsidR="002E5990" w:rsidRPr="00AC0841">
        <w:rPr>
          <w:lang w:val="sk-SK"/>
        </w:rPr>
        <w:t>4</w:t>
      </w:r>
      <w:bookmarkEnd w:id="73"/>
    </w:p>
    <w:p w:rsidR="00FC5FE1" w:rsidRPr="00AC0841" w:rsidRDefault="00E238CE" w:rsidP="00C2109F">
      <w:pPr>
        <w:pStyle w:val="Zoznam1"/>
        <w:rPr>
          <w:rStyle w:val="Zoznam1CharChar"/>
          <w:b/>
          <w:lang w:val="sk-SK"/>
        </w:rPr>
      </w:pPr>
      <w:r w:rsidRPr="00AC0841">
        <w:t xml:space="preserve">V schválenom rozpočte na rok 2014 bola v kapitole ministerstva na vysoké školy vyčlenená suma 430 858 807 €. V nadväznosti na zohľadnenie vplyvu valorizácie platov zamestnancov vykonávajúcich práce vo verejnom záujme (+10 022 493 €) a prijatím ďalšieho rozpočtového opatrenia v rámci kapitoly ministerstva (+11 000 </w:t>
      </w:r>
      <w:proofErr w:type="spellStart"/>
      <w:r w:rsidRPr="00AC0841">
        <w:t>000</w:t>
      </w:r>
      <w:proofErr w:type="spellEnd"/>
      <w:r w:rsidRPr="00AC0841">
        <w:t xml:space="preserve"> €) bol objem výdavkov na</w:t>
      </w:r>
      <w:r w:rsidR="00607CA7" w:rsidRPr="00AC0841">
        <w:t> </w:t>
      </w:r>
      <w:r w:rsidRPr="00AC0841">
        <w:t xml:space="preserve">programe 077 - Vysokoškolské vzdelávanie a veda, sociálna podpora študentov vysokých škôl upravený na sumu 451 881 300 €. Z uvedeného objemu finančných prostriedkov bola pre vysoké školy vyčlenená suma </w:t>
      </w:r>
      <w:r w:rsidRPr="00AC0841">
        <w:rPr>
          <w:b/>
        </w:rPr>
        <w:t>442 296 981 €,</w:t>
      </w:r>
      <w:r w:rsidRPr="00AC0841">
        <w:t xml:space="preserve"> (v objeme je zahrnutá aj časť finančných prostriedkov </w:t>
      </w:r>
      <w:r w:rsidR="00757517">
        <w:t xml:space="preserve">vo výške 1 461 224 </w:t>
      </w:r>
      <w:r w:rsidR="00931B0F" w:rsidRPr="00AC0841">
        <w:t>€</w:t>
      </w:r>
      <w:r w:rsidR="00931B0F">
        <w:t xml:space="preserve"> </w:t>
      </w:r>
      <w:r w:rsidRPr="00AC0841">
        <w:t>určená na dotácie pre súkromné vysoké školy</w:t>
      </w:r>
      <w:r w:rsidR="00931B0F">
        <w:t xml:space="preserve"> najmä v sociálnej oblasti</w:t>
      </w:r>
      <w:r w:rsidRPr="00AC0841">
        <w:t xml:space="preserve">). V porovnaní s </w:t>
      </w:r>
      <w:r w:rsidRPr="00AC0841">
        <w:rPr>
          <w:rStyle w:val="Zoznam1CharChar"/>
          <w:lang w:val="sk-SK"/>
        </w:rPr>
        <w:t xml:space="preserve">rokom </w:t>
      </w:r>
      <w:r w:rsidRPr="00AC0841">
        <w:rPr>
          <w:rStyle w:val="Zoznam1CharChar"/>
          <w:b/>
          <w:lang w:val="sk-SK"/>
        </w:rPr>
        <w:t>2013</w:t>
      </w:r>
      <w:r w:rsidRPr="00AC0841">
        <w:rPr>
          <w:rStyle w:val="Zoznam1CharChar"/>
          <w:lang w:val="sk-SK"/>
        </w:rPr>
        <w:t xml:space="preserve">, v ktorom bola na vysoké školy vyčlenená suma </w:t>
      </w:r>
      <w:r w:rsidRPr="00AC0841">
        <w:rPr>
          <w:rStyle w:val="Zoznam1CharChar"/>
          <w:b/>
          <w:lang w:val="sk-SK"/>
        </w:rPr>
        <w:t xml:space="preserve">443 424 063 € </w:t>
      </w:r>
      <w:r w:rsidRPr="00AC0841">
        <w:rPr>
          <w:rStyle w:val="Zoznam1CharChar"/>
          <w:lang w:val="sk-SK"/>
        </w:rPr>
        <w:t>ide o</w:t>
      </w:r>
      <w:r w:rsidRPr="00AC0841">
        <w:rPr>
          <w:rStyle w:val="Zoznam1CharChar"/>
          <w:b/>
          <w:lang w:val="sk-SK"/>
        </w:rPr>
        <w:t xml:space="preserve"> pokles</w:t>
      </w:r>
      <w:r w:rsidRPr="00AC0841">
        <w:rPr>
          <w:rStyle w:val="Zoznam1CharChar"/>
          <w:lang w:val="sk-SK"/>
        </w:rPr>
        <w:t xml:space="preserve"> o</w:t>
      </w:r>
      <w:r w:rsidR="00607CA7" w:rsidRPr="00AC0841">
        <w:rPr>
          <w:rStyle w:val="Zoznam1CharChar"/>
          <w:lang w:val="sk-SK"/>
        </w:rPr>
        <w:t> </w:t>
      </w:r>
      <w:r w:rsidRPr="00AC0841">
        <w:rPr>
          <w:rStyle w:val="Zoznam1CharChar"/>
          <w:lang w:val="sk-SK"/>
        </w:rPr>
        <w:t>sumu</w:t>
      </w:r>
      <w:r w:rsidRPr="00AC0841">
        <w:rPr>
          <w:rStyle w:val="Zoznam1CharChar"/>
          <w:b/>
          <w:lang w:val="sk-SK"/>
        </w:rPr>
        <w:t xml:space="preserve"> 1 127 082 €. </w:t>
      </w:r>
      <w:r w:rsidRPr="00AC0841">
        <w:rPr>
          <w:rStyle w:val="Zoznam1CharChar"/>
          <w:lang w:val="sk-SK"/>
        </w:rPr>
        <w:t>Pokles objemu finančných prostriedkov bol premietnutý najmä do</w:t>
      </w:r>
      <w:r w:rsidR="00607CA7" w:rsidRPr="00AC0841">
        <w:rPr>
          <w:rStyle w:val="Zoznam1CharChar"/>
          <w:lang w:val="sk-SK"/>
        </w:rPr>
        <w:t> </w:t>
      </w:r>
      <w:r w:rsidRPr="00AC0841">
        <w:rPr>
          <w:rStyle w:val="Zoznam1CharChar"/>
          <w:lang w:val="sk-SK"/>
        </w:rPr>
        <w:t>oblasti sociálnej podpory študentov z dôvodu zníženia potreby na sociálne štipendiá študentov</w:t>
      </w:r>
      <w:r w:rsidR="00FC5FE1" w:rsidRPr="00AC0841">
        <w:t>.</w:t>
      </w:r>
    </w:p>
    <w:p w:rsidR="00E238CE" w:rsidRPr="00AC0841" w:rsidRDefault="00E238CE" w:rsidP="00C2109F">
      <w:pPr>
        <w:pStyle w:val="Zoznam1"/>
      </w:pPr>
      <w:r w:rsidRPr="00AC0841">
        <w:rPr>
          <w:rStyle w:val="Zoznam1CharChar"/>
          <w:lang w:val="sk-SK"/>
        </w:rPr>
        <w:t>Vyčlenená suma</w:t>
      </w:r>
      <w:r w:rsidRPr="00AC0841">
        <w:rPr>
          <w:rStyle w:val="Zoznam1CharChar"/>
          <w:b/>
          <w:bCs/>
          <w:lang w:val="sk-SK"/>
        </w:rPr>
        <w:t xml:space="preserve"> </w:t>
      </w:r>
      <w:r w:rsidRPr="00AC0841">
        <w:rPr>
          <w:rStyle w:val="Zoznam1CharChar"/>
          <w:b/>
          <w:lang w:val="sk-SK"/>
        </w:rPr>
        <w:t xml:space="preserve">442 296 981 </w:t>
      </w:r>
      <w:r w:rsidRPr="00AC0841">
        <w:rPr>
          <w:rStyle w:val="Zoznam1CharChar"/>
          <w:b/>
          <w:bCs/>
          <w:lang w:val="sk-SK"/>
        </w:rPr>
        <w:t xml:space="preserve">€ </w:t>
      </w:r>
      <w:r w:rsidRPr="00AC0841">
        <w:rPr>
          <w:rStyle w:val="Zoznam1CharChar"/>
          <w:lang w:val="sk-SK"/>
        </w:rPr>
        <w:t>pozostávala z bežných dotácií (ďalej tiež “BD”) v objeme</w:t>
      </w:r>
      <w:r w:rsidRPr="00AC0841">
        <w:rPr>
          <w:rStyle w:val="Zoznam1CharChar"/>
          <w:b/>
          <w:bCs/>
          <w:lang w:val="sk-SK"/>
        </w:rPr>
        <w:t xml:space="preserve"> </w:t>
      </w:r>
      <w:r w:rsidRPr="00AC0841">
        <w:rPr>
          <w:rStyle w:val="Zoznam1CharChar"/>
          <w:bCs/>
          <w:lang w:val="sk-SK"/>
        </w:rPr>
        <w:t>433 502 065 €</w:t>
      </w:r>
      <w:r w:rsidRPr="00AC0841">
        <w:rPr>
          <w:rStyle w:val="Zoznam1CharChar"/>
          <w:b/>
          <w:bCs/>
          <w:lang w:val="sk-SK"/>
        </w:rPr>
        <w:t xml:space="preserve"> </w:t>
      </w:r>
      <w:r w:rsidRPr="00AC0841">
        <w:rPr>
          <w:rStyle w:val="Zoznam1CharChar"/>
          <w:lang w:val="sk-SK"/>
        </w:rPr>
        <w:t>a kapitálových dotácií (ďalej tiež “KD”) v objeme 8 794 916 </w:t>
      </w:r>
      <w:r w:rsidRPr="00AC0841">
        <w:rPr>
          <w:rStyle w:val="Zoznam1CharChar"/>
          <w:bCs/>
          <w:lang w:val="sk-SK"/>
        </w:rPr>
        <w:t>€</w:t>
      </w:r>
      <w:r w:rsidRPr="00AC0841">
        <w:t xml:space="preserve">. </w:t>
      </w:r>
    </w:p>
    <w:p w:rsidR="00E238CE" w:rsidRPr="00AC0841" w:rsidRDefault="00E238CE" w:rsidP="00C2109F">
      <w:pPr>
        <w:pStyle w:val="Zoznam1"/>
      </w:pPr>
      <w:r w:rsidRPr="00AC0841">
        <w:t xml:space="preserve">Okrem dotácií verejným vysokým školám, ktoré boli rozpočtované v programe </w:t>
      </w:r>
      <w:r w:rsidRPr="00AC0841">
        <w:rPr>
          <w:b/>
          <w:bCs/>
          <w:iCs/>
        </w:rPr>
        <w:t xml:space="preserve">077, </w:t>
      </w:r>
      <w:r w:rsidRPr="00AC0841">
        <w:rPr>
          <w:bCs/>
          <w:iCs/>
        </w:rPr>
        <w:t>získali verejné vysoké školy</w:t>
      </w:r>
      <w:r w:rsidRPr="00AC0841">
        <w:rPr>
          <w:b/>
          <w:bCs/>
          <w:i/>
          <w:iCs/>
        </w:rPr>
        <w:t xml:space="preserve"> </w:t>
      </w:r>
      <w:r w:rsidRPr="00AC0841">
        <w:rPr>
          <w:bCs/>
          <w:iCs/>
        </w:rPr>
        <w:t>ď</w:t>
      </w:r>
      <w:r w:rsidRPr="00AC0841">
        <w:t xml:space="preserve">alšie finančné prostriedky zo štátneho rozpočtu prostredníctvom kapitoly </w:t>
      </w:r>
      <w:r w:rsidR="00C84815" w:rsidRPr="00AC0841">
        <w:t>ministerstva</w:t>
      </w:r>
      <w:r w:rsidRPr="00AC0841">
        <w:t xml:space="preserve"> v objeme </w:t>
      </w:r>
      <w:r w:rsidRPr="00AC0841">
        <w:rPr>
          <w:b/>
        </w:rPr>
        <w:t xml:space="preserve">13 825 </w:t>
      </w:r>
      <w:proofErr w:type="spellStart"/>
      <w:r w:rsidRPr="00AC0841">
        <w:rPr>
          <w:b/>
        </w:rPr>
        <w:t>825</w:t>
      </w:r>
      <w:proofErr w:type="spellEnd"/>
      <w:r w:rsidRPr="00AC0841">
        <w:rPr>
          <w:b/>
        </w:rPr>
        <w:t xml:space="preserve"> €</w:t>
      </w:r>
      <w:r w:rsidRPr="00AC0841">
        <w:t xml:space="preserve"> </w:t>
      </w:r>
      <w:r w:rsidRPr="00AC0841">
        <w:rPr>
          <w:b/>
        </w:rPr>
        <w:t>z národného programu rozvoja vedy a techniky</w:t>
      </w:r>
      <w:r w:rsidRPr="00AC0841">
        <w:t xml:space="preserve">, z toho objem </w:t>
      </w:r>
      <w:r w:rsidRPr="00AC0841">
        <w:rPr>
          <w:b/>
        </w:rPr>
        <w:t>12 949 712 €</w:t>
      </w:r>
      <w:r w:rsidRPr="00AC0841">
        <w:t xml:space="preserve"> získali verejné vysoké školy na výskumné projekty </w:t>
      </w:r>
      <w:r w:rsidRPr="00AC0841">
        <w:rPr>
          <w:b/>
          <w:bCs/>
        </w:rPr>
        <w:t>z APVV a</w:t>
      </w:r>
      <w:r w:rsidRPr="00AC0841">
        <w:t xml:space="preserve"> objem </w:t>
      </w:r>
      <w:r w:rsidRPr="00AC0841">
        <w:rPr>
          <w:b/>
        </w:rPr>
        <w:t>876 113 €</w:t>
      </w:r>
      <w:r w:rsidRPr="00AC0841">
        <w:t xml:space="preserve"> z programu </w:t>
      </w:r>
      <w:r w:rsidRPr="00AC0841">
        <w:rPr>
          <w:b/>
        </w:rPr>
        <w:t>06K 12 Koordinácia prierezových aktivít štátnej vednej a technickej politiky.</w:t>
      </w:r>
    </w:p>
    <w:p w:rsidR="00E238CE" w:rsidRPr="00AC0841" w:rsidRDefault="00E238CE" w:rsidP="00C2109F">
      <w:pPr>
        <w:pStyle w:val="Zoznam1"/>
      </w:pPr>
      <w:r w:rsidRPr="00AC0841">
        <w:t>V rámci medzirezortného podprogramu 05T 08 -</w:t>
      </w:r>
      <w:r w:rsidRPr="00AC0841">
        <w:rPr>
          <w:b/>
          <w:bCs/>
        </w:rPr>
        <w:t xml:space="preserve"> Oficiálna rozvojová pomoc</w:t>
      </w:r>
      <w:r w:rsidRPr="00AC0841">
        <w:t xml:space="preserve"> boli v roku 2013 poskytnuté verejným vysokým školám finančné prostriedky v objeme</w:t>
      </w:r>
      <w:r w:rsidRPr="00AC0841">
        <w:rPr>
          <w:b/>
        </w:rPr>
        <w:t xml:space="preserve"> 1 857 934 €</w:t>
      </w:r>
      <w:r w:rsidRPr="00AC0841">
        <w:t xml:space="preserve"> a v podprograme 021 02 03 -</w:t>
      </w:r>
      <w:r w:rsidRPr="00AC0841">
        <w:rPr>
          <w:b/>
        </w:rPr>
        <w:t xml:space="preserve"> Zabezpečenie mobilít a záväzkov v oblasti vzdelávania</w:t>
      </w:r>
      <w:r w:rsidRPr="00AC0841">
        <w:t xml:space="preserve"> v objeme</w:t>
      </w:r>
      <w:r w:rsidRPr="00AC0841">
        <w:rPr>
          <w:b/>
        </w:rPr>
        <w:t xml:space="preserve"> 786 288 €.</w:t>
      </w:r>
    </w:p>
    <w:p w:rsidR="00E238CE" w:rsidRPr="00AC0841" w:rsidRDefault="00E238CE" w:rsidP="00C2109F">
      <w:pPr>
        <w:pStyle w:val="Zoznam1"/>
      </w:pPr>
      <w:r w:rsidRPr="00AC0841">
        <w:t xml:space="preserve">Okrem uvedeného získali v roku 2014 verejné vysoké školy finančné prostriedky na projektoch podporovaných </w:t>
      </w:r>
      <w:r w:rsidRPr="00AC0841">
        <w:rPr>
          <w:b/>
          <w:bCs/>
        </w:rPr>
        <w:t>z Európskej únie</w:t>
      </w:r>
      <w:r w:rsidRPr="00AC0841">
        <w:t xml:space="preserve"> (v Operačnom programe Vzdelávanie a v Operačnom programe Výskum a vývoj) v objeme </w:t>
      </w:r>
      <w:r w:rsidRPr="00AC0841">
        <w:rPr>
          <w:b/>
        </w:rPr>
        <w:t>34 361 169</w:t>
      </w:r>
      <w:r w:rsidRPr="00AC0841">
        <w:t xml:space="preserve"> </w:t>
      </w:r>
      <w:r w:rsidRPr="00AC0841">
        <w:rPr>
          <w:b/>
        </w:rPr>
        <w:t>€</w:t>
      </w:r>
      <w:r w:rsidRPr="00AC0841">
        <w:t xml:space="preserve">. </w:t>
      </w:r>
    </w:p>
    <w:p w:rsidR="00E238CE" w:rsidRPr="00AC0841" w:rsidRDefault="00E238CE" w:rsidP="00C2109F">
      <w:pPr>
        <w:pStyle w:val="Zoznam1"/>
      </w:pPr>
      <w:r w:rsidRPr="00AC0841">
        <w:t xml:space="preserve">Dotácie v programe </w:t>
      </w:r>
      <w:r w:rsidRPr="00AC0841">
        <w:rPr>
          <w:b/>
          <w:bCs/>
          <w:i/>
          <w:iCs/>
        </w:rPr>
        <w:t>077 - Vysokoškolské vzdelávanie a veda, sociálna podpora študentov vysokých škôl</w:t>
      </w:r>
      <w:r w:rsidRPr="00AC0841">
        <w:t xml:space="preserve"> boli rozdelené verejným vysokým školám v súlade s programovou štruktúrou do podprogramov a prvkov nasledovne: </w:t>
      </w:r>
    </w:p>
    <w:p w:rsidR="00E238CE" w:rsidRPr="00AC0841" w:rsidRDefault="00E238CE" w:rsidP="00E238CE">
      <w:pPr>
        <w:numPr>
          <w:ilvl w:val="1"/>
          <w:numId w:val="2"/>
        </w:numPr>
        <w:spacing w:after="120"/>
        <w:jc w:val="both"/>
      </w:pPr>
      <w:r w:rsidRPr="00AC0841">
        <w:t xml:space="preserve">podprogram </w:t>
      </w:r>
      <w:r w:rsidRPr="00AC0841">
        <w:rPr>
          <w:i/>
          <w:iCs/>
        </w:rPr>
        <w:t>077 11 – Poskytovanie vysokoškolského vzdelávania a zabezpečenie prevádzky vysokých škôl</w:t>
      </w:r>
      <w:r w:rsidRPr="00AC0841">
        <w:t xml:space="preserve"> – </w:t>
      </w:r>
      <w:r w:rsidRPr="00AC0841">
        <w:rPr>
          <w:b/>
        </w:rPr>
        <w:t>242 049 302 €</w:t>
      </w:r>
      <w:r w:rsidRPr="00AC0841">
        <w:t xml:space="preserve"> (BD 234 549 302 €, KD 7 500 000 €), </w:t>
      </w:r>
    </w:p>
    <w:p w:rsidR="00E238CE" w:rsidRPr="00AC0841" w:rsidRDefault="00E238CE" w:rsidP="00E238CE">
      <w:pPr>
        <w:numPr>
          <w:ilvl w:val="1"/>
          <w:numId w:val="2"/>
        </w:numPr>
        <w:spacing w:after="120"/>
        <w:jc w:val="both"/>
      </w:pPr>
      <w:r w:rsidRPr="00AC0841">
        <w:t xml:space="preserve">podprogram </w:t>
      </w:r>
      <w:r w:rsidRPr="00AC0841">
        <w:rPr>
          <w:i/>
          <w:iCs/>
        </w:rPr>
        <w:t>077 12 – Vysokoškolská veda a technika</w:t>
      </w:r>
      <w:r w:rsidRPr="00AC0841">
        <w:rPr>
          <w:b/>
          <w:bCs/>
        </w:rPr>
        <w:t xml:space="preserve"> –</w:t>
      </w:r>
      <w:r w:rsidRPr="00AC0841">
        <w:t xml:space="preserve"> </w:t>
      </w:r>
      <w:r w:rsidRPr="00AC0841">
        <w:rPr>
          <w:b/>
        </w:rPr>
        <w:t>143 113 463 €</w:t>
      </w:r>
      <w:r w:rsidRPr="00AC0841">
        <w:t xml:space="preserve"> (BD 143 113 463 €, KD 0 €). V tom:</w:t>
      </w:r>
    </w:p>
    <w:p w:rsidR="00E238CE" w:rsidRPr="00AC0841" w:rsidRDefault="00E238CE" w:rsidP="00E238CE">
      <w:pPr>
        <w:numPr>
          <w:ilvl w:val="2"/>
          <w:numId w:val="2"/>
        </w:numPr>
        <w:spacing w:after="120"/>
        <w:jc w:val="both"/>
      </w:pPr>
      <w:r w:rsidRPr="00AC0841">
        <w:t xml:space="preserve">prvok </w:t>
      </w:r>
      <w:r w:rsidRPr="00AC0841">
        <w:rPr>
          <w:i/>
          <w:iCs/>
        </w:rPr>
        <w:t>077 12 01 – Prevádzka a rozvoj infraštruktúry pre výskum a vývoj</w:t>
      </w:r>
      <w:r w:rsidRPr="00AC0841">
        <w:t xml:space="preserve"> – </w:t>
      </w:r>
      <w:r w:rsidRPr="00AC0841">
        <w:rPr>
          <w:b/>
        </w:rPr>
        <w:t xml:space="preserve">131 213 463 € </w:t>
      </w:r>
      <w:r w:rsidRPr="00AC0841">
        <w:t>(BD 131 213 463 €, KD 0 €),</w:t>
      </w:r>
    </w:p>
    <w:p w:rsidR="00E238CE" w:rsidRPr="00AC0841" w:rsidRDefault="00E238CE" w:rsidP="00E238CE">
      <w:pPr>
        <w:numPr>
          <w:ilvl w:val="2"/>
          <w:numId w:val="2"/>
        </w:numPr>
        <w:spacing w:after="120"/>
        <w:jc w:val="both"/>
      </w:pPr>
      <w:r w:rsidRPr="00AC0841">
        <w:t xml:space="preserve">prvok </w:t>
      </w:r>
      <w:r w:rsidRPr="00AC0841">
        <w:rPr>
          <w:i/>
          <w:iCs/>
        </w:rPr>
        <w:t>077 12 02 – Úlohy základného výskumu na vysokých školách iniciované riešiteľmi (VEGA)</w:t>
      </w:r>
      <w:r w:rsidRPr="00AC0841">
        <w:t xml:space="preserve"> – </w:t>
      </w:r>
      <w:r w:rsidRPr="00AC0841">
        <w:rPr>
          <w:b/>
        </w:rPr>
        <w:t>9 400 000 €</w:t>
      </w:r>
      <w:r w:rsidRPr="00AC0841">
        <w:t xml:space="preserve"> (</w:t>
      </w:r>
      <w:r w:rsidRPr="00AC0841">
        <w:rPr>
          <w:i/>
        </w:rPr>
        <w:t>vrátane dotácie pre MLC</w:t>
      </w:r>
      <w:r w:rsidRPr="00AC0841">
        <w:t>) (BD 9 400 000 €, KD 0 €),</w:t>
      </w:r>
    </w:p>
    <w:p w:rsidR="00E238CE" w:rsidRPr="00AC0841" w:rsidRDefault="00E238CE" w:rsidP="00E238CE">
      <w:pPr>
        <w:numPr>
          <w:ilvl w:val="2"/>
          <w:numId w:val="2"/>
        </w:numPr>
        <w:spacing w:after="120"/>
        <w:jc w:val="both"/>
      </w:pPr>
      <w:r w:rsidRPr="00AC0841">
        <w:lastRenderedPageBreak/>
        <w:t xml:space="preserve">prvok </w:t>
      </w:r>
      <w:r w:rsidRPr="00AC0841">
        <w:rPr>
          <w:i/>
          <w:iCs/>
        </w:rPr>
        <w:t>077 12 03 – Aplikovaný výskum na vysokých školách pre potreby praxe</w:t>
      </w:r>
      <w:r w:rsidRPr="00AC0841">
        <w:t xml:space="preserve"> – </w:t>
      </w:r>
      <w:r w:rsidRPr="00AC0841">
        <w:rPr>
          <w:b/>
        </w:rPr>
        <w:t>0 €</w:t>
      </w:r>
      <w:r w:rsidRPr="00AC0841">
        <w:t xml:space="preserve"> (BD 0 €, KD 0 €),</w:t>
      </w:r>
    </w:p>
    <w:p w:rsidR="00E238CE" w:rsidRPr="00AC0841" w:rsidRDefault="00E238CE" w:rsidP="00E238CE">
      <w:pPr>
        <w:numPr>
          <w:ilvl w:val="2"/>
          <w:numId w:val="2"/>
        </w:numPr>
        <w:spacing w:after="120"/>
        <w:jc w:val="both"/>
      </w:pPr>
      <w:r w:rsidRPr="00AC0841">
        <w:t xml:space="preserve">prvok </w:t>
      </w:r>
      <w:r w:rsidRPr="00AC0841">
        <w:rPr>
          <w:i/>
          <w:iCs/>
        </w:rPr>
        <w:t>077 12 04 – Medzinárodná vedecká a vedecko-technická spolupráca vysokých škôl</w:t>
      </w:r>
      <w:r w:rsidRPr="00AC0841">
        <w:t xml:space="preserve"> – </w:t>
      </w:r>
      <w:r w:rsidRPr="00AC0841">
        <w:rPr>
          <w:b/>
        </w:rPr>
        <w:t>0 €</w:t>
      </w:r>
      <w:r w:rsidRPr="00AC0841">
        <w:t xml:space="preserve"> (BD 0 €, KD 0 €),</w:t>
      </w:r>
    </w:p>
    <w:p w:rsidR="00E238CE" w:rsidRPr="00AC0841" w:rsidRDefault="00E238CE" w:rsidP="00E238CE">
      <w:pPr>
        <w:numPr>
          <w:ilvl w:val="2"/>
          <w:numId w:val="2"/>
        </w:numPr>
        <w:spacing w:after="120"/>
        <w:jc w:val="both"/>
      </w:pPr>
      <w:r w:rsidRPr="00AC0841">
        <w:t xml:space="preserve">prvok </w:t>
      </w:r>
      <w:r w:rsidRPr="00AC0841">
        <w:rPr>
          <w:i/>
          <w:iCs/>
        </w:rPr>
        <w:t>077 12 05 – Úlohy výskumu a vývoja na vysokých školách pre rozvoj školstva v stanovených oblastiach iniciované riešiteľmi (KEGA)</w:t>
      </w:r>
      <w:r w:rsidRPr="00AC0841">
        <w:t xml:space="preserve"> – </w:t>
      </w:r>
      <w:r w:rsidRPr="00AC0841">
        <w:rPr>
          <w:b/>
        </w:rPr>
        <w:t>2 500 000 €</w:t>
      </w:r>
      <w:r w:rsidRPr="00AC0841">
        <w:t xml:space="preserve"> (BD 2 500 000 €, KD 0 €),</w:t>
      </w:r>
    </w:p>
    <w:p w:rsidR="00E238CE" w:rsidRPr="00AC0841" w:rsidRDefault="00E238CE" w:rsidP="00E238CE">
      <w:pPr>
        <w:numPr>
          <w:ilvl w:val="1"/>
          <w:numId w:val="2"/>
        </w:numPr>
        <w:spacing w:after="120"/>
        <w:jc w:val="both"/>
      </w:pPr>
      <w:r w:rsidRPr="00AC0841">
        <w:t xml:space="preserve">program </w:t>
      </w:r>
      <w:r w:rsidRPr="00AC0841">
        <w:rPr>
          <w:i/>
          <w:iCs/>
        </w:rPr>
        <w:t>077 13 – Rozvoj vysokého  školstva</w:t>
      </w:r>
      <w:r w:rsidRPr="00AC0841">
        <w:t xml:space="preserve"> – </w:t>
      </w:r>
      <w:r w:rsidRPr="00AC0841">
        <w:rPr>
          <w:b/>
        </w:rPr>
        <w:t>2 287 316 €</w:t>
      </w:r>
      <w:r w:rsidRPr="00AC0841">
        <w:t xml:space="preserve"> (BD 992 400 €, KD 1 294 916 €,),</w:t>
      </w:r>
    </w:p>
    <w:p w:rsidR="00E238CE" w:rsidRPr="00AC0841" w:rsidRDefault="00E238CE" w:rsidP="00E238CE">
      <w:pPr>
        <w:numPr>
          <w:ilvl w:val="1"/>
          <w:numId w:val="2"/>
        </w:numPr>
        <w:spacing w:after="120"/>
        <w:jc w:val="both"/>
      </w:pPr>
      <w:r w:rsidRPr="00AC0841">
        <w:t xml:space="preserve">podprogram </w:t>
      </w:r>
      <w:r w:rsidRPr="00AC0841">
        <w:rPr>
          <w:i/>
          <w:iCs/>
        </w:rPr>
        <w:t>077 15 – Sociálna podpora študentov vysokých škôl</w:t>
      </w:r>
      <w:r w:rsidRPr="00AC0841">
        <w:t xml:space="preserve"> – </w:t>
      </w:r>
      <w:r w:rsidRPr="00AC0841">
        <w:rPr>
          <w:b/>
        </w:rPr>
        <w:t>54 846 900</w:t>
      </w:r>
      <w:r w:rsidRPr="00AC0841">
        <w:t xml:space="preserve"> </w:t>
      </w:r>
      <w:r w:rsidRPr="00AC0841">
        <w:rPr>
          <w:b/>
        </w:rPr>
        <w:t>€</w:t>
      </w:r>
      <w:r w:rsidRPr="00AC0841">
        <w:t xml:space="preserve"> (BD 54 846 900 €),</w:t>
      </w:r>
    </w:p>
    <w:p w:rsidR="00E238CE" w:rsidRPr="00AC0841" w:rsidRDefault="00E238CE" w:rsidP="00E238CE">
      <w:pPr>
        <w:numPr>
          <w:ilvl w:val="2"/>
          <w:numId w:val="2"/>
        </w:numPr>
        <w:spacing w:after="120"/>
        <w:jc w:val="both"/>
      </w:pPr>
      <w:r w:rsidRPr="00AC0841">
        <w:t xml:space="preserve">prvok </w:t>
      </w:r>
      <w:r w:rsidRPr="00AC0841">
        <w:rPr>
          <w:i/>
          <w:iCs/>
        </w:rPr>
        <w:t xml:space="preserve">077 15 01 – Sociálne štipendiá </w:t>
      </w:r>
      <w:r w:rsidRPr="00AC0841">
        <w:t>–</w:t>
      </w:r>
      <w:r w:rsidRPr="00AC0841">
        <w:rPr>
          <w:b/>
        </w:rPr>
        <w:t>23 448 800 €</w:t>
      </w:r>
      <w:r w:rsidRPr="00AC0841">
        <w:t xml:space="preserve"> (BD 23 448 800 €),</w:t>
      </w:r>
    </w:p>
    <w:p w:rsidR="00E238CE" w:rsidRPr="00AC0841" w:rsidRDefault="00E238CE" w:rsidP="00E238CE">
      <w:pPr>
        <w:numPr>
          <w:ilvl w:val="2"/>
          <w:numId w:val="2"/>
        </w:numPr>
        <w:spacing w:after="120"/>
        <w:jc w:val="both"/>
      </w:pPr>
      <w:r w:rsidRPr="00AC0841">
        <w:t xml:space="preserve">prvok </w:t>
      </w:r>
      <w:r w:rsidRPr="00AC0841">
        <w:rPr>
          <w:i/>
          <w:iCs/>
        </w:rPr>
        <w:t xml:space="preserve">077 15 02 – Motivačné  štipendiá </w:t>
      </w:r>
      <w:r w:rsidRPr="00AC0841">
        <w:t xml:space="preserve">– </w:t>
      </w:r>
      <w:r w:rsidRPr="00931B0F">
        <w:rPr>
          <w:b/>
        </w:rPr>
        <w:t>8 878 115</w:t>
      </w:r>
      <w:r w:rsidRPr="00AC0841">
        <w:rPr>
          <w:b/>
        </w:rPr>
        <w:t xml:space="preserve"> €</w:t>
      </w:r>
      <w:r w:rsidRPr="00AC0841">
        <w:t xml:space="preserve"> (BD 8 878 115 €),</w:t>
      </w:r>
    </w:p>
    <w:p w:rsidR="00E238CE" w:rsidRPr="00AC0841" w:rsidRDefault="00E238CE" w:rsidP="00E238CE">
      <w:pPr>
        <w:numPr>
          <w:ilvl w:val="2"/>
          <w:numId w:val="2"/>
        </w:numPr>
        <w:spacing w:after="120"/>
        <w:jc w:val="both"/>
      </w:pPr>
      <w:r w:rsidRPr="00AC0841">
        <w:t xml:space="preserve"> prvok </w:t>
      </w:r>
      <w:r w:rsidRPr="00AC0841">
        <w:rPr>
          <w:i/>
          <w:iCs/>
        </w:rPr>
        <w:t>077 15 03 – Podpora stravovania, ubytovania, športových a kultúrnych aktivít študentov a pastoračných centier</w:t>
      </w:r>
      <w:r w:rsidRPr="00AC0841">
        <w:t xml:space="preserve"> – </w:t>
      </w:r>
      <w:r w:rsidRPr="00AC0841">
        <w:rPr>
          <w:b/>
        </w:rPr>
        <w:t>22 519 985 €</w:t>
      </w:r>
      <w:r w:rsidRPr="00AC0841">
        <w:t xml:space="preserve"> (BD 22 519 985 €).</w:t>
      </w:r>
    </w:p>
    <w:p w:rsidR="006773CA" w:rsidRPr="00AC0841" w:rsidRDefault="006773CA" w:rsidP="006773CA">
      <w:pPr>
        <w:pStyle w:val="Nadpis4"/>
        <w:rPr>
          <w:lang w:val="sk-SK"/>
        </w:rPr>
      </w:pPr>
      <w:bookmarkStart w:id="74" w:name="_Toc334996775"/>
      <w:bookmarkStart w:id="75" w:name="_Toc427750189"/>
      <w:r w:rsidRPr="00AC0841">
        <w:rPr>
          <w:lang w:val="sk-SK"/>
        </w:rPr>
        <w:t>Spôsob rozdelenia dotácií zo štátneho rozpočtu verejným vysokým školám</w:t>
      </w:r>
      <w:bookmarkEnd w:id="74"/>
      <w:bookmarkEnd w:id="75"/>
    </w:p>
    <w:p w:rsidR="00E238CE" w:rsidRPr="00AC0841" w:rsidRDefault="00E238CE" w:rsidP="00C2109F">
      <w:pPr>
        <w:pStyle w:val="Zoznam1"/>
      </w:pPr>
      <w:r w:rsidRPr="00AC0841">
        <w:t>Na základe ustanovenia § 89 ods. 2 zákona pozostáva finančná podpora zo štátneho rozpočtu pre verejnú vysokú školu z nasledovných štyroch dotácií poskytovaných na základe zmluvy:</w:t>
      </w:r>
    </w:p>
    <w:p w:rsidR="00E238CE" w:rsidRPr="00AC0841" w:rsidRDefault="00E238CE" w:rsidP="00E238CE">
      <w:pPr>
        <w:numPr>
          <w:ilvl w:val="1"/>
          <w:numId w:val="2"/>
        </w:numPr>
        <w:spacing w:after="120"/>
        <w:jc w:val="both"/>
      </w:pPr>
      <w:r w:rsidRPr="00AC0841">
        <w:t xml:space="preserve">dotácia na uskutočňovanie akreditovaných študijných programov, </w:t>
      </w:r>
    </w:p>
    <w:p w:rsidR="00E238CE" w:rsidRPr="00AC0841" w:rsidRDefault="00E238CE" w:rsidP="00E238CE">
      <w:pPr>
        <w:numPr>
          <w:ilvl w:val="1"/>
          <w:numId w:val="2"/>
        </w:numPr>
        <w:spacing w:after="120"/>
        <w:jc w:val="both"/>
      </w:pPr>
      <w:r w:rsidRPr="00AC0841">
        <w:t>dotácia na výskumnú, vývojovú alebo umeleckú činnosť,</w:t>
      </w:r>
    </w:p>
    <w:p w:rsidR="00E238CE" w:rsidRPr="00AC0841" w:rsidRDefault="00E238CE" w:rsidP="00E238CE">
      <w:pPr>
        <w:numPr>
          <w:ilvl w:val="1"/>
          <w:numId w:val="2"/>
        </w:numPr>
        <w:spacing w:after="120"/>
        <w:jc w:val="both"/>
      </w:pPr>
      <w:r w:rsidRPr="00AC0841">
        <w:t>dotácia na rozvoj vysokej školy,</w:t>
      </w:r>
    </w:p>
    <w:p w:rsidR="00E238CE" w:rsidRPr="00AC0841" w:rsidRDefault="00E238CE" w:rsidP="00E238CE">
      <w:pPr>
        <w:numPr>
          <w:ilvl w:val="1"/>
          <w:numId w:val="2"/>
        </w:numPr>
        <w:spacing w:after="120"/>
        <w:jc w:val="both"/>
      </w:pPr>
      <w:r w:rsidRPr="00AC0841">
        <w:t>dotácia na sociálnu podporu študentov.</w:t>
      </w:r>
    </w:p>
    <w:p w:rsidR="00E238CE" w:rsidRPr="00AC0841" w:rsidRDefault="00E238CE" w:rsidP="00E238CE">
      <w:pPr>
        <w:spacing w:after="120"/>
        <w:jc w:val="both"/>
      </w:pPr>
      <w:r w:rsidRPr="00AC0841">
        <w:t>Určenie výšky dotácií pre jednotlivé verejné vysoké školy sa uskutočňuje podľa každoročne aktualizovanej metodiky</w:t>
      </w:r>
      <w:r w:rsidRPr="00AC0841">
        <w:rPr>
          <w:b/>
          <w:bCs/>
        </w:rPr>
        <w:t xml:space="preserve"> </w:t>
      </w:r>
      <w:r w:rsidRPr="00AC0841">
        <w:t xml:space="preserve">rozpisu dotácií zo štátneho rozpočtu verejným vysokým školám, do ktorej ministerstvo v súlade so zákonom premieta ekonomické nástroje na podporu plnenia cieľov vlády v oblasti vysokého školstva. </w:t>
      </w:r>
    </w:p>
    <w:p w:rsidR="00E238CE" w:rsidRPr="00AC0841" w:rsidRDefault="00E238CE" w:rsidP="00C2109F">
      <w:pPr>
        <w:pStyle w:val="Zoznam1"/>
      </w:pPr>
      <w:r w:rsidRPr="00AC0841">
        <w:t xml:space="preserve">Dotácia na uskutočňovanie akreditovaných študijných programov bola rozpočtovaná v podprograme </w:t>
      </w:r>
      <w:r w:rsidRPr="00AC0841">
        <w:rPr>
          <w:i/>
          <w:iCs/>
        </w:rPr>
        <w:t>077 11 – Poskytovanie vysokoškolského vzdelávania a zabezpečenie prevádzky vysokých škôl</w:t>
      </w:r>
      <w:r w:rsidRPr="00AC0841">
        <w:rPr>
          <w:b/>
          <w:bCs/>
          <w:i/>
          <w:iCs/>
        </w:rPr>
        <w:t>.</w:t>
      </w:r>
      <w:r w:rsidRPr="00AC0841">
        <w:rPr>
          <w:b/>
          <w:bCs/>
        </w:rPr>
        <w:t xml:space="preserve"> </w:t>
      </w:r>
      <w:r w:rsidRPr="00AC0841">
        <w:t>Prostredníctvom dotácie na uskutočňovanie akreditovaných študijných programov získava vysoká škola hlavnú časť finančných prostriedkov zo štátneho rozpočtu vrátane finančných prostriedkov na prevádzku a na krytie odpisov.</w:t>
      </w:r>
    </w:p>
    <w:p w:rsidR="00E238CE" w:rsidRPr="00AC0841" w:rsidRDefault="00E238CE" w:rsidP="00C2109F">
      <w:pPr>
        <w:pStyle w:val="Zoznam1"/>
      </w:pPr>
      <w:r w:rsidRPr="00AC0841">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a kvalita vyjadrená kvalifikačnou štruktúrou vysokoškolských učiteľov a publikačnými resp. umeleckými aktivitami vysokej školy. </w:t>
      </w:r>
    </w:p>
    <w:p w:rsidR="00E238CE" w:rsidRPr="00AC0841" w:rsidRDefault="00E238CE" w:rsidP="00C2109F">
      <w:pPr>
        <w:pStyle w:val="Zoznam1"/>
      </w:pPr>
      <w:r w:rsidRPr="00AC0841">
        <w:t>Na účely stanovenia výšky bežnej dotácie</w:t>
      </w:r>
      <w:r w:rsidRPr="00AC0841">
        <w:rPr>
          <w:b/>
          <w:bCs/>
        </w:rPr>
        <w:t xml:space="preserve"> na uskutočňovanie akreditovaných študijných programov</w:t>
      </w:r>
      <w:r w:rsidRPr="00AC0841">
        <w:t xml:space="preserve"> pre jednotlivé vysoké školy na úrovni ministerstva sa predpokladá jej nasledovná vnútorná štruktúra:</w:t>
      </w:r>
    </w:p>
    <w:p w:rsidR="00E238CE" w:rsidRPr="00AC0841" w:rsidRDefault="00E238CE" w:rsidP="00E238CE">
      <w:pPr>
        <w:pStyle w:val="Pta"/>
        <w:numPr>
          <w:ilvl w:val="1"/>
          <w:numId w:val="2"/>
        </w:numPr>
        <w:tabs>
          <w:tab w:val="clear" w:pos="4536"/>
          <w:tab w:val="clear" w:pos="9072"/>
        </w:tabs>
        <w:spacing w:after="120"/>
        <w:jc w:val="both"/>
      </w:pPr>
      <w:r w:rsidRPr="00AC0841">
        <w:t>dotácia na mzdy a odvody do poistných fondov,</w:t>
      </w:r>
    </w:p>
    <w:p w:rsidR="00E238CE" w:rsidRPr="00AC0841" w:rsidRDefault="00E238CE" w:rsidP="00E238CE">
      <w:pPr>
        <w:pStyle w:val="Pta"/>
        <w:numPr>
          <w:ilvl w:val="1"/>
          <w:numId w:val="2"/>
        </w:numPr>
        <w:tabs>
          <w:tab w:val="clear" w:pos="4536"/>
          <w:tab w:val="clear" w:pos="9072"/>
        </w:tabs>
        <w:spacing w:after="120"/>
        <w:jc w:val="both"/>
      </w:pPr>
      <w:r w:rsidRPr="00AC0841">
        <w:t>dotácia na tovary a ďalšie služby,</w:t>
      </w:r>
    </w:p>
    <w:p w:rsidR="00E238CE" w:rsidRPr="00AC0841" w:rsidRDefault="00E238CE" w:rsidP="00E238CE">
      <w:pPr>
        <w:pStyle w:val="Pta"/>
        <w:numPr>
          <w:ilvl w:val="1"/>
          <w:numId w:val="2"/>
        </w:numPr>
        <w:tabs>
          <w:tab w:val="clear" w:pos="4536"/>
          <w:tab w:val="clear" w:pos="9072"/>
        </w:tabs>
        <w:spacing w:after="120"/>
        <w:jc w:val="both"/>
      </w:pPr>
      <w:r w:rsidRPr="00AC0841">
        <w:lastRenderedPageBreak/>
        <w:t xml:space="preserve">dotácia na špecifiká </w:t>
      </w:r>
    </w:p>
    <w:p w:rsidR="00E238CE" w:rsidRPr="00AC0841" w:rsidRDefault="00E238CE" w:rsidP="00E238CE">
      <w:pPr>
        <w:pStyle w:val="Pta"/>
        <w:numPr>
          <w:ilvl w:val="1"/>
          <w:numId w:val="2"/>
        </w:numPr>
        <w:tabs>
          <w:tab w:val="clear" w:pos="4536"/>
          <w:tab w:val="clear" w:pos="9072"/>
        </w:tabs>
        <w:spacing w:after="120"/>
        <w:jc w:val="both"/>
      </w:pPr>
      <w:r w:rsidRPr="00AC0841">
        <w:t>dotácia na kapitálové výdavky.</w:t>
      </w:r>
    </w:p>
    <w:p w:rsidR="00E238CE" w:rsidRPr="00AC0841" w:rsidRDefault="00E238CE" w:rsidP="00E238CE">
      <w:pPr>
        <w:spacing w:after="120"/>
        <w:jc w:val="both"/>
      </w:pPr>
      <w:r w:rsidRPr="00AC0841">
        <w:t>Výsledná hodnota bežnej dotácie na uskutočňovanie akreditovaných študijných programov sa vypočíta ako súčet dotácií uvedených v písmenách a) až d).</w:t>
      </w:r>
    </w:p>
    <w:p w:rsidR="00E238CE" w:rsidRPr="00AC0841" w:rsidRDefault="00E238CE" w:rsidP="00C2109F">
      <w:pPr>
        <w:pStyle w:val="Zoznam1"/>
      </w:pPr>
      <w:r w:rsidRPr="00AC0841">
        <w:t xml:space="preserve">Dotácia </w:t>
      </w:r>
      <w:r w:rsidRPr="00AC0841">
        <w:rPr>
          <w:b/>
          <w:bCs/>
        </w:rPr>
        <w:t>na výskumnú, vývojovú alebo umeleckú činnosť</w:t>
      </w:r>
      <w:r w:rsidRPr="00AC0841">
        <w:t xml:space="preserve"> bola rozpočtovaná v rámci podprogramu </w:t>
      </w:r>
      <w:r w:rsidRPr="00AC0841">
        <w:rPr>
          <w:i/>
          <w:iCs/>
        </w:rPr>
        <w:t xml:space="preserve">077 12 – Vysokoškolská veda a technika. </w:t>
      </w:r>
      <w:r w:rsidRPr="00AC0841">
        <w:t xml:space="preserve">Finančné prostriedky </w:t>
      </w:r>
      <w:r w:rsidRPr="00AC0841">
        <w:rPr>
          <w:b/>
          <w:bCs/>
        </w:rPr>
        <w:t>na projekty VEGA a na projekty KEGA</w:t>
      </w:r>
      <w:r w:rsidRPr="00AC0841">
        <w:t xml:space="preserve"> boli prideľované v rámci vnútorného grantového systému ministerstva súťažným spôsobom. Poslednú časť tvorila dotácia </w:t>
      </w:r>
      <w:r w:rsidRPr="00AC0841">
        <w:rPr>
          <w:b/>
          <w:bCs/>
        </w:rPr>
        <w:t>na prevádzku a rozvoj infraštruktúry pre výskum a vývoj.</w:t>
      </w:r>
    </w:p>
    <w:p w:rsidR="00E238CE" w:rsidRPr="00AC0841" w:rsidRDefault="00E238CE" w:rsidP="00C2109F">
      <w:pPr>
        <w:pStyle w:val="Zoznam1"/>
      </w:pPr>
      <w:r w:rsidRPr="00AC0841">
        <w:t xml:space="preserve">Pri určovaní výšky dotácie </w:t>
      </w:r>
      <w:r w:rsidRPr="00AC0841">
        <w:rPr>
          <w:b/>
          <w:bCs/>
        </w:rPr>
        <w:t>na prevádzku a rozvoj infraštruktúry pre výskum a vývoj</w:t>
      </w:r>
      <w:r w:rsidRPr="00AC0841">
        <w:t xml:space="preserve"> pre jednotlivé verejné vysoké školy sa vychádzalo z vymedzenia, na aký účel majú tieto finančné prostriedky slúžiť. Toto vymedzenie je sformulované v opise zodpovedajúceho prvku v rámci podprogramu </w:t>
      </w:r>
      <w:r w:rsidRPr="00AC0841">
        <w:rPr>
          <w:i/>
          <w:iCs/>
        </w:rPr>
        <w:t>077 12 – Vysokoškolská veda a technika</w:t>
      </w:r>
      <w:r w:rsidRPr="00AC0841">
        <w:rPr>
          <w:b/>
          <w:bCs/>
        </w:rPr>
        <w:t xml:space="preserve">. </w:t>
      </w:r>
      <w:r w:rsidRPr="00AC0841">
        <w:t>V nadväznosti na to sa pri rozpise zohľadňovali:</w:t>
      </w:r>
    </w:p>
    <w:p w:rsidR="00E238CE" w:rsidRPr="00AC0841" w:rsidRDefault="00E238CE" w:rsidP="00C2109F">
      <w:pPr>
        <w:pStyle w:val="Zoznam1"/>
        <w:numPr>
          <w:ilvl w:val="0"/>
          <w:numId w:val="17"/>
        </w:numPr>
      </w:pPr>
      <w:r w:rsidRPr="00AC0841">
        <w:t xml:space="preserve">výsledky hodnotenia kvality výskumnej činnosti vysokej školy podľa poslednej komplexnej akreditácie (so zohľadnením priemernej výskumnej kapacity jednotlivých vysokých škôl za hodnotené obdobie) (váha 0,43), </w:t>
      </w:r>
    </w:p>
    <w:p w:rsidR="00E238CE" w:rsidRPr="00AC0841" w:rsidRDefault="00E238CE" w:rsidP="00C2109F">
      <w:pPr>
        <w:pStyle w:val="Zoznam1"/>
        <w:numPr>
          <w:ilvl w:val="0"/>
          <w:numId w:val="17"/>
        </w:numPr>
      </w:pPr>
      <w:r w:rsidRPr="00AC0841">
        <w:t>podiel vysokej školy na objeme finančných prostriedkov získaných v rokoch 2011 a 2012 na výskumné granty zo zahraničia (váha 0,10),</w:t>
      </w:r>
    </w:p>
    <w:p w:rsidR="00E238CE" w:rsidRPr="00AC0841" w:rsidRDefault="00E238CE" w:rsidP="00C2109F">
      <w:pPr>
        <w:pStyle w:val="Zoznam1"/>
        <w:numPr>
          <w:ilvl w:val="0"/>
          <w:numId w:val="17"/>
        </w:numPr>
      </w:pPr>
      <w:r w:rsidRPr="00AC0841">
        <w:t xml:space="preserve">podiel vysokej školy na objeme finančných prostriedkov (bežné transfery) získaných v rokoch 2011 a 2012 na výskumné granty zo štátneho rozpočtu a z iných domácich zdrojov (okrem štátnych programov </w:t>
      </w:r>
      <w:r w:rsidR="00931B0F">
        <w:t xml:space="preserve">a </w:t>
      </w:r>
      <w:r w:rsidRPr="00AC0841">
        <w:t>výskumnej činnosti v rámci podnikateľskej činnosti (váha 0,10)</w:t>
      </w:r>
      <w:r w:rsidR="00931B0F">
        <w:t>)</w:t>
      </w:r>
      <w:r w:rsidRPr="00AC0841">
        <w:t>, </w:t>
      </w:r>
    </w:p>
    <w:p w:rsidR="00E238CE" w:rsidRPr="00AC0841" w:rsidRDefault="00E238CE" w:rsidP="00C2109F">
      <w:pPr>
        <w:pStyle w:val="Zoznam1"/>
        <w:numPr>
          <w:ilvl w:val="0"/>
          <w:numId w:val="17"/>
        </w:numPr>
      </w:pPr>
      <w:r w:rsidRPr="00AC0841">
        <w:t>podiel vysokej školy na objeme finančných prostriedkov (bežné transfery) získaných v roku 2011 a 2012 na výskumné projekty v rámci podnikateľskej činnosti vysokej školy (váha 0,20),</w:t>
      </w:r>
    </w:p>
    <w:p w:rsidR="00E238CE" w:rsidRPr="00AC0841" w:rsidRDefault="00E238CE" w:rsidP="00C2109F">
      <w:pPr>
        <w:pStyle w:val="Zoznam1"/>
        <w:numPr>
          <w:ilvl w:val="0"/>
          <w:numId w:val="17"/>
        </w:numPr>
      </w:pPr>
      <w:r w:rsidRPr="00AC0841">
        <w:rPr>
          <w:iCs/>
        </w:rPr>
        <w:t xml:space="preserve">podiel vysokej školy </w:t>
      </w:r>
      <w:r w:rsidRPr="00AC0841">
        <w:t>na priemernom počte doktorandov v dennej forme doktorandského štúdia po dizertačnej skúške v kalendárnom roku 2012</w:t>
      </w:r>
      <w:r w:rsidR="00F267BD">
        <w:t xml:space="preserve"> </w:t>
      </w:r>
      <w:r w:rsidRPr="00AC0841">
        <w:t>(váha 0,10)</w:t>
      </w:r>
      <w:r w:rsidR="00F267BD">
        <w:t>,</w:t>
      </w:r>
      <w:r w:rsidRPr="00AC0841">
        <w:t xml:space="preserve">  </w:t>
      </w:r>
    </w:p>
    <w:p w:rsidR="00E238CE" w:rsidRPr="00AC0841" w:rsidRDefault="00E238CE" w:rsidP="00C2109F">
      <w:pPr>
        <w:pStyle w:val="Zoznam1"/>
        <w:numPr>
          <w:ilvl w:val="0"/>
          <w:numId w:val="17"/>
        </w:numPr>
      </w:pPr>
      <w:r w:rsidRPr="00AC0841">
        <w:rPr>
          <w:iCs/>
        </w:rPr>
        <w:t>podiel</w:t>
      </w:r>
      <w:r w:rsidRPr="00AC0841">
        <w:t xml:space="preserve"> vysokej školy na publikačnej činnosti podľa odseku </w:t>
      </w:r>
      <w:r w:rsidR="00931B0F">
        <w:t>(</w:t>
      </w:r>
      <w:r w:rsidRPr="00AC0841">
        <w:t>16</w:t>
      </w:r>
      <w:r w:rsidR="00931B0F">
        <w:t>)</w:t>
      </w:r>
      <w:r w:rsidRPr="00AC0841">
        <w:t xml:space="preserve"> a (51) metodiky</w:t>
      </w:r>
      <w:r w:rsidRPr="00AC0841">
        <w:rPr>
          <w:i/>
        </w:rPr>
        <w:t xml:space="preserve"> </w:t>
      </w:r>
      <w:r w:rsidRPr="00AC0841">
        <w:t>(váha 0,225)</w:t>
      </w:r>
      <w:r w:rsidR="00F267BD">
        <w:t xml:space="preserve"> a</w:t>
      </w:r>
    </w:p>
    <w:p w:rsidR="00E238CE" w:rsidRPr="00AC0841" w:rsidRDefault="00E238CE" w:rsidP="00C2109F">
      <w:pPr>
        <w:pStyle w:val="Zoznam1"/>
        <w:numPr>
          <w:ilvl w:val="0"/>
          <w:numId w:val="17"/>
        </w:numPr>
      </w:pPr>
      <w:r w:rsidRPr="00AC0841">
        <w:t>podiel vysokej školy na umeleckej tvorbe podľa odseku (17) (váha 0,025).</w:t>
      </w:r>
    </w:p>
    <w:p w:rsidR="00E238CE" w:rsidRPr="00AC0841" w:rsidRDefault="00E238CE" w:rsidP="00C2109F">
      <w:pPr>
        <w:pStyle w:val="Zoznam1"/>
      </w:pPr>
      <w:r w:rsidRPr="00AC0841">
        <w:t xml:space="preserve">Dotácia </w:t>
      </w:r>
      <w:r w:rsidRPr="00AC0841">
        <w:rPr>
          <w:b/>
          <w:bCs/>
        </w:rPr>
        <w:t>na rozvoj vysokej školy</w:t>
      </w:r>
      <w:r w:rsidRPr="00AC0841">
        <w:t xml:space="preserve"> bola rozpočtovaná v rámci podprogramu </w:t>
      </w:r>
      <w:r w:rsidRPr="00AC0841">
        <w:rPr>
          <w:i/>
          <w:iCs/>
        </w:rPr>
        <w:t>077 13 - Rozvoj vysokého školstva.</w:t>
      </w:r>
      <w:r w:rsidRPr="00AC0841">
        <w:t xml:space="preserve"> V roku 2014 sa táto dotácia použila na centrálne rozvojové projekty a rozvojové projekty vybraných vysokých škôl.</w:t>
      </w:r>
    </w:p>
    <w:p w:rsidR="00E238CE" w:rsidRPr="00AC0841" w:rsidRDefault="00E238CE" w:rsidP="00C2109F">
      <w:pPr>
        <w:pStyle w:val="Zoznam1"/>
      </w:pPr>
      <w:r w:rsidRPr="00AC0841">
        <w:t xml:space="preserve">Dotácia </w:t>
      </w:r>
      <w:r w:rsidRPr="00AC0841">
        <w:rPr>
          <w:b/>
          <w:bCs/>
        </w:rPr>
        <w:t>na sociálnu podporu študentov</w:t>
      </w:r>
      <w:r w:rsidRPr="00AC0841">
        <w:t xml:space="preserve"> bola rozpočtovaná v rámci podprogramu </w:t>
      </w:r>
      <w:r w:rsidRPr="00AC0841">
        <w:rPr>
          <w:i/>
          <w:iCs/>
        </w:rPr>
        <w:t>077 15 – Sociálna podpora študentov vysokých škôl.</w:t>
      </w:r>
      <w:r w:rsidRPr="00AC0841">
        <w:t xml:space="preserve"> V prvku 077 15 01 boli v roku 2014 rozpočtované finančné prostriedky na sociálne štipendiá. Tieto sú </w:t>
      </w:r>
      <w:proofErr w:type="spellStart"/>
      <w:r w:rsidRPr="00AC0841">
        <w:t>nárokovateľné</w:t>
      </w:r>
      <w:proofErr w:type="spellEnd"/>
      <w:r w:rsidRPr="00AC0841">
        <w:t xml:space="preserve"> a verejná vysoká škola ich dostáva v sume podľa zákonných nárokov jej študentov. V prvku 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p>
    <w:p w:rsidR="00DD3A66" w:rsidRPr="00AC0841" w:rsidRDefault="00DD3A66" w:rsidP="00DD3A66">
      <w:pPr>
        <w:pStyle w:val="Nadpis4"/>
        <w:rPr>
          <w:lang w:val="sk-SK"/>
        </w:rPr>
      </w:pPr>
      <w:bookmarkStart w:id="76" w:name="_Toc427750190"/>
      <w:r w:rsidRPr="00AC0841">
        <w:rPr>
          <w:lang w:val="sk-SK"/>
        </w:rPr>
        <w:lastRenderedPageBreak/>
        <w:t>Jednotkové dotácie</w:t>
      </w:r>
      <w:bookmarkEnd w:id="76"/>
    </w:p>
    <w:p w:rsidR="007A0596" w:rsidRPr="00F267BD" w:rsidRDefault="00E238CE" w:rsidP="00C2109F">
      <w:pPr>
        <w:pStyle w:val="Zoznam1"/>
      </w:pPr>
      <w:r w:rsidRPr="00AC0841">
        <w:t>V prípade verejných vysokých šk</w:t>
      </w:r>
      <w:r w:rsidR="00931B0F">
        <w:t>ôl</w:t>
      </w:r>
      <w:r w:rsidRPr="00AC0841">
        <w:t xml:space="preserve"> sa nepoužíva financovanie prostredníctvom normatívov (vopred určená cena na jednotku výkonu), ale spätne z rozpisu dotácií sa dá odvodiť, aká časť dotácie pripadala na jednotku výkonu vysokej školy v jednotlivých oblastiach. V ďalšom texte tak uvádzame vybrané výšky dotácie na vybrané ukazovatele. </w:t>
      </w:r>
      <w:r w:rsidRPr="000C3C98">
        <w:t>Uvádzané sumy vychádzajú z pôvodného rozpisu dotácií zo štátneho rozpočtu pre verejné vysoké školy, a v niektorých prípadoch sú zjednodušené (napr. v prípade dotácie na mzdy a poistné odvodenej od počtu študentov sa nezohľadňuje príspevok študenta pri zohľadňovaní centrálnej administratívy, zohľadnenie študenta ako absolventa</w:t>
      </w:r>
      <w:r w:rsidRPr="00AC0841">
        <w:t xml:space="preserve">, dotácia na špecifiká – praxe a pod.). Uvedené hodnoty sú tak indikatívne. Rovnako je potrebné si uvedomiť, že ak sa daný výkon zohľadňuje vo viacerých rokoch, celkovo prinesie vysokej škole </w:t>
      </w:r>
      <w:r w:rsidRPr="00F267BD">
        <w:t>dotáciu vo viacerých rokoch a nižšie je uvedený len príspevok v dotácií za daný rok</w:t>
      </w:r>
      <w:r w:rsidR="007A0596" w:rsidRPr="00F267BD">
        <w:t>.</w:t>
      </w:r>
    </w:p>
    <w:p w:rsidR="009E6F85" w:rsidRDefault="009E6F85" w:rsidP="00C2109F">
      <w:pPr>
        <w:pStyle w:val="Zoznam1"/>
      </w:pPr>
      <w:r>
        <w:t xml:space="preserve">V rámci dotácie na uskutočňovanie akreditovaných študijných programov dotácia na jedného študenta v študijnom odbore právo v rámci prvého stupňa vysokoškolského vzdelávania predstavovala v roku </w:t>
      </w:r>
      <w:r w:rsidR="008E64C9">
        <w:t>2014 približne 53</w:t>
      </w:r>
      <w:r w:rsidR="00924975">
        <w:t>0 €</w:t>
      </w:r>
      <w:r>
        <w:t xml:space="preserve">. </w:t>
      </w:r>
      <w:r w:rsidR="00924975">
        <w:t>Najvyššia dotácia pripadala v rámci uvedenej dotácie na študenta doktorandského štúdia v lekárskych odboroch, a to takmer 5 970 eur. V dotácii pripadajúcej na jedného študenta sa nezohľadňujú finančné prostriedky účelovo určené na zvýšenie platov zamestnancov verejných vysokých škôl v roku 2014.</w:t>
      </w:r>
    </w:p>
    <w:p w:rsidR="007A0596" w:rsidRPr="00F267BD" w:rsidRDefault="007A0596" w:rsidP="00C2109F">
      <w:pPr>
        <w:pStyle w:val="Zoznam1"/>
      </w:pPr>
      <w:r w:rsidRPr="00F267BD">
        <w:t>Ako je uvedené vyššie, pri rozpise dotácií zo štátneho rozpočtu sa zohľadňujú aj získané granty na výskumnú činnosť vysokých škôl za predchádzajúce dva roky. Za každých takto získaných 1 000 € získali verejné vysoké školy v roku 201</w:t>
      </w:r>
      <w:r w:rsidR="00F267BD" w:rsidRPr="00F267BD">
        <w:t>4</w:t>
      </w:r>
      <w:r w:rsidRPr="00F267BD">
        <w:t>:</w:t>
      </w:r>
    </w:p>
    <w:p w:rsidR="007A0596" w:rsidRPr="00F267BD" w:rsidRDefault="00F267BD" w:rsidP="00F267BD">
      <w:pPr>
        <w:pStyle w:val="Zoznam1"/>
        <w:numPr>
          <w:ilvl w:val="0"/>
          <w:numId w:val="0"/>
        </w:numPr>
      </w:pPr>
      <w:r>
        <w:t xml:space="preserve">a) </w:t>
      </w:r>
      <w:r w:rsidR="007A0596" w:rsidRPr="00F267BD">
        <w:t>ďalších 2</w:t>
      </w:r>
      <w:r w:rsidRPr="00F267BD">
        <w:t>87</w:t>
      </w:r>
      <w:r w:rsidR="007A0596" w:rsidRPr="00F267BD">
        <w:t xml:space="preserve"> € za domáce výskumné granty,</w:t>
      </w:r>
    </w:p>
    <w:p w:rsidR="007A0596" w:rsidRPr="00F267BD" w:rsidRDefault="00F267BD" w:rsidP="00F267BD">
      <w:pPr>
        <w:pStyle w:val="Zoznam1"/>
        <w:numPr>
          <w:ilvl w:val="0"/>
          <w:numId w:val="0"/>
        </w:numPr>
      </w:pPr>
      <w:r>
        <w:t xml:space="preserve">b) </w:t>
      </w:r>
      <w:r w:rsidR="007A0596" w:rsidRPr="00F267BD">
        <w:t xml:space="preserve">ďalších </w:t>
      </w:r>
      <w:r w:rsidRPr="00F267BD">
        <w:t>1 069</w:t>
      </w:r>
      <w:r w:rsidR="007A0596" w:rsidRPr="00F267BD">
        <w:t xml:space="preserve"> € za zahraničné výskumné granty.</w:t>
      </w:r>
    </w:p>
    <w:p w:rsidR="007A0596" w:rsidRPr="00F267BD" w:rsidRDefault="007A0596" w:rsidP="00C2109F">
      <w:pPr>
        <w:pStyle w:val="Zoznam1"/>
      </w:pPr>
      <w:r w:rsidRPr="00F267BD">
        <w:t xml:space="preserve">Pri zohľadňovaní publikačných výstupov sa zohľadňujú </w:t>
      </w:r>
      <w:r w:rsidR="00644847" w:rsidRPr="00F267BD">
        <w:t>publikačné výstupy za dve vykazovacie obdobia, to je dva roky. Publikácie sú rozčlenené do štyroch skupín. Najviac hodnotenými kategóriami publikačných výstupov sú monografie a </w:t>
      </w:r>
      <w:proofErr w:type="spellStart"/>
      <w:r w:rsidR="00644847" w:rsidRPr="00F267BD">
        <w:t>karenty</w:t>
      </w:r>
      <w:proofErr w:type="spellEnd"/>
      <w:r w:rsidR="00644847" w:rsidRPr="00F267BD">
        <w:t>. Dotácia na jeden publikačný výstup</w:t>
      </w:r>
    </w:p>
    <w:p w:rsidR="00644847" w:rsidRPr="00F267BD" w:rsidRDefault="00F267BD" w:rsidP="00F267BD">
      <w:pPr>
        <w:pStyle w:val="Zoznam1"/>
        <w:numPr>
          <w:ilvl w:val="0"/>
          <w:numId w:val="0"/>
        </w:numPr>
      </w:pPr>
      <w:r>
        <w:t xml:space="preserve">a) </w:t>
      </w:r>
      <w:r w:rsidR="00644847" w:rsidRPr="00F267BD">
        <w:t xml:space="preserve">kategórie </w:t>
      </w:r>
      <w:r w:rsidR="00644847" w:rsidRPr="00F267BD">
        <w:rPr>
          <w:b/>
        </w:rPr>
        <w:t>monografia</w:t>
      </w:r>
      <w:r w:rsidR="00644847" w:rsidRPr="00F267BD">
        <w:t xml:space="preserve"> (AAA,AAB) bola </w:t>
      </w:r>
      <w:r>
        <w:rPr>
          <w:b/>
        </w:rPr>
        <w:t>8 064</w:t>
      </w:r>
      <w:r w:rsidR="00644847" w:rsidRPr="00F267BD">
        <w:rPr>
          <w:b/>
        </w:rPr>
        <w:t xml:space="preserve"> €,</w:t>
      </w:r>
    </w:p>
    <w:p w:rsidR="00644847" w:rsidRPr="00F267BD" w:rsidRDefault="00F267BD" w:rsidP="00F267BD">
      <w:pPr>
        <w:pStyle w:val="Zoznam1"/>
        <w:numPr>
          <w:ilvl w:val="0"/>
          <w:numId w:val="0"/>
        </w:numPr>
      </w:pPr>
      <w:r>
        <w:t xml:space="preserve">b) </w:t>
      </w:r>
      <w:r w:rsidR="00644847" w:rsidRPr="00F267BD">
        <w:t xml:space="preserve">kategórie vedecká práca a odborná práca </w:t>
      </w:r>
      <w:r w:rsidR="00644847" w:rsidRPr="00F267BD">
        <w:rPr>
          <w:b/>
        </w:rPr>
        <w:t>v </w:t>
      </w:r>
      <w:proofErr w:type="spellStart"/>
      <w:r w:rsidR="00644847" w:rsidRPr="00F267BD">
        <w:rPr>
          <w:b/>
        </w:rPr>
        <w:t>karentovanom</w:t>
      </w:r>
      <w:proofErr w:type="spellEnd"/>
      <w:r w:rsidR="00644847" w:rsidRPr="00F267BD">
        <w:rPr>
          <w:b/>
        </w:rPr>
        <w:t xml:space="preserve"> časopise</w:t>
      </w:r>
      <w:r w:rsidR="00644847" w:rsidRPr="00F267BD">
        <w:t xml:space="preserve"> (ADC,</w:t>
      </w:r>
      <w:r>
        <w:t xml:space="preserve"> </w:t>
      </w:r>
      <w:r w:rsidR="00644847" w:rsidRPr="00F267BD">
        <w:t>ADD,</w:t>
      </w:r>
      <w:r>
        <w:t xml:space="preserve"> </w:t>
      </w:r>
      <w:r w:rsidR="00644847" w:rsidRPr="00F267BD">
        <w:t>BDC,</w:t>
      </w:r>
      <w:r>
        <w:t xml:space="preserve"> </w:t>
      </w:r>
      <w:r w:rsidR="00644847" w:rsidRPr="00F267BD">
        <w:t xml:space="preserve">BDD) bola </w:t>
      </w:r>
      <w:r>
        <w:rPr>
          <w:b/>
        </w:rPr>
        <w:t>5 055</w:t>
      </w:r>
      <w:r w:rsidR="00644847" w:rsidRPr="00F267BD">
        <w:rPr>
          <w:b/>
        </w:rPr>
        <w:t xml:space="preserve"> €</w:t>
      </w:r>
      <w:r w:rsidR="00644847" w:rsidRPr="00F267BD">
        <w:t>.</w:t>
      </w:r>
    </w:p>
    <w:p w:rsidR="006773CA" w:rsidRPr="00AC0841" w:rsidRDefault="006773CA" w:rsidP="006773CA">
      <w:pPr>
        <w:pStyle w:val="Nadpis3-vavo"/>
        <w:numPr>
          <w:ilvl w:val="2"/>
          <w:numId w:val="1"/>
        </w:numPr>
        <w:ind w:left="0" w:firstLine="0"/>
        <w:jc w:val="both"/>
      </w:pPr>
      <w:bookmarkStart w:id="77" w:name="_Toc334996776"/>
      <w:bookmarkStart w:id="78" w:name="_Toc427750191"/>
      <w:r w:rsidRPr="005E5FF1">
        <w:t xml:space="preserve">2.2 </w:t>
      </w:r>
      <w:r w:rsidRPr="00AC0841">
        <w:t>Výsledky hospodárenia verejných vysokých škôl za rok 201</w:t>
      </w:r>
      <w:bookmarkEnd w:id="77"/>
      <w:r w:rsidR="00917351" w:rsidRPr="00AC0841">
        <w:t>4</w:t>
      </w:r>
      <w:bookmarkEnd w:id="78"/>
    </w:p>
    <w:p w:rsidR="006773CA" w:rsidRPr="00AC0841" w:rsidRDefault="00917351" w:rsidP="00C2109F">
      <w:pPr>
        <w:pStyle w:val="Zoznam1"/>
      </w:pPr>
      <w:r w:rsidRPr="00AC0841">
        <w:t>Údaje prezentované v tejto časti vychádzajú z výročných správ o hospodárení verejných vysokých škôl za rok 2014, ktorých hlavné body predpisuje zákon a podrobnosti určuje ministerstvo. Základom výročnej správy o hospodárení je ročná účtovná závierka obsahujúca súvahu, výkaz ziskov a strát a poznámky</w:t>
      </w:r>
      <w:r w:rsidR="006773CA" w:rsidRPr="00AC0841">
        <w:t xml:space="preserve">. </w:t>
      </w:r>
    </w:p>
    <w:p w:rsidR="006773CA" w:rsidRPr="00AC0841" w:rsidRDefault="006773CA" w:rsidP="006773CA">
      <w:pPr>
        <w:pStyle w:val="Nadpis4"/>
        <w:rPr>
          <w:lang w:val="sk-SK"/>
        </w:rPr>
      </w:pPr>
      <w:bookmarkStart w:id="79" w:name="_Toc334996777"/>
      <w:bookmarkStart w:id="80" w:name="_Toc427750192"/>
      <w:r w:rsidRPr="00AC0841">
        <w:rPr>
          <w:lang w:val="sk-SK"/>
        </w:rPr>
        <w:t>Sumárne údaje zo súvah verejných vysokých škôl k 31. decembru 201</w:t>
      </w:r>
      <w:bookmarkEnd w:id="79"/>
      <w:r w:rsidR="00917351" w:rsidRPr="00AC0841">
        <w:rPr>
          <w:lang w:val="sk-SK"/>
        </w:rPr>
        <w:t>4</w:t>
      </w:r>
      <w:bookmarkEnd w:id="80"/>
    </w:p>
    <w:p w:rsidR="006773CA" w:rsidRPr="00AC0841" w:rsidRDefault="006773CA" w:rsidP="00C2109F">
      <w:pPr>
        <w:pStyle w:val="Zoznam1"/>
      </w:pPr>
      <w:r w:rsidRPr="00AC0841">
        <w:t>Súhrnná súvaha</w:t>
      </w:r>
      <w:r w:rsidRPr="00AC0841">
        <w:rPr>
          <w:rStyle w:val="Odkaznapoznmkupodiarou"/>
        </w:rPr>
        <w:footnoteReference w:id="17"/>
      </w:r>
      <w:r w:rsidR="00020127">
        <w:t xml:space="preserve">) </w:t>
      </w:r>
      <w:r w:rsidRPr="00AC0841">
        <w:t xml:space="preserve">za všetky verejné vysoké školy je </w:t>
      </w:r>
      <w:r w:rsidR="000D1D4E" w:rsidRPr="00AC0841">
        <w:rPr>
          <w:b/>
          <w:bCs/>
        </w:rPr>
        <w:t>v tabuľkách č. 18a a 18</w:t>
      </w:r>
      <w:r w:rsidRPr="00AC0841">
        <w:rPr>
          <w:b/>
          <w:bCs/>
        </w:rPr>
        <w:t>b</w:t>
      </w:r>
      <w:r w:rsidR="00A40C08" w:rsidRPr="00AC0841">
        <w:rPr>
          <w:b/>
          <w:bCs/>
        </w:rPr>
        <w:t>.</w:t>
      </w:r>
    </w:p>
    <w:p w:rsidR="00917351" w:rsidRPr="00AC0841" w:rsidRDefault="00917351" w:rsidP="00C2109F">
      <w:pPr>
        <w:pStyle w:val="Zoznam1"/>
      </w:pPr>
      <w:r w:rsidRPr="00AC0841">
        <w:rPr>
          <w:b/>
          <w:bCs/>
        </w:rPr>
        <w:t>Celková suma aktív</w:t>
      </w:r>
      <w:r w:rsidRPr="00AC0841">
        <w:t xml:space="preserve"> verejných vysokých škôl k 31. decembru 2014 predstavuje čiastku </w:t>
      </w:r>
      <w:r w:rsidRPr="00AC0841">
        <w:rPr>
          <w:b/>
        </w:rPr>
        <w:t>1 402 362 303 €</w:t>
      </w:r>
      <w:r w:rsidRPr="00AC0841">
        <w:t>. V rámci tejto čiastky vykázali vysoké školy:</w:t>
      </w:r>
    </w:p>
    <w:p w:rsidR="00917351" w:rsidRPr="00AC0841" w:rsidRDefault="00917351" w:rsidP="00917351">
      <w:pPr>
        <w:numPr>
          <w:ilvl w:val="0"/>
          <w:numId w:val="3"/>
        </w:numPr>
        <w:tabs>
          <w:tab w:val="right" w:pos="8789"/>
        </w:tabs>
        <w:autoSpaceDE w:val="0"/>
        <w:autoSpaceDN w:val="0"/>
        <w:ind w:left="1077" w:hanging="357"/>
      </w:pPr>
      <w:r w:rsidRPr="00AC0841">
        <w:t>dlhodobý nehmotný majetok</w:t>
      </w:r>
      <w:r w:rsidRPr="00AC0841">
        <w:tab/>
        <w:t>18 865 tis. €</w:t>
      </w:r>
    </w:p>
    <w:p w:rsidR="00917351" w:rsidRPr="00AC0841" w:rsidRDefault="00917351" w:rsidP="00917351">
      <w:pPr>
        <w:numPr>
          <w:ilvl w:val="0"/>
          <w:numId w:val="3"/>
        </w:numPr>
        <w:tabs>
          <w:tab w:val="right" w:pos="8789"/>
        </w:tabs>
        <w:autoSpaceDE w:val="0"/>
        <w:autoSpaceDN w:val="0"/>
        <w:ind w:left="1077" w:hanging="357"/>
      </w:pPr>
      <w:r w:rsidRPr="00AC0841">
        <w:t xml:space="preserve">dlhodobý hmotný majetok </w:t>
      </w:r>
      <w:r w:rsidRPr="00AC0841">
        <w:tab/>
        <w:t>1 010 585 tis. €</w:t>
      </w:r>
    </w:p>
    <w:p w:rsidR="00917351" w:rsidRPr="00AC0841" w:rsidRDefault="00917351" w:rsidP="00917351">
      <w:pPr>
        <w:numPr>
          <w:ilvl w:val="0"/>
          <w:numId w:val="3"/>
        </w:numPr>
        <w:tabs>
          <w:tab w:val="right" w:pos="8789"/>
        </w:tabs>
        <w:autoSpaceDE w:val="0"/>
        <w:autoSpaceDN w:val="0"/>
        <w:ind w:left="1077" w:hanging="357"/>
      </w:pPr>
      <w:r w:rsidRPr="00AC0841">
        <w:lastRenderedPageBreak/>
        <w:t>dlhodobý finančný majetok</w:t>
      </w:r>
      <w:r w:rsidRPr="00AC0841">
        <w:tab/>
        <w:t>5 493 tis. €</w:t>
      </w:r>
    </w:p>
    <w:p w:rsidR="00917351" w:rsidRPr="00AC0841" w:rsidRDefault="00917351" w:rsidP="00917351">
      <w:pPr>
        <w:numPr>
          <w:ilvl w:val="0"/>
          <w:numId w:val="3"/>
        </w:numPr>
        <w:tabs>
          <w:tab w:val="right" w:pos="8789"/>
        </w:tabs>
        <w:autoSpaceDE w:val="0"/>
        <w:autoSpaceDN w:val="0"/>
        <w:ind w:left="1077" w:hanging="357"/>
      </w:pPr>
      <w:r w:rsidRPr="00AC0841">
        <w:t>zásoby</w:t>
      </w:r>
      <w:r w:rsidRPr="00AC0841">
        <w:tab/>
        <w:t>4 934 tis. €</w:t>
      </w:r>
    </w:p>
    <w:p w:rsidR="00917351" w:rsidRPr="00AC0841" w:rsidRDefault="00917351" w:rsidP="00917351">
      <w:pPr>
        <w:numPr>
          <w:ilvl w:val="0"/>
          <w:numId w:val="3"/>
        </w:numPr>
        <w:tabs>
          <w:tab w:val="right" w:pos="8789"/>
        </w:tabs>
        <w:autoSpaceDE w:val="0"/>
        <w:autoSpaceDN w:val="0"/>
        <w:ind w:left="1077" w:hanging="357"/>
      </w:pPr>
      <w:r w:rsidRPr="00AC0841">
        <w:t>dlhodobé pohľadávky</w:t>
      </w:r>
      <w:r w:rsidRPr="00AC0841">
        <w:tab/>
        <w:t>973 tis. €</w:t>
      </w:r>
    </w:p>
    <w:p w:rsidR="00917351" w:rsidRPr="00AC0841" w:rsidRDefault="00917351" w:rsidP="00917351">
      <w:pPr>
        <w:numPr>
          <w:ilvl w:val="0"/>
          <w:numId w:val="3"/>
        </w:numPr>
        <w:tabs>
          <w:tab w:val="right" w:pos="8789"/>
        </w:tabs>
        <w:autoSpaceDE w:val="0"/>
        <w:autoSpaceDN w:val="0"/>
        <w:ind w:left="1077" w:hanging="357"/>
      </w:pPr>
      <w:r w:rsidRPr="00AC0841">
        <w:t xml:space="preserve">krátkodobé pohľadávky </w:t>
      </w:r>
      <w:r w:rsidRPr="00AC0841">
        <w:rPr>
          <w:rStyle w:val="Odkaznapoznmkupodiarou"/>
        </w:rPr>
        <w:footnoteReference w:id="18"/>
      </w:r>
      <w:r w:rsidRPr="00AC0841">
        <w:t>)</w:t>
      </w:r>
      <w:r w:rsidRPr="00AC0841">
        <w:tab/>
        <w:t>119 292 tis. €</w:t>
      </w:r>
    </w:p>
    <w:p w:rsidR="00917351" w:rsidRPr="00AC0841" w:rsidRDefault="00917351" w:rsidP="00917351">
      <w:pPr>
        <w:numPr>
          <w:ilvl w:val="0"/>
          <w:numId w:val="3"/>
        </w:numPr>
        <w:tabs>
          <w:tab w:val="right" w:pos="8789"/>
        </w:tabs>
        <w:autoSpaceDE w:val="0"/>
        <w:autoSpaceDN w:val="0"/>
        <w:ind w:left="1077" w:hanging="357"/>
      </w:pPr>
      <w:r w:rsidRPr="00AC0841">
        <w:t>finančné účty</w:t>
      </w:r>
      <w:r w:rsidRPr="00AC0841">
        <w:tab/>
        <w:t>240 588 tis. €</w:t>
      </w:r>
    </w:p>
    <w:p w:rsidR="00917351" w:rsidRPr="00AC0841" w:rsidRDefault="00917351" w:rsidP="00917351">
      <w:pPr>
        <w:numPr>
          <w:ilvl w:val="0"/>
          <w:numId w:val="3"/>
        </w:numPr>
        <w:tabs>
          <w:tab w:val="right" w:pos="8789"/>
        </w:tabs>
        <w:autoSpaceDE w:val="0"/>
        <w:autoSpaceDN w:val="0"/>
        <w:spacing w:after="120"/>
      </w:pPr>
      <w:r w:rsidRPr="00AC0841">
        <w:t>časové rozlíšenie</w:t>
      </w:r>
      <w:r w:rsidRPr="00AC0841">
        <w:tab/>
        <w:t>1 632 tis. €</w:t>
      </w:r>
    </w:p>
    <w:p w:rsidR="00917351" w:rsidRPr="00AC0841" w:rsidRDefault="00917351" w:rsidP="00C2109F">
      <w:pPr>
        <w:pStyle w:val="Zoznam1"/>
      </w:pPr>
      <w:r w:rsidRPr="00AC0841">
        <w:t xml:space="preserve">Hlavnou položkou v rámci </w:t>
      </w:r>
      <w:r w:rsidRPr="00AC0841">
        <w:rPr>
          <w:b/>
          <w:bCs/>
        </w:rPr>
        <w:t xml:space="preserve">dlhodobého nehmotného majetku </w:t>
      </w:r>
      <w:r w:rsidRPr="00AC0841">
        <w:t xml:space="preserve">bol software v sume </w:t>
      </w:r>
      <w:r w:rsidRPr="00AC0841">
        <w:rPr>
          <w:b/>
        </w:rPr>
        <w:t>17 650 tis. €</w:t>
      </w:r>
      <w:r w:rsidRPr="00AC0841">
        <w:rPr>
          <w:b/>
          <w:bCs/>
        </w:rPr>
        <w:t>.</w:t>
      </w:r>
      <w:r w:rsidRPr="00AC0841">
        <w:t xml:space="preserve"> Účtovná hodnota </w:t>
      </w:r>
      <w:r w:rsidRPr="00AC0841">
        <w:rPr>
          <w:b/>
        </w:rPr>
        <w:t>dlhodobého hmotného majetku</w:t>
      </w:r>
      <w:r w:rsidRPr="00AC0841">
        <w:t xml:space="preserve"> verejných vysokých škôl predstavovala k 31. decembru 2014 objem </w:t>
      </w:r>
      <w:r w:rsidRPr="00AC0841">
        <w:rPr>
          <w:b/>
        </w:rPr>
        <w:t>1 010 585 tis. €.</w:t>
      </w:r>
      <w:r w:rsidRPr="00AC0841">
        <w:t xml:space="preserve"> Hlavnými položkami v rámci </w:t>
      </w:r>
      <w:r w:rsidRPr="00AC0841">
        <w:rPr>
          <w:bCs/>
        </w:rPr>
        <w:t>dlhodobého hmotného majetku</w:t>
      </w:r>
      <w:r w:rsidRPr="00AC0841">
        <w:t xml:space="preserve"> boli:</w:t>
      </w:r>
    </w:p>
    <w:p w:rsidR="00917351" w:rsidRPr="00AC0841" w:rsidRDefault="00917351" w:rsidP="00917351">
      <w:pPr>
        <w:numPr>
          <w:ilvl w:val="0"/>
          <w:numId w:val="4"/>
        </w:numPr>
        <w:tabs>
          <w:tab w:val="right" w:pos="8789"/>
        </w:tabs>
        <w:autoSpaceDE w:val="0"/>
        <w:autoSpaceDN w:val="0"/>
        <w:ind w:left="1077" w:hanging="357"/>
      </w:pPr>
      <w:r w:rsidRPr="00AC0841">
        <w:t>pozemky</w:t>
      </w:r>
      <w:r w:rsidRPr="00AC0841">
        <w:tab/>
        <w:t>124 918 tis. €</w:t>
      </w:r>
    </w:p>
    <w:p w:rsidR="00917351" w:rsidRPr="00AC0841" w:rsidRDefault="00917351" w:rsidP="00917351">
      <w:pPr>
        <w:numPr>
          <w:ilvl w:val="0"/>
          <w:numId w:val="4"/>
        </w:numPr>
        <w:tabs>
          <w:tab w:val="right" w:pos="8789"/>
        </w:tabs>
        <w:autoSpaceDE w:val="0"/>
        <w:autoSpaceDN w:val="0"/>
        <w:ind w:left="1077" w:hanging="357"/>
      </w:pPr>
      <w:r w:rsidRPr="00AC0841">
        <w:t>stavby</w:t>
      </w:r>
      <w:bookmarkStart w:id="81" w:name="_GoBack"/>
      <w:bookmarkEnd w:id="81"/>
      <w:r w:rsidRPr="00AC0841">
        <w:tab/>
        <w:t>625 383 tis. €</w:t>
      </w:r>
    </w:p>
    <w:p w:rsidR="00917351" w:rsidRPr="00AC0841" w:rsidRDefault="00917351" w:rsidP="00917351">
      <w:pPr>
        <w:numPr>
          <w:ilvl w:val="0"/>
          <w:numId w:val="4"/>
        </w:numPr>
        <w:tabs>
          <w:tab w:val="right" w:pos="8789"/>
        </w:tabs>
        <w:autoSpaceDE w:val="0"/>
        <w:autoSpaceDN w:val="0"/>
        <w:ind w:left="1077" w:hanging="357"/>
      </w:pPr>
      <w:r w:rsidRPr="00AC0841">
        <w:t>samostatné hnuteľné veci a súbory hnuteľných vecí</w:t>
      </w:r>
      <w:r w:rsidRPr="00AC0841">
        <w:tab/>
        <w:t>161 842 tis. €</w:t>
      </w:r>
    </w:p>
    <w:p w:rsidR="00917351" w:rsidRPr="00AC0841" w:rsidRDefault="00917351" w:rsidP="00917351">
      <w:pPr>
        <w:numPr>
          <w:ilvl w:val="0"/>
          <w:numId w:val="4"/>
        </w:numPr>
        <w:tabs>
          <w:tab w:val="right" w:pos="8789"/>
        </w:tabs>
        <w:autoSpaceDE w:val="0"/>
        <w:autoSpaceDN w:val="0"/>
        <w:ind w:left="1077" w:hanging="357"/>
      </w:pPr>
      <w:r w:rsidRPr="00AC0841">
        <w:t>dopravné prostriedky</w:t>
      </w:r>
      <w:r w:rsidRPr="00AC0841">
        <w:tab/>
        <w:t>1 611 tis. €</w:t>
      </w:r>
    </w:p>
    <w:p w:rsidR="00917351" w:rsidRPr="00AC0841" w:rsidRDefault="00917351" w:rsidP="00917351">
      <w:pPr>
        <w:numPr>
          <w:ilvl w:val="0"/>
          <w:numId w:val="4"/>
        </w:numPr>
        <w:tabs>
          <w:tab w:val="right" w:pos="8789"/>
        </w:tabs>
        <w:autoSpaceDE w:val="0"/>
        <w:autoSpaceDN w:val="0"/>
        <w:ind w:left="1077" w:hanging="357"/>
      </w:pPr>
      <w:r w:rsidRPr="00AC0841">
        <w:t>drobný dlhodobý hmotný majetok                                                        1 568 tis. €</w:t>
      </w:r>
    </w:p>
    <w:p w:rsidR="00917351" w:rsidRPr="00AC0841" w:rsidRDefault="00917351" w:rsidP="00917351">
      <w:pPr>
        <w:numPr>
          <w:ilvl w:val="0"/>
          <w:numId w:val="4"/>
        </w:numPr>
        <w:tabs>
          <w:tab w:val="right" w:pos="8789"/>
        </w:tabs>
        <w:autoSpaceDE w:val="0"/>
        <w:autoSpaceDN w:val="0"/>
        <w:spacing w:after="120"/>
      </w:pPr>
      <w:r w:rsidRPr="00AC0841">
        <w:t xml:space="preserve">obstaranie dlhodobého hmotného majetku  </w:t>
      </w:r>
      <w:r w:rsidRPr="00AC0841">
        <w:tab/>
        <w:t xml:space="preserve">      86 483 tis. €</w:t>
      </w:r>
    </w:p>
    <w:p w:rsidR="00917351" w:rsidRPr="00AC0841" w:rsidRDefault="00917351" w:rsidP="00C2109F">
      <w:pPr>
        <w:pStyle w:val="Zoznam1"/>
      </w:pPr>
      <w:r w:rsidRPr="00AC0841">
        <w:rPr>
          <w:b/>
          <w:bCs/>
        </w:rPr>
        <w:t>Finančné účty</w:t>
      </w:r>
      <w:r w:rsidRPr="00AC0841">
        <w:t xml:space="preserve"> v objeme </w:t>
      </w:r>
      <w:r w:rsidRPr="00AC0841">
        <w:rPr>
          <w:b/>
        </w:rPr>
        <w:t>240 588</w:t>
      </w:r>
      <w:r w:rsidRPr="00AC0841">
        <w:rPr>
          <w:b/>
          <w:bCs/>
        </w:rPr>
        <w:t xml:space="preserve"> tis. €</w:t>
      </w:r>
      <w:r w:rsidRPr="00AC0841">
        <w:t xml:space="preserve"> predstavujú finančné prostriedky na bankových účtoch a v pokladnici. Pozostávajú najmä z finančných prostriedkov na mzdy za december vyplácaných v januári 2015 a príslušných odvodov, z prostriedkov finančných fondov, z finančných prostriedkov na projekty prechádzajúce do roku 2015 vrátane zahraničných projektov, z finančných prostriedkov na kapitálové výdavky nerealizované v roku 2014, z finančných prostriedkov účtu sociálneho fondu a z finančných prostriedkov účtov podnikateľskej činnosti. </w:t>
      </w:r>
    </w:p>
    <w:p w:rsidR="00917351" w:rsidRPr="00AC0841" w:rsidRDefault="00917351" w:rsidP="00C2109F">
      <w:pPr>
        <w:pStyle w:val="Zoznam1"/>
      </w:pPr>
      <w:r w:rsidRPr="00AC0841">
        <w:t xml:space="preserve">Na </w:t>
      </w:r>
      <w:r w:rsidRPr="00AC0841">
        <w:rPr>
          <w:b/>
        </w:rPr>
        <w:t xml:space="preserve">bankových </w:t>
      </w:r>
      <w:r w:rsidRPr="00AC0841">
        <w:rPr>
          <w:b/>
          <w:bCs/>
        </w:rPr>
        <w:t>účtoch</w:t>
      </w:r>
      <w:r w:rsidRPr="00AC0841">
        <w:t xml:space="preserve"> vysokých škôl (vedených v štátnej pokladnici) vykázali verejné vysoké školy k 31. 12. 2014 finančné prostriedky v objeme </w:t>
      </w:r>
      <w:r w:rsidRPr="00AC0841">
        <w:rPr>
          <w:b/>
        </w:rPr>
        <w:t xml:space="preserve">240 440 tis. </w:t>
      </w:r>
      <w:r w:rsidRPr="00AC0841">
        <w:rPr>
          <w:b/>
          <w:bCs/>
        </w:rPr>
        <w:t>€</w:t>
      </w:r>
      <w:r w:rsidRPr="00AC0841">
        <w:t xml:space="preserve">. Z toho na účtoch pre hlavnú činnosť boli vykázané finančné prostriedky v objeme </w:t>
      </w:r>
      <w:r w:rsidRPr="00AC0841">
        <w:rPr>
          <w:b/>
        </w:rPr>
        <w:t xml:space="preserve">221 452 tis. €, na </w:t>
      </w:r>
      <w:r w:rsidRPr="00AC0841">
        <w:rPr>
          <w:b/>
          <w:bCs/>
        </w:rPr>
        <w:t>účtoch podnikateľskej činnosti</w:t>
      </w:r>
      <w:r w:rsidRPr="00AC0841">
        <w:t xml:space="preserve"> vykázali verejné vysoké školy finančné prostriedky v objeme </w:t>
      </w:r>
      <w:r w:rsidRPr="00AC0841">
        <w:rPr>
          <w:b/>
        </w:rPr>
        <w:t>17</w:t>
      </w:r>
      <w:r w:rsidR="000A553F" w:rsidRPr="00AC0841">
        <w:rPr>
          <w:b/>
        </w:rPr>
        <w:t> </w:t>
      </w:r>
      <w:r w:rsidRPr="00AC0841">
        <w:rPr>
          <w:b/>
        </w:rPr>
        <w:t>905 tis.</w:t>
      </w:r>
      <w:r w:rsidRPr="00AC0841">
        <w:t xml:space="preserve"> </w:t>
      </w:r>
      <w:r w:rsidRPr="00AC0841">
        <w:rPr>
          <w:b/>
        </w:rPr>
        <w:t>€</w:t>
      </w:r>
      <w:r w:rsidRPr="00AC0841">
        <w:t xml:space="preserve"> a na </w:t>
      </w:r>
      <w:r w:rsidRPr="00AC0841">
        <w:rPr>
          <w:b/>
          <w:bCs/>
        </w:rPr>
        <w:t>účtoch</w:t>
      </w:r>
      <w:r w:rsidRPr="00AC0841">
        <w:t xml:space="preserve"> </w:t>
      </w:r>
      <w:r w:rsidRPr="00AC0841">
        <w:rPr>
          <w:b/>
          <w:bCs/>
        </w:rPr>
        <w:t>sociálneho fondu 1 083 tis. €</w:t>
      </w:r>
      <w:r w:rsidRPr="00AC0841">
        <w:t>. Medziročne ide o pokles o</w:t>
      </w:r>
      <w:r w:rsidR="000A553F" w:rsidRPr="00AC0841">
        <w:t> </w:t>
      </w:r>
      <w:r w:rsidRPr="00AC0841">
        <w:t>2</w:t>
      </w:r>
      <w:r w:rsidR="000A553F" w:rsidRPr="00AC0841">
        <w:t> </w:t>
      </w:r>
      <w:r w:rsidRPr="00AC0841">
        <w:t>427 tis. €.</w:t>
      </w:r>
    </w:p>
    <w:p w:rsidR="00917351" w:rsidRPr="00AC0841" w:rsidRDefault="00917351" w:rsidP="00C2109F">
      <w:pPr>
        <w:pStyle w:val="Zoznam1"/>
      </w:pPr>
      <w:r w:rsidRPr="00AC0841">
        <w:rPr>
          <w:b/>
          <w:bCs/>
        </w:rPr>
        <w:t>Štruktúra pasív</w:t>
      </w:r>
      <w:r w:rsidRPr="00AC0841">
        <w:t xml:space="preserve"> verejných vysokých škôl bola k 31. decembru 2014 </w:t>
      </w:r>
      <w:r w:rsidR="00CD1559">
        <w:t>nasledovná</w:t>
      </w:r>
      <w:r w:rsidRPr="00AC0841">
        <w:t>:</w:t>
      </w:r>
    </w:p>
    <w:p w:rsidR="00917351" w:rsidRPr="00AC0841" w:rsidRDefault="00917351" w:rsidP="00917351">
      <w:pPr>
        <w:numPr>
          <w:ilvl w:val="0"/>
          <w:numId w:val="5"/>
        </w:numPr>
        <w:tabs>
          <w:tab w:val="right" w:pos="8789"/>
        </w:tabs>
        <w:autoSpaceDE w:val="0"/>
        <w:autoSpaceDN w:val="0"/>
        <w:ind w:left="1077" w:hanging="357"/>
      </w:pPr>
      <w:r w:rsidRPr="00AC0841">
        <w:t>imanie a peňažné fondy</w:t>
      </w:r>
      <w:r w:rsidRPr="00AC0841">
        <w:tab/>
        <w:t>592 967 tis. €</w:t>
      </w:r>
    </w:p>
    <w:p w:rsidR="00917351" w:rsidRPr="00AC0841" w:rsidRDefault="00917351" w:rsidP="00917351">
      <w:pPr>
        <w:numPr>
          <w:ilvl w:val="0"/>
          <w:numId w:val="5"/>
        </w:numPr>
        <w:tabs>
          <w:tab w:val="right" w:pos="8789"/>
        </w:tabs>
        <w:autoSpaceDE w:val="0"/>
        <w:autoSpaceDN w:val="0"/>
        <w:ind w:left="1077" w:hanging="357"/>
      </w:pPr>
      <w:r w:rsidRPr="00AC0841">
        <w:t>fondy tvorené zo zisku</w:t>
      </w:r>
      <w:r w:rsidRPr="00AC0841">
        <w:tab/>
        <w:t>32 792 tis. €</w:t>
      </w:r>
    </w:p>
    <w:p w:rsidR="00917351" w:rsidRDefault="00917351" w:rsidP="00917351">
      <w:pPr>
        <w:numPr>
          <w:ilvl w:val="0"/>
          <w:numId w:val="5"/>
        </w:numPr>
        <w:tabs>
          <w:tab w:val="right" w:pos="8789"/>
        </w:tabs>
        <w:autoSpaceDE w:val="0"/>
        <w:autoSpaceDN w:val="0"/>
        <w:ind w:left="1077" w:hanging="357"/>
      </w:pPr>
      <w:r w:rsidRPr="00AC0841">
        <w:t xml:space="preserve">výsledok hospodárenia za </w:t>
      </w:r>
      <w:proofErr w:type="spellStart"/>
      <w:r w:rsidRPr="00AC0841">
        <w:t>účt</w:t>
      </w:r>
      <w:proofErr w:type="spellEnd"/>
      <w:r w:rsidRPr="00AC0841">
        <w:t>. obdobie                                                6 856 tis. €</w:t>
      </w:r>
    </w:p>
    <w:p w:rsidR="005010AB" w:rsidRPr="00AC0841" w:rsidRDefault="005010AB" w:rsidP="00917351">
      <w:pPr>
        <w:numPr>
          <w:ilvl w:val="0"/>
          <w:numId w:val="5"/>
        </w:numPr>
        <w:tabs>
          <w:tab w:val="right" w:pos="8789"/>
        </w:tabs>
        <w:autoSpaceDE w:val="0"/>
        <w:autoSpaceDN w:val="0"/>
        <w:ind w:left="1077" w:hanging="357"/>
      </w:pPr>
      <w:proofErr w:type="spellStart"/>
      <w:r w:rsidRPr="00AC0841">
        <w:t>nevysporiadaný</w:t>
      </w:r>
      <w:proofErr w:type="spellEnd"/>
      <w:r w:rsidRPr="00AC0841">
        <w:t xml:space="preserve"> výsledok hospodárenia minulých rokov     </w:t>
      </w:r>
      <w:r>
        <w:t xml:space="preserve">     </w:t>
      </w:r>
      <w:r w:rsidRPr="00AC0841">
        <w:t xml:space="preserve">   </w:t>
      </w:r>
      <w:r>
        <w:t xml:space="preserve"> </w:t>
      </w:r>
      <w:r w:rsidRPr="00AC0841">
        <w:t xml:space="preserve">     23 056 tis. €</w:t>
      </w:r>
    </w:p>
    <w:p w:rsidR="00917351" w:rsidRPr="00AC0841" w:rsidRDefault="00917351" w:rsidP="00917351">
      <w:pPr>
        <w:numPr>
          <w:ilvl w:val="0"/>
          <w:numId w:val="5"/>
        </w:numPr>
        <w:tabs>
          <w:tab w:val="right" w:pos="8789"/>
        </w:tabs>
        <w:autoSpaceDE w:val="0"/>
        <w:autoSpaceDN w:val="0"/>
        <w:ind w:left="1077" w:hanging="357"/>
      </w:pPr>
      <w:r w:rsidRPr="00AC0841">
        <w:t xml:space="preserve">rezervy                                                                                           </w:t>
      </w:r>
      <w:r w:rsidR="005010AB">
        <w:t xml:space="preserve"> </w:t>
      </w:r>
      <w:r w:rsidRPr="00AC0841">
        <w:t xml:space="preserve">      6 352 tis. €</w:t>
      </w:r>
    </w:p>
    <w:p w:rsidR="00917351" w:rsidRPr="00AC0841" w:rsidRDefault="00917351" w:rsidP="00917351">
      <w:pPr>
        <w:numPr>
          <w:ilvl w:val="0"/>
          <w:numId w:val="5"/>
        </w:numPr>
        <w:tabs>
          <w:tab w:val="right" w:pos="8789"/>
        </w:tabs>
        <w:autoSpaceDE w:val="0"/>
        <w:autoSpaceDN w:val="0"/>
        <w:ind w:left="1077" w:hanging="357"/>
      </w:pPr>
      <w:r w:rsidRPr="00AC0841">
        <w:t>dlhodobé záväzky</w:t>
      </w:r>
      <w:r w:rsidRPr="00AC0841">
        <w:tab/>
        <w:t>1 012 tis. €</w:t>
      </w:r>
    </w:p>
    <w:p w:rsidR="00917351" w:rsidRPr="00AC0841" w:rsidRDefault="00917351" w:rsidP="00917351">
      <w:pPr>
        <w:numPr>
          <w:ilvl w:val="0"/>
          <w:numId w:val="5"/>
        </w:numPr>
        <w:tabs>
          <w:tab w:val="right" w:pos="8789"/>
        </w:tabs>
        <w:autoSpaceDE w:val="0"/>
        <w:autoSpaceDN w:val="0"/>
        <w:ind w:left="1077" w:hanging="357"/>
      </w:pPr>
      <w:r w:rsidRPr="00AC0841">
        <w:t>krátkodobé záväzky</w:t>
      </w:r>
      <w:r w:rsidRPr="00AC0841">
        <w:tab/>
        <w:t>90 028 tis. €</w:t>
      </w:r>
    </w:p>
    <w:p w:rsidR="00917351" w:rsidRDefault="00917351" w:rsidP="00917351">
      <w:pPr>
        <w:numPr>
          <w:ilvl w:val="0"/>
          <w:numId w:val="5"/>
        </w:numPr>
        <w:tabs>
          <w:tab w:val="right" w:pos="8789"/>
        </w:tabs>
        <w:autoSpaceDE w:val="0"/>
        <w:autoSpaceDN w:val="0"/>
        <w:ind w:left="1077" w:hanging="357"/>
      </w:pPr>
      <w:r w:rsidRPr="00AC0841">
        <w:t>bankové výpomoci a pôžičky</w:t>
      </w:r>
      <w:r w:rsidRPr="00AC0841">
        <w:tab/>
        <w:t>0 tis. €</w:t>
      </w:r>
    </w:p>
    <w:p w:rsidR="005010AB" w:rsidRPr="00AC0841" w:rsidRDefault="005010AB" w:rsidP="00917351">
      <w:pPr>
        <w:numPr>
          <w:ilvl w:val="0"/>
          <w:numId w:val="5"/>
        </w:numPr>
        <w:tabs>
          <w:tab w:val="right" w:pos="8789"/>
        </w:tabs>
        <w:autoSpaceDE w:val="0"/>
        <w:autoSpaceDN w:val="0"/>
        <w:ind w:left="1077" w:hanging="357"/>
      </w:pPr>
      <w:r w:rsidRPr="00AC0841">
        <w:t>časové rozlíšenie</w:t>
      </w:r>
      <w:r w:rsidRPr="00AC0841">
        <w:tab/>
        <w:t>649 301 tis. €</w:t>
      </w:r>
    </w:p>
    <w:p w:rsidR="00917351" w:rsidRPr="00AC0841" w:rsidRDefault="00931B0F" w:rsidP="00917351">
      <w:pPr>
        <w:spacing w:before="240" w:after="120"/>
        <w:jc w:val="both"/>
        <w:rPr>
          <w:b/>
          <w:bCs/>
        </w:rPr>
      </w:pPr>
      <w:r w:rsidRPr="00AC0841">
        <w:t xml:space="preserve">Hlavnými položkami </w:t>
      </w:r>
      <w:r w:rsidRPr="00AE6250">
        <w:rPr>
          <w:b/>
        </w:rPr>
        <w:t>imani</w:t>
      </w:r>
      <w:r>
        <w:rPr>
          <w:b/>
        </w:rPr>
        <w:t>a</w:t>
      </w:r>
      <w:r w:rsidRPr="00AE6250">
        <w:rPr>
          <w:b/>
        </w:rPr>
        <w:t xml:space="preserve"> a peňažn</w:t>
      </w:r>
      <w:r>
        <w:rPr>
          <w:b/>
        </w:rPr>
        <w:t>ých</w:t>
      </w:r>
      <w:r w:rsidRPr="00AE6250">
        <w:rPr>
          <w:b/>
        </w:rPr>
        <w:t xml:space="preserve"> fond</w:t>
      </w:r>
      <w:r>
        <w:rPr>
          <w:b/>
        </w:rPr>
        <w:t>ov</w:t>
      </w:r>
      <w:r w:rsidRPr="00AC0841">
        <w:t xml:space="preserve"> </w:t>
      </w:r>
      <w:r>
        <w:t xml:space="preserve">sú </w:t>
      </w:r>
      <w:r w:rsidRPr="00AE6250">
        <w:rPr>
          <w:bCs/>
        </w:rPr>
        <w:t>základné imanie</w:t>
      </w:r>
      <w:r w:rsidRPr="00AC0841">
        <w:t xml:space="preserve"> v</w:t>
      </w:r>
      <w:r>
        <w:t xml:space="preserve"> </w:t>
      </w:r>
      <w:r w:rsidRPr="00AC0841">
        <w:t>hodnote 516</w:t>
      </w:r>
      <w:r>
        <w:t> </w:t>
      </w:r>
      <w:r w:rsidRPr="00AC0841">
        <w:t>068</w:t>
      </w:r>
      <w:r>
        <w:t xml:space="preserve"> </w:t>
      </w:r>
      <w:r w:rsidRPr="00AC0841">
        <w:t> tis. €, fondy podľa osobitného predpisu vo výške 7 785 tis. €,</w:t>
      </w:r>
      <w:r>
        <w:t xml:space="preserve"> </w:t>
      </w:r>
      <w:r w:rsidRPr="00AC0841">
        <w:t>fond reprodukcie v</w:t>
      </w:r>
      <w:r>
        <w:t xml:space="preserve">o výške </w:t>
      </w:r>
      <w:r w:rsidRPr="00AC0841">
        <w:t>69 191 tis. €</w:t>
      </w:r>
      <w:r>
        <w:t xml:space="preserve">, rozdiely z precenenia majetku a záväzkov vo výške  – 77 tis. €. Hlavnými položkami </w:t>
      </w:r>
      <w:r w:rsidRPr="00AC0841">
        <w:t xml:space="preserve"> </w:t>
      </w:r>
      <w:r w:rsidRPr="00AE6250">
        <w:rPr>
          <w:b/>
        </w:rPr>
        <w:t>fond</w:t>
      </w:r>
      <w:r>
        <w:rPr>
          <w:b/>
        </w:rPr>
        <w:t xml:space="preserve">ov </w:t>
      </w:r>
      <w:r w:rsidRPr="00095FCB">
        <w:rPr>
          <w:b/>
        </w:rPr>
        <w:t>tvorených zo zisku</w:t>
      </w:r>
      <w:r>
        <w:t xml:space="preserve">  sú najmä </w:t>
      </w:r>
      <w:r w:rsidRPr="00AC0841">
        <w:t>rezervný fond vo výške 27 854 tis. €</w:t>
      </w:r>
      <w:r>
        <w:t>, a ostatné fondy vo výške 4 216 tis. €</w:t>
      </w:r>
      <w:r w:rsidRPr="00AC0841">
        <w:t>. V</w:t>
      </w:r>
      <w:r w:rsidRPr="00AC0841">
        <w:rPr>
          <w:b/>
        </w:rPr>
        <w:t>ýsledok hospodárenia</w:t>
      </w:r>
      <w:r w:rsidRPr="00AC0841">
        <w:t xml:space="preserve"> za rok 2014 bol po odvedení dane z príjmu </w:t>
      </w:r>
      <w:r w:rsidRPr="00AC0841">
        <w:lastRenderedPageBreak/>
        <w:t>vo</w:t>
      </w:r>
      <w:r w:rsidR="005010AB">
        <w:t> </w:t>
      </w:r>
      <w:r w:rsidRPr="00AC0841">
        <w:t xml:space="preserve">výške </w:t>
      </w:r>
      <w:r w:rsidRPr="00AC0841">
        <w:rPr>
          <w:color w:val="000000"/>
        </w:rPr>
        <w:t>6 856 tis.</w:t>
      </w:r>
      <w:r w:rsidRPr="00AC0841">
        <w:t xml:space="preserve"> €</w:t>
      </w:r>
      <w:r w:rsidRPr="00AC0841">
        <w:rPr>
          <w:b/>
        </w:rPr>
        <w:t xml:space="preserve">. Verejné vysoké školy vykazujú ako </w:t>
      </w:r>
      <w:proofErr w:type="spellStart"/>
      <w:r w:rsidRPr="00AC0841">
        <w:rPr>
          <w:b/>
        </w:rPr>
        <w:t>nevysporiadaný</w:t>
      </w:r>
      <w:proofErr w:type="spellEnd"/>
      <w:r w:rsidRPr="00AC0841">
        <w:rPr>
          <w:b/>
        </w:rPr>
        <w:t xml:space="preserve"> výsledok hospodárenia minulých </w:t>
      </w:r>
      <w:r w:rsidRPr="00AC0841">
        <w:t xml:space="preserve">rokov sumu </w:t>
      </w:r>
      <w:r w:rsidRPr="00AC0841">
        <w:rPr>
          <w:b/>
        </w:rPr>
        <w:t>23 056 tis. €</w:t>
      </w:r>
      <w:r w:rsidRPr="00275167">
        <w:t>.</w:t>
      </w:r>
      <w:r w:rsidRPr="00AC0841" w:rsidDel="00A3601D">
        <w:rPr>
          <w:b/>
          <w:bCs/>
        </w:rPr>
        <w:t xml:space="preserve"> </w:t>
      </w:r>
    </w:p>
    <w:p w:rsidR="00917351" w:rsidRPr="00AC0841" w:rsidRDefault="00917351" w:rsidP="00C2109F">
      <w:pPr>
        <w:pStyle w:val="Zoznam1"/>
      </w:pPr>
      <w:r w:rsidRPr="00AC0841">
        <w:t xml:space="preserve">Hlavnými položkami v rámci </w:t>
      </w:r>
      <w:r w:rsidRPr="00AC0841">
        <w:rPr>
          <w:b/>
          <w:bCs/>
        </w:rPr>
        <w:t>krátkodobých záväzkov</w:t>
      </w:r>
      <w:r w:rsidRPr="00AC0841">
        <w:t xml:space="preserve"> boli:</w:t>
      </w:r>
    </w:p>
    <w:p w:rsidR="00917351" w:rsidRPr="00AC0841" w:rsidRDefault="00917351" w:rsidP="00917351">
      <w:pPr>
        <w:numPr>
          <w:ilvl w:val="0"/>
          <w:numId w:val="6"/>
        </w:numPr>
        <w:tabs>
          <w:tab w:val="right" w:pos="8789"/>
        </w:tabs>
        <w:autoSpaceDE w:val="0"/>
        <w:autoSpaceDN w:val="0"/>
        <w:ind w:left="1077" w:hanging="357"/>
      </w:pPr>
      <w:r w:rsidRPr="00AC0841">
        <w:t>záväzky z obchodného styku</w:t>
      </w:r>
      <w:r w:rsidRPr="00AC0841">
        <w:tab/>
        <w:t>36 282 tis. €</w:t>
      </w:r>
    </w:p>
    <w:p w:rsidR="00917351" w:rsidRPr="00AC0841" w:rsidRDefault="00917351" w:rsidP="00917351">
      <w:pPr>
        <w:numPr>
          <w:ilvl w:val="0"/>
          <w:numId w:val="6"/>
        </w:numPr>
        <w:tabs>
          <w:tab w:val="right" w:pos="8789"/>
        </w:tabs>
        <w:autoSpaceDE w:val="0"/>
        <w:autoSpaceDN w:val="0"/>
        <w:ind w:left="1077" w:hanging="357"/>
      </w:pPr>
      <w:r w:rsidRPr="00AC0841">
        <w:t>záväzky voči zamestnancom</w:t>
      </w:r>
      <w:r w:rsidRPr="00AC0841">
        <w:tab/>
        <w:t>17 610 tis. €</w:t>
      </w:r>
    </w:p>
    <w:p w:rsidR="00917351" w:rsidRPr="00AC0841" w:rsidRDefault="00917351" w:rsidP="00917351">
      <w:pPr>
        <w:numPr>
          <w:ilvl w:val="0"/>
          <w:numId w:val="6"/>
        </w:numPr>
        <w:tabs>
          <w:tab w:val="right" w:pos="8789"/>
        </w:tabs>
        <w:autoSpaceDE w:val="0"/>
        <w:autoSpaceDN w:val="0"/>
        <w:ind w:left="1077" w:hanging="357"/>
      </w:pPr>
      <w:r w:rsidRPr="00AC0841">
        <w:t xml:space="preserve">zúčtovanie so </w:t>
      </w:r>
      <w:proofErr w:type="spellStart"/>
      <w:r w:rsidRPr="00AC0841">
        <w:t>sociál</w:t>
      </w:r>
      <w:proofErr w:type="spellEnd"/>
      <w:r w:rsidRPr="00AC0841">
        <w:t>. poisťovňou a </w:t>
      </w:r>
      <w:proofErr w:type="spellStart"/>
      <w:r w:rsidRPr="00AC0841">
        <w:t>zdravot</w:t>
      </w:r>
      <w:proofErr w:type="spellEnd"/>
      <w:r w:rsidRPr="00AC0841">
        <w:t>. poisťovňami</w:t>
      </w:r>
      <w:r w:rsidRPr="00AC0841">
        <w:tab/>
        <w:t>10 537 tis. €</w:t>
      </w:r>
    </w:p>
    <w:p w:rsidR="00917351" w:rsidRPr="00AC0841" w:rsidRDefault="00917351" w:rsidP="00917351">
      <w:pPr>
        <w:numPr>
          <w:ilvl w:val="0"/>
          <w:numId w:val="6"/>
        </w:numPr>
        <w:tabs>
          <w:tab w:val="right" w:pos="8789"/>
        </w:tabs>
        <w:autoSpaceDE w:val="0"/>
        <w:autoSpaceDN w:val="0"/>
        <w:ind w:left="1077" w:hanging="357"/>
      </w:pPr>
      <w:r w:rsidRPr="00AC0841">
        <w:t>daňové záväzky</w:t>
      </w:r>
      <w:r w:rsidRPr="00AC0841">
        <w:tab/>
        <w:t>16 487 tis. €</w:t>
      </w:r>
    </w:p>
    <w:p w:rsidR="00917351" w:rsidRPr="00AC0841" w:rsidRDefault="00917351" w:rsidP="00917351">
      <w:pPr>
        <w:numPr>
          <w:ilvl w:val="0"/>
          <w:numId w:val="6"/>
        </w:numPr>
        <w:tabs>
          <w:tab w:val="right" w:pos="8789"/>
        </w:tabs>
        <w:autoSpaceDE w:val="0"/>
        <w:autoSpaceDN w:val="0"/>
        <w:spacing w:after="120"/>
      </w:pPr>
      <w:r w:rsidRPr="00AC0841">
        <w:t>ostatné záväzky</w:t>
      </w:r>
      <w:r w:rsidRPr="00AC0841">
        <w:tab/>
        <w:t>9 073 tis. €</w:t>
      </w:r>
    </w:p>
    <w:p w:rsidR="00917351" w:rsidRPr="00AC0841" w:rsidRDefault="00917351" w:rsidP="00C2109F">
      <w:pPr>
        <w:pStyle w:val="Zoznam1"/>
      </w:pPr>
      <w:r w:rsidRPr="00AC0841">
        <w:rPr>
          <w:bCs/>
        </w:rPr>
        <w:t xml:space="preserve">K 31. </w:t>
      </w:r>
      <w:r w:rsidRPr="00AC0841">
        <w:t xml:space="preserve">decembru 2014 žiadna z verejných vysokých škôl neeviduje </w:t>
      </w:r>
      <w:r w:rsidRPr="00AC0841">
        <w:rPr>
          <w:b/>
        </w:rPr>
        <w:t>z</w:t>
      </w:r>
      <w:r w:rsidRPr="00AC0841">
        <w:rPr>
          <w:b/>
          <w:bCs/>
        </w:rPr>
        <w:t>áväzky voči bankám.</w:t>
      </w:r>
      <w:r w:rsidRPr="00AC0841">
        <w:t xml:space="preserve"> </w:t>
      </w:r>
    </w:p>
    <w:p w:rsidR="00917351" w:rsidRPr="00AC0841" w:rsidRDefault="00917351" w:rsidP="00C2109F">
      <w:pPr>
        <w:pStyle w:val="Zoznam1"/>
      </w:pPr>
      <w:r w:rsidRPr="00AC0841">
        <w:t xml:space="preserve">Hlavnou položkou pri časovom rozlíšení pasív boli </w:t>
      </w:r>
      <w:r w:rsidRPr="00AC0841">
        <w:rPr>
          <w:b/>
        </w:rPr>
        <w:t>výnosy budúcich období v sume 647 844 tis. €.</w:t>
      </w:r>
      <w:r w:rsidR="00452F95" w:rsidRPr="00AC0841">
        <w:rPr>
          <w:b/>
        </w:rPr>
        <w:t xml:space="preserve"> </w:t>
      </w:r>
      <w:r w:rsidR="00452F95" w:rsidRPr="00AC0841">
        <w:t>Ďalšie podrobnosti sú</w:t>
      </w:r>
      <w:r w:rsidR="00452F95" w:rsidRPr="00AC0841">
        <w:rPr>
          <w:b/>
        </w:rPr>
        <w:t xml:space="preserve"> v tabuľke č. </w:t>
      </w:r>
      <w:r w:rsidR="00CD1559">
        <w:rPr>
          <w:b/>
        </w:rPr>
        <w:t>25</w:t>
      </w:r>
      <w:r w:rsidR="00452F95" w:rsidRPr="00AC0841">
        <w:rPr>
          <w:b/>
        </w:rPr>
        <w:t>.</w:t>
      </w:r>
      <w:r w:rsidRPr="00AC0841">
        <w:t xml:space="preserve"> </w:t>
      </w:r>
    </w:p>
    <w:p w:rsidR="006773CA" w:rsidRPr="00AC0841" w:rsidRDefault="006773CA" w:rsidP="006773CA">
      <w:pPr>
        <w:pStyle w:val="Nadpis4"/>
        <w:rPr>
          <w:lang w:val="sk-SK"/>
        </w:rPr>
      </w:pPr>
      <w:bookmarkStart w:id="82" w:name="_Toc334996778"/>
      <w:bookmarkStart w:id="83" w:name="_Toc427750193"/>
      <w:r w:rsidRPr="00AC0841">
        <w:rPr>
          <w:lang w:val="sk-SK"/>
        </w:rPr>
        <w:t>Sumárne údaje o výnosoch a nákladoch verejných vysokých škôl</w:t>
      </w:r>
      <w:bookmarkEnd w:id="82"/>
      <w:bookmarkEnd w:id="83"/>
    </w:p>
    <w:p w:rsidR="00452F95" w:rsidRPr="00AC0841" w:rsidRDefault="00452F95" w:rsidP="00C2109F">
      <w:pPr>
        <w:pStyle w:val="Zoznam1"/>
      </w:pPr>
      <w:r w:rsidRPr="00AC0841">
        <w:t xml:space="preserve">Hospodárenie verejných vysokých škôl pozostáva z hospodárenia v oblasti hlavnej činnosti a v oblasti podnikateľskej činnosti. V oblasti hlavnej činnosti sa osobitne sleduje oblasť sociálnej podpory študentov. </w:t>
      </w:r>
    </w:p>
    <w:p w:rsidR="00452F95" w:rsidRPr="00AC0841" w:rsidRDefault="00452F95" w:rsidP="00452F95">
      <w:pPr>
        <w:spacing w:after="120"/>
        <w:jc w:val="both"/>
      </w:pPr>
      <w:r w:rsidRPr="00AC0841">
        <w:rPr>
          <w:b/>
          <w:bCs/>
        </w:rPr>
        <w:t>Celkové náklady</w:t>
      </w:r>
      <w:r w:rsidRPr="00AC0841">
        <w:t xml:space="preserve"> verejných vysokých škôl v roku 2014 predstavovali </w:t>
      </w:r>
      <w:r w:rsidRPr="00AC0841">
        <w:rPr>
          <w:b/>
        </w:rPr>
        <w:t>706 323 tis. €</w:t>
      </w:r>
      <w:r w:rsidRPr="00AC0841">
        <w:t>. Z toho:</w:t>
      </w:r>
    </w:p>
    <w:p w:rsidR="00452F95" w:rsidRPr="00AC0841" w:rsidRDefault="00452F95" w:rsidP="00452F95">
      <w:pPr>
        <w:numPr>
          <w:ilvl w:val="0"/>
          <w:numId w:val="7"/>
        </w:numPr>
        <w:tabs>
          <w:tab w:val="right" w:pos="8789"/>
        </w:tabs>
        <w:autoSpaceDE w:val="0"/>
        <w:autoSpaceDN w:val="0"/>
        <w:ind w:left="1077" w:hanging="357"/>
      </w:pPr>
      <w:r w:rsidRPr="00AC0841">
        <w:t>náklady hlavnej činnosti</w:t>
      </w:r>
      <w:r w:rsidRPr="00AC0841">
        <w:tab/>
        <w:t>680 834 tis. €</w:t>
      </w:r>
    </w:p>
    <w:p w:rsidR="00452F95" w:rsidRPr="00AC0841" w:rsidRDefault="00452F95" w:rsidP="00452F95">
      <w:pPr>
        <w:numPr>
          <w:ilvl w:val="0"/>
          <w:numId w:val="7"/>
        </w:numPr>
        <w:tabs>
          <w:tab w:val="right" w:pos="8789"/>
        </w:tabs>
        <w:autoSpaceDE w:val="0"/>
        <w:autoSpaceDN w:val="0"/>
        <w:spacing w:after="120"/>
      </w:pPr>
      <w:r w:rsidRPr="00AC0841">
        <w:t>náklady podnikateľskej činnosti</w:t>
      </w:r>
      <w:r w:rsidRPr="00AC0841">
        <w:tab/>
        <w:t>25 490 tis. €</w:t>
      </w:r>
    </w:p>
    <w:p w:rsidR="00452F95" w:rsidRPr="00AC0841" w:rsidRDefault="00452F95" w:rsidP="00452F95">
      <w:pPr>
        <w:spacing w:after="120"/>
        <w:jc w:val="both"/>
      </w:pPr>
      <w:r w:rsidRPr="00AC0841">
        <w:rPr>
          <w:b/>
          <w:bCs/>
        </w:rPr>
        <w:t>Celkové výnosy</w:t>
      </w:r>
      <w:r w:rsidRPr="00AC0841">
        <w:t xml:space="preserve"> verejných vysokých škôl v roku 2014 predstavovali </w:t>
      </w:r>
      <w:r w:rsidRPr="00AC0841">
        <w:rPr>
          <w:b/>
        </w:rPr>
        <w:t>714 104 tis. €</w:t>
      </w:r>
      <w:r w:rsidRPr="00AC0841">
        <w:t>. Z toho:</w:t>
      </w:r>
    </w:p>
    <w:p w:rsidR="00452F95" w:rsidRPr="00AC0841" w:rsidRDefault="00452F95" w:rsidP="00452F95">
      <w:pPr>
        <w:numPr>
          <w:ilvl w:val="0"/>
          <w:numId w:val="10"/>
        </w:numPr>
        <w:tabs>
          <w:tab w:val="right" w:pos="8789"/>
        </w:tabs>
        <w:autoSpaceDE w:val="0"/>
        <w:autoSpaceDN w:val="0"/>
        <w:ind w:left="1077" w:hanging="357"/>
      </w:pPr>
      <w:r w:rsidRPr="00AC0841">
        <w:t>výnosy hlavnej činnosti</w:t>
      </w:r>
      <w:r w:rsidRPr="00AC0841">
        <w:tab/>
        <w:t>684 424 tis. €</w:t>
      </w:r>
    </w:p>
    <w:p w:rsidR="00452F95" w:rsidRPr="00AC0841" w:rsidRDefault="00452F95" w:rsidP="00452F95">
      <w:pPr>
        <w:numPr>
          <w:ilvl w:val="0"/>
          <w:numId w:val="10"/>
        </w:numPr>
        <w:tabs>
          <w:tab w:val="right" w:pos="8789"/>
        </w:tabs>
        <w:autoSpaceDE w:val="0"/>
        <w:autoSpaceDN w:val="0"/>
        <w:ind w:left="1077" w:hanging="357"/>
      </w:pPr>
      <w:r w:rsidRPr="00AC0841">
        <w:t>výnosy podnikateľskej činnosti</w:t>
      </w:r>
      <w:r w:rsidRPr="00AC0841">
        <w:tab/>
        <w:t xml:space="preserve"> 29 680 tis. €</w:t>
      </w:r>
    </w:p>
    <w:p w:rsidR="00452F95" w:rsidRPr="00AC0841" w:rsidRDefault="00452F95" w:rsidP="00452F95">
      <w:pPr>
        <w:jc w:val="both"/>
        <w:rPr>
          <w:b/>
          <w:bCs/>
        </w:rPr>
      </w:pPr>
    </w:p>
    <w:p w:rsidR="00452F95" w:rsidRPr="00AC0841" w:rsidRDefault="00452F95" w:rsidP="00452F95">
      <w:pPr>
        <w:jc w:val="both"/>
      </w:pPr>
      <w:r w:rsidRPr="00AC0841">
        <w:rPr>
          <w:b/>
          <w:bCs/>
        </w:rPr>
        <w:t>Výsledok hospodárenia</w:t>
      </w:r>
      <w:r w:rsidRPr="00AC0841">
        <w:t xml:space="preserve"> verejných vysokých škôl (pred odvedením dane z príjmov) bol v roku 2014 vo výške </w:t>
      </w:r>
      <w:r w:rsidRPr="00AC0841">
        <w:rPr>
          <w:b/>
        </w:rPr>
        <w:t>7 781 tis. €</w:t>
      </w:r>
      <w:r w:rsidRPr="00AC0841">
        <w:rPr>
          <w:bCs/>
        </w:rPr>
        <w:t>.</w:t>
      </w:r>
      <w:r w:rsidRPr="00AC0841">
        <w:t xml:space="preserve"> Z toho:</w:t>
      </w:r>
    </w:p>
    <w:p w:rsidR="00452F95" w:rsidRPr="00AC0841" w:rsidRDefault="00452F95" w:rsidP="00452F95">
      <w:pPr>
        <w:ind w:firstLine="708"/>
      </w:pPr>
      <w:r w:rsidRPr="00AC0841">
        <w:t>1. výsledok hospodárenia v hlavnej činnosti</w:t>
      </w:r>
      <w:r w:rsidRPr="00AC0841">
        <w:tab/>
        <w:t xml:space="preserve">                </w:t>
      </w:r>
      <w:r w:rsidRPr="00AC0841">
        <w:tab/>
      </w:r>
      <w:r w:rsidRPr="00AC0841">
        <w:tab/>
        <w:t xml:space="preserve">           3 590 tis. €</w:t>
      </w:r>
    </w:p>
    <w:p w:rsidR="00452F95" w:rsidRPr="00AC0841" w:rsidRDefault="00452F95" w:rsidP="00452F95">
      <w:pPr>
        <w:tabs>
          <w:tab w:val="right" w:pos="8789"/>
        </w:tabs>
        <w:autoSpaceDE w:val="0"/>
        <w:autoSpaceDN w:val="0"/>
        <w:spacing w:after="120"/>
      </w:pPr>
      <w:r w:rsidRPr="00AC0841">
        <w:t xml:space="preserve">            2. výsledok hospodárenia v podnikateľskej činnosti</w:t>
      </w:r>
      <w:r w:rsidRPr="00AC0841">
        <w:tab/>
        <w:t xml:space="preserve">                  4 191 tis. €</w:t>
      </w:r>
    </w:p>
    <w:p w:rsidR="00452F95" w:rsidRPr="00AC0841" w:rsidRDefault="00452F95" w:rsidP="00452F95">
      <w:pPr>
        <w:spacing w:after="120"/>
        <w:jc w:val="both"/>
        <w:rPr>
          <w:b/>
          <w:bCs/>
        </w:rPr>
      </w:pPr>
      <w:r w:rsidRPr="00AC0841">
        <w:t xml:space="preserve">V porovnaní s rokom </w:t>
      </w:r>
      <w:r w:rsidRPr="00AC0841">
        <w:rPr>
          <w:bCs/>
        </w:rPr>
        <w:t>2013</w:t>
      </w:r>
      <w:r w:rsidRPr="00AC0841">
        <w:t xml:space="preserve"> sa </w:t>
      </w:r>
      <w:r w:rsidRPr="00AC0841">
        <w:rPr>
          <w:b/>
          <w:bCs/>
        </w:rPr>
        <w:t>výnosy</w:t>
      </w:r>
      <w:r w:rsidRPr="00AC0841">
        <w:t xml:space="preserve"> verejných vysokých škôl </w:t>
      </w:r>
      <w:r w:rsidRPr="00AC0841">
        <w:rPr>
          <w:b/>
          <w:bCs/>
        </w:rPr>
        <w:t>v hlavnej činnosti</w:t>
      </w:r>
      <w:r w:rsidRPr="00AC0841">
        <w:t xml:space="preserve"> </w:t>
      </w:r>
      <w:r w:rsidRPr="00AC0841">
        <w:rPr>
          <w:b/>
          <w:bCs/>
        </w:rPr>
        <w:t xml:space="preserve">zvýšili </w:t>
      </w:r>
      <w:r w:rsidRPr="00AC0841">
        <w:rPr>
          <w:bCs/>
        </w:rPr>
        <w:t>o</w:t>
      </w:r>
      <w:r w:rsidRPr="00AC0841">
        <w:rPr>
          <w:b/>
          <w:bCs/>
        </w:rPr>
        <w:t> 18 188 tis. € (2,7 %). Náklady</w:t>
      </w:r>
      <w:r w:rsidRPr="00AC0841">
        <w:t xml:space="preserve"> verejných vysokých škôl sa </w:t>
      </w:r>
      <w:r w:rsidRPr="00AC0841">
        <w:rPr>
          <w:b/>
          <w:bCs/>
        </w:rPr>
        <w:t>v hlavnej činnosti</w:t>
      </w:r>
      <w:r w:rsidRPr="00AC0841">
        <w:t xml:space="preserve"> </w:t>
      </w:r>
      <w:r w:rsidRPr="00AC0841">
        <w:rPr>
          <w:b/>
          <w:bCs/>
        </w:rPr>
        <w:t>zvýšili</w:t>
      </w:r>
      <w:r w:rsidRPr="00AC0841">
        <w:t xml:space="preserve"> oproti roku </w:t>
      </w:r>
      <w:r w:rsidRPr="00AC0841">
        <w:rPr>
          <w:bCs/>
        </w:rPr>
        <w:t>2013</w:t>
      </w:r>
      <w:r w:rsidRPr="00AC0841">
        <w:t xml:space="preserve"> </w:t>
      </w:r>
      <w:r w:rsidRPr="00AC0841">
        <w:rPr>
          <w:bCs/>
        </w:rPr>
        <w:t>o</w:t>
      </w:r>
      <w:r w:rsidRPr="00AC0841">
        <w:rPr>
          <w:b/>
          <w:bCs/>
        </w:rPr>
        <w:t> 24 661 tis. € (3,8 %).</w:t>
      </w:r>
    </w:p>
    <w:p w:rsidR="00452F95" w:rsidRPr="007E194A" w:rsidRDefault="00452F95" w:rsidP="00C2109F">
      <w:pPr>
        <w:pStyle w:val="Zoznam1"/>
      </w:pPr>
      <w:r w:rsidRPr="007E194A">
        <w:t xml:space="preserve">Súhrnné náklady a výnosy verejných vysokých škôl, ako i výsledky hospodárenia jednotlivých verejných vysokých škôl, sú uvedené </w:t>
      </w:r>
      <w:r w:rsidRPr="007E194A">
        <w:rPr>
          <w:bCs/>
        </w:rPr>
        <w:t>v tabuľkách č.19</w:t>
      </w:r>
      <w:r w:rsidR="00E83CED" w:rsidRPr="007E194A">
        <w:rPr>
          <w:bCs/>
        </w:rPr>
        <w:t xml:space="preserve"> a</w:t>
      </w:r>
      <w:r w:rsidRPr="007E194A">
        <w:rPr>
          <w:bCs/>
        </w:rPr>
        <w:t xml:space="preserve"> 20.</w:t>
      </w:r>
      <w:r w:rsidRPr="007E194A">
        <w:t xml:space="preserve"> Náklady, výnosy a výsledky hospodárenia v oblasti sociálnej podpory </w:t>
      </w:r>
      <w:r w:rsidR="00931B0F">
        <w:t>sú</w:t>
      </w:r>
      <w:r w:rsidRPr="007E194A">
        <w:t xml:space="preserve"> v tabuľkách č. 2</w:t>
      </w:r>
      <w:r w:rsidR="00CD1559" w:rsidRPr="007E194A">
        <w:t>2</w:t>
      </w:r>
      <w:r w:rsidR="00E83CED" w:rsidRPr="007E194A">
        <w:t xml:space="preserve"> a</w:t>
      </w:r>
      <w:r w:rsidRPr="007E194A">
        <w:t xml:space="preserve"> 2</w:t>
      </w:r>
      <w:r w:rsidR="00CD1559" w:rsidRPr="007E194A">
        <w:t>3</w:t>
      </w:r>
      <w:r w:rsidRPr="007E194A">
        <w:t>.</w:t>
      </w:r>
    </w:p>
    <w:p w:rsidR="00452F95" w:rsidRPr="00AC0841" w:rsidRDefault="00452F95" w:rsidP="00C2109F">
      <w:pPr>
        <w:pStyle w:val="Zoznam1"/>
      </w:pPr>
      <w:r w:rsidRPr="00AC0841">
        <w:t>Za rok 2014 dosiahlo 17 verejných vysokých škôl</w:t>
      </w:r>
      <w:r w:rsidRPr="00AC0841">
        <w:rPr>
          <w:b/>
        </w:rPr>
        <w:t xml:space="preserve"> celkový kladný výsledok hospodárenia</w:t>
      </w:r>
      <w:r w:rsidRPr="00AC0841">
        <w:t xml:space="preserve"> (teda súčet výsledku hospodárenia v hlavnej činnosti a výsledku hospodárenia v podnikateľskej činnosti). Tri z verejných vysokých škôl (TUAD Trenčín, AU Banská Bystrica a KU Ružomberok) dosiahli záporný celkový hospodársky výsledok. Celkový výsledok hospodárenia za všetky verejné vysoké školy za rok 2014 (pred odvedením dane z príjmov) bol nižší oproti celkovému výsledku hospodárenia</w:t>
      </w:r>
      <w:r w:rsidR="00931B0F">
        <w:t xml:space="preserve"> v roku 2013</w:t>
      </w:r>
      <w:r w:rsidRPr="00AC0841">
        <w:t xml:space="preserve"> o 5 557 918 €. Najvyšší výsledok hospodárenia v roku 2014 dosiahla</w:t>
      </w:r>
      <w:r w:rsidRPr="00AC0841">
        <w:rPr>
          <w:b/>
          <w:bCs/>
        </w:rPr>
        <w:t xml:space="preserve"> </w:t>
      </w:r>
      <w:r w:rsidRPr="00AC0841">
        <w:t>UK Bratislava, ŽU Žilina a TU Zvolen, pričom prvé dve vysoké školy zisk dosiahli najmä aktivitami v hlavnej činnosti</w:t>
      </w:r>
      <w:r w:rsidRPr="00AC0841">
        <w:rPr>
          <w:rStyle w:val="Odkaznapoznmkupodiarou"/>
        </w:rPr>
        <w:footnoteReference w:id="19"/>
      </w:r>
      <w:r w:rsidRPr="00AC0841">
        <w:t>) a TU Zvolen najmä aktivitami v podnikateľskej činnosti.</w:t>
      </w:r>
    </w:p>
    <w:p w:rsidR="006773CA" w:rsidRPr="00AC0841" w:rsidRDefault="00452F95" w:rsidP="00C2109F">
      <w:pPr>
        <w:pStyle w:val="Zoznam1"/>
      </w:pPr>
      <w:r w:rsidRPr="00AC0841">
        <w:rPr>
          <w:b/>
          <w:bCs/>
        </w:rPr>
        <w:lastRenderedPageBreak/>
        <w:t>Výsledok</w:t>
      </w:r>
      <w:r w:rsidRPr="00AC0841">
        <w:t xml:space="preserve"> hospodárenia verejných vysokých škôl za všetky verejné vysoké školy v roku 2014 bol (pred odvedením dane z príjmov) </w:t>
      </w:r>
      <w:r w:rsidRPr="00AC0841">
        <w:rPr>
          <w:b/>
          <w:bCs/>
        </w:rPr>
        <w:t>v hlavnej činnosti</w:t>
      </w:r>
      <w:r w:rsidRPr="00AC0841">
        <w:t xml:space="preserve"> vo výške </w:t>
      </w:r>
      <w:r w:rsidRPr="00AC0841">
        <w:rPr>
          <w:b/>
        </w:rPr>
        <w:t>3 590 214</w:t>
      </w:r>
      <w:r w:rsidRPr="00AC0841">
        <w:t xml:space="preserve"> </w:t>
      </w:r>
      <w:r w:rsidRPr="00AC0841">
        <w:rPr>
          <w:b/>
        </w:rPr>
        <w:t>€</w:t>
      </w:r>
      <w:r w:rsidRPr="00AC0841">
        <w:t>.</w:t>
      </w:r>
      <w:r w:rsidRPr="00AC0841">
        <w:rPr>
          <w:b/>
          <w:bCs/>
        </w:rPr>
        <w:t xml:space="preserve"> Kladný výsledok hospodárenia </w:t>
      </w:r>
      <w:r w:rsidRPr="00AC0841">
        <w:t>v hlavnej činnosti dosiahlo v roku 2014</w:t>
      </w:r>
      <w:r w:rsidRPr="00AC0841">
        <w:rPr>
          <w:b/>
          <w:bCs/>
        </w:rPr>
        <w:t xml:space="preserve"> pätnásť verejných vysokých škôl:</w:t>
      </w:r>
      <w:r w:rsidRPr="00AC0841">
        <w:t xml:space="preserve"> UK Bratislava, UPJŠ Košice, PU Prešov, UCM Trnava, UVLF Košice, UKF Nitra, UMB Banská Bystrica, TVU Trnava, TU Košice, ŽU Žilina, EU Bratislava, SPU Nitra, TU Zvolen, VŠMU Bratislava a UJS Komárno.</w:t>
      </w:r>
      <w:r w:rsidRPr="00AC0841">
        <w:rPr>
          <w:b/>
          <w:bCs/>
        </w:rPr>
        <w:t xml:space="preserve"> Päť </w:t>
      </w:r>
      <w:r w:rsidRPr="00AC0841">
        <w:t>z verejných vysokých škôl hospodárili v hlavnej činnosti</w:t>
      </w:r>
      <w:r w:rsidRPr="00AC0841">
        <w:rPr>
          <w:b/>
          <w:bCs/>
        </w:rPr>
        <w:t xml:space="preserve"> so stratou </w:t>
      </w:r>
      <w:r w:rsidRPr="00AC0841">
        <w:rPr>
          <w:bCs/>
        </w:rPr>
        <w:t>(</w:t>
      </w:r>
      <w:r w:rsidRPr="00AC0841">
        <w:t>STU Bratislava, TUAD Trenčín, VŠVU Bratislava, AU Banská Bystrica a KU Ružomberok)</w:t>
      </w:r>
      <w:r w:rsidRPr="00AC0841">
        <w:rPr>
          <w:bCs/>
        </w:rPr>
        <w:t>.</w:t>
      </w:r>
      <w:r w:rsidRPr="00AC0841">
        <w:rPr>
          <w:b/>
          <w:bCs/>
        </w:rPr>
        <w:t xml:space="preserve"> </w:t>
      </w:r>
      <w:r w:rsidRPr="00AC0841">
        <w:rPr>
          <w:bCs/>
        </w:rPr>
        <w:t>Dve z nich (STU Bratislava a VŠVU Bratislava</w:t>
      </w:r>
      <w:r w:rsidRPr="00AC0841">
        <w:rPr>
          <w:b/>
          <w:bCs/>
        </w:rPr>
        <w:t xml:space="preserve">) </w:t>
      </w:r>
      <w:r w:rsidRPr="00AC0841">
        <w:t>však majú túto stratu vykompenzovanú ziskom z podnikateľskej činnosti, ktorý je podľa zákona určený na dofinancovanie hlavnej činnosti verejnej vysokej školy.</w:t>
      </w:r>
    </w:p>
    <w:p w:rsidR="006773CA" w:rsidRPr="00AC0841" w:rsidRDefault="006773CA" w:rsidP="006773CA">
      <w:pPr>
        <w:pStyle w:val="Nadpis4"/>
        <w:rPr>
          <w:lang w:val="sk-SK"/>
        </w:rPr>
      </w:pPr>
      <w:bookmarkStart w:id="84" w:name="_Toc334996779"/>
      <w:bookmarkStart w:id="85" w:name="_Toc427750194"/>
      <w:r w:rsidRPr="00AC0841">
        <w:rPr>
          <w:lang w:val="sk-SK"/>
        </w:rPr>
        <w:t>Štruktúra nákladov a výnosov v hlavnej činnosti</w:t>
      </w:r>
      <w:bookmarkEnd w:id="84"/>
      <w:bookmarkEnd w:id="85"/>
    </w:p>
    <w:p w:rsidR="00452F95" w:rsidRPr="00BA436E" w:rsidRDefault="006773CA" w:rsidP="00BA436E">
      <w:pPr>
        <w:pStyle w:val="Zoznam1"/>
      </w:pPr>
      <w:r w:rsidRPr="00BA436E">
        <w:rPr>
          <w:b/>
        </w:rPr>
        <w:t>Hlavné položky nákladov</w:t>
      </w:r>
      <w:r w:rsidRPr="000845C4">
        <w:t xml:space="preserve"> verejných vysokých škôl </w:t>
      </w:r>
      <w:r w:rsidRPr="00BA436E">
        <w:t>v hlavnej činnosti</w:t>
      </w:r>
      <w:r w:rsidRPr="000845C4">
        <w:t xml:space="preserve"> vrátane ich percentuálneho podielu na celkových nákladoch sú nasledovné </w:t>
      </w:r>
      <w:r w:rsidR="000D1D4E" w:rsidRPr="00BA436E">
        <w:t>(tabuľka č. 2</w:t>
      </w:r>
      <w:r w:rsidR="008A669B" w:rsidRPr="00BA436E">
        <w:t>0</w:t>
      </w:r>
      <w:r w:rsidRPr="00BA436E">
        <w:t>)</w:t>
      </w:r>
      <w:r w:rsidR="00452F95" w:rsidRPr="00BA436E">
        <w:t xml:space="preserve">: </w:t>
      </w:r>
    </w:p>
    <w:p w:rsidR="00452F95" w:rsidRPr="00AC0841" w:rsidRDefault="00452F95" w:rsidP="00452F95">
      <w:pPr>
        <w:numPr>
          <w:ilvl w:val="0"/>
          <w:numId w:val="8"/>
        </w:numPr>
        <w:tabs>
          <w:tab w:val="right" w:pos="6804"/>
          <w:tab w:val="right" w:pos="8789"/>
        </w:tabs>
        <w:autoSpaceDE w:val="0"/>
        <w:autoSpaceDN w:val="0"/>
        <w:ind w:left="1497" w:hanging="357"/>
      </w:pPr>
      <w:r w:rsidRPr="00AC0841">
        <w:t>501 – spotreba materiálu</w:t>
      </w:r>
      <w:r w:rsidRPr="00AC0841">
        <w:tab/>
        <w:t>36 056 062 €</w:t>
      </w:r>
      <w:r w:rsidRPr="00AC0841">
        <w:tab/>
        <w:t xml:space="preserve">5,30 % </w:t>
      </w:r>
    </w:p>
    <w:p w:rsidR="00452F95" w:rsidRPr="00AC0841" w:rsidRDefault="00452F95" w:rsidP="00452F95">
      <w:pPr>
        <w:numPr>
          <w:ilvl w:val="0"/>
          <w:numId w:val="8"/>
        </w:numPr>
        <w:tabs>
          <w:tab w:val="right" w:pos="6804"/>
          <w:tab w:val="right" w:pos="8789"/>
        </w:tabs>
        <w:autoSpaceDE w:val="0"/>
        <w:autoSpaceDN w:val="0"/>
        <w:ind w:left="1497" w:hanging="357"/>
      </w:pPr>
      <w:r w:rsidRPr="00AC0841">
        <w:t>502 – spotreba energie</w:t>
      </w:r>
      <w:r w:rsidRPr="00AC0841">
        <w:tab/>
        <w:t>31 219 662 €</w:t>
      </w:r>
      <w:r w:rsidRPr="00AC0841">
        <w:tab/>
        <w:t>4,59 %</w:t>
      </w:r>
    </w:p>
    <w:p w:rsidR="00452F95" w:rsidRPr="00AC0841" w:rsidRDefault="00452F95" w:rsidP="00452F95">
      <w:pPr>
        <w:numPr>
          <w:ilvl w:val="0"/>
          <w:numId w:val="8"/>
        </w:numPr>
        <w:tabs>
          <w:tab w:val="right" w:pos="6804"/>
          <w:tab w:val="right" w:pos="8789"/>
        </w:tabs>
        <w:autoSpaceDE w:val="0"/>
        <w:autoSpaceDN w:val="0"/>
        <w:ind w:left="1497" w:hanging="357"/>
      </w:pPr>
      <w:r w:rsidRPr="00AC0841">
        <w:t>504 – predaný tovar</w:t>
      </w:r>
      <w:r w:rsidRPr="00AC0841">
        <w:tab/>
        <w:t>3 192 762 €</w:t>
      </w:r>
      <w:r w:rsidRPr="00AC0841">
        <w:tab/>
        <w:t>0,47 %</w:t>
      </w:r>
    </w:p>
    <w:p w:rsidR="00452F95" w:rsidRPr="00AC0841" w:rsidRDefault="00452F95" w:rsidP="00452F95">
      <w:pPr>
        <w:numPr>
          <w:ilvl w:val="0"/>
          <w:numId w:val="8"/>
        </w:numPr>
        <w:tabs>
          <w:tab w:val="right" w:pos="6804"/>
          <w:tab w:val="right" w:pos="8789"/>
        </w:tabs>
        <w:autoSpaceDE w:val="0"/>
        <w:autoSpaceDN w:val="0"/>
        <w:ind w:left="1497" w:hanging="357"/>
      </w:pPr>
      <w:r w:rsidRPr="00AC0841">
        <w:t>511 – opravy a udržiavanie</w:t>
      </w:r>
      <w:r w:rsidRPr="00AC0841">
        <w:tab/>
        <w:t>14 631 606 €</w:t>
      </w:r>
      <w:r w:rsidRPr="00AC0841">
        <w:tab/>
        <w:t>2,15 %</w:t>
      </w:r>
    </w:p>
    <w:p w:rsidR="00452F95" w:rsidRPr="00AC0841" w:rsidRDefault="00452F95" w:rsidP="00452F95">
      <w:pPr>
        <w:numPr>
          <w:ilvl w:val="0"/>
          <w:numId w:val="8"/>
        </w:numPr>
        <w:tabs>
          <w:tab w:val="right" w:pos="6804"/>
          <w:tab w:val="right" w:pos="8789"/>
        </w:tabs>
        <w:autoSpaceDE w:val="0"/>
        <w:autoSpaceDN w:val="0"/>
        <w:ind w:left="1497" w:hanging="357"/>
      </w:pPr>
      <w:r w:rsidRPr="00AC0841">
        <w:t>512 – cestovné</w:t>
      </w:r>
      <w:r w:rsidRPr="00AC0841">
        <w:tab/>
        <w:t>10 384 048 €</w:t>
      </w:r>
      <w:r w:rsidRPr="00AC0841">
        <w:tab/>
        <w:t>1,53 %</w:t>
      </w:r>
    </w:p>
    <w:p w:rsidR="00452F95" w:rsidRPr="00AC0841" w:rsidRDefault="00452F95" w:rsidP="00452F95">
      <w:pPr>
        <w:numPr>
          <w:ilvl w:val="0"/>
          <w:numId w:val="8"/>
        </w:numPr>
        <w:tabs>
          <w:tab w:val="right" w:pos="6804"/>
          <w:tab w:val="right" w:pos="8789"/>
        </w:tabs>
        <w:autoSpaceDE w:val="0"/>
        <w:autoSpaceDN w:val="0"/>
        <w:ind w:left="1497" w:hanging="357"/>
      </w:pPr>
      <w:r w:rsidRPr="00AC0841">
        <w:t>518 – ostatné služby</w:t>
      </w:r>
      <w:r w:rsidRPr="00AC0841">
        <w:tab/>
        <w:t>44 903 013 €</w:t>
      </w:r>
      <w:r w:rsidRPr="00AC0841">
        <w:tab/>
        <w:t>6,60 %</w:t>
      </w:r>
    </w:p>
    <w:p w:rsidR="00452F95" w:rsidRPr="00AC0841" w:rsidRDefault="00452F95" w:rsidP="00452F95">
      <w:pPr>
        <w:numPr>
          <w:ilvl w:val="0"/>
          <w:numId w:val="8"/>
        </w:numPr>
        <w:tabs>
          <w:tab w:val="right" w:pos="6804"/>
          <w:tab w:val="right" w:pos="8789"/>
        </w:tabs>
        <w:autoSpaceDE w:val="0"/>
        <w:autoSpaceDN w:val="0"/>
        <w:ind w:left="1497" w:hanging="357"/>
      </w:pPr>
      <w:r w:rsidRPr="00AC0841">
        <w:t>521 – mzdové náklady</w:t>
      </w:r>
      <w:r w:rsidRPr="00AC0841">
        <w:tab/>
        <w:t>271 736 682 €</w:t>
      </w:r>
      <w:r w:rsidRPr="00AC0841">
        <w:tab/>
        <w:t>39,91 %</w:t>
      </w:r>
    </w:p>
    <w:p w:rsidR="00452F95" w:rsidRPr="00AC0841" w:rsidRDefault="00452F95" w:rsidP="00452F95">
      <w:pPr>
        <w:numPr>
          <w:ilvl w:val="0"/>
          <w:numId w:val="8"/>
        </w:numPr>
        <w:tabs>
          <w:tab w:val="right" w:pos="6804"/>
          <w:tab w:val="right" w:pos="8789"/>
        </w:tabs>
        <w:autoSpaceDE w:val="0"/>
        <w:autoSpaceDN w:val="0"/>
        <w:ind w:left="1497" w:hanging="357"/>
      </w:pPr>
      <w:r w:rsidRPr="00AC0841">
        <w:t>524 – zákonné sociálne poistenie</w:t>
      </w:r>
      <w:r w:rsidRPr="00AC0841">
        <w:tab/>
        <w:t>92 474 832 €</w:t>
      </w:r>
      <w:r w:rsidRPr="00AC0841">
        <w:tab/>
        <w:t>13,58 %</w:t>
      </w:r>
    </w:p>
    <w:p w:rsidR="00452F95" w:rsidRPr="00AC0841" w:rsidRDefault="00452F95" w:rsidP="00452F95">
      <w:pPr>
        <w:numPr>
          <w:ilvl w:val="0"/>
          <w:numId w:val="8"/>
        </w:numPr>
        <w:tabs>
          <w:tab w:val="right" w:pos="6804"/>
          <w:tab w:val="right" w:pos="8789"/>
        </w:tabs>
        <w:autoSpaceDE w:val="0"/>
        <w:autoSpaceDN w:val="0"/>
        <w:ind w:left="1497" w:hanging="357"/>
      </w:pPr>
      <w:r w:rsidRPr="00AC0841">
        <w:t>527 – zákonné sociálne náklady</w:t>
      </w:r>
      <w:r w:rsidRPr="00AC0841">
        <w:tab/>
        <w:t>10 673 345 €</w:t>
      </w:r>
      <w:r w:rsidRPr="00AC0841">
        <w:tab/>
        <w:t>1,57 %</w:t>
      </w:r>
    </w:p>
    <w:p w:rsidR="00452F95" w:rsidRPr="00AC0841" w:rsidRDefault="00452F95" w:rsidP="00452F95">
      <w:pPr>
        <w:numPr>
          <w:ilvl w:val="0"/>
          <w:numId w:val="8"/>
        </w:numPr>
        <w:tabs>
          <w:tab w:val="right" w:pos="6804"/>
          <w:tab w:val="right" w:pos="8789"/>
        </w:tabs>
        <w:autoSpaceDE w:val="0"/>
        <w:autoSpaceDN w:val="0"/>
        <w:ind w:left="1497" w:hanging="357"/>
      </w:pPr>
      <w:r w:rsidRPr="00AC0841">
        <w:t>549 – iné ostatné náklady                          48 904 423</w:t>
      </w:r>
      <w:r w:rsidRPr="00AC0841">
        <w:tab/>
        <w:t>€</w:t>
      </w:r>
      <w:r w:rsidRPr="00AC0841">
        <w:tab/>
        <w:t>7,18 %</w:t>
      </w:r>
    </w:p>
    <w:p w:rsidR="00452F95" w:rsidRPr="00AC0841" w:rsidRDefault="00452F95" w:rsidP="00452F95">
      <w:pPr>
        <w:numPr>
          <w:ilvl w:val="0"/>
          <w:numId w:val="8"/>
        </w:numPr>
        <w:tabs>
          <w:tab w:val="right" w:pos="6804"/>
          <w:tab w:val="right" w:pos="8789"/>
        </w:tabs>
        <w:autoSpaceDE w:val="0"/>
        <w:autoSpaceDN w:val="0"/>
        <w:ind w:left="1497" w:hanging="357"/>
      </w:pPr>
      <w:r w:rsidRPr="00AC0841">
        <w:t>551 – odpisy</w:t>
      </w:r>
      <w:r w:rsidRPr="00AC0841">
        <w:tab/>
        <w:t xml:space="preserve"> 78 290 580  €</w:t>
      </w:r>
      <w:r w:rsidRPr="00AC0841">
        <w:tab/>
        <w:t>11,50 %</w:t>
      </w:r>
    </w:p>
    <w:p w:rsidR="00452F95" w:rsidRPr="00AC0841" w:rsidRDefault="00452F95" w:rsidP="00452F95">
      <w:pPr>
        <w:numPr>
          <w:ilvl w:val="0"/>
          <w:numId w:val="8"/>
        </w:numPr>
        <w:tabs>
          <w:tab w:val="right" w:pos="6804"/>
          <w:tab w:val="right" w:pos="8789"/>
        </w:tabs>
        <w:autoSpaceDE w:val="0"/>
        <w:autoSpaceDN w:val="0"/>
        <w:spacing w:after="120"/>
      </w:pPr>
      <w:r w:rsidRPr="00AC0841">
        <w:t>591 – daň z príjmu                                         107 852  €</w:t>
      </w:r>
      <w:r w:rsidRPr="00AC0841">
        <w:tab/>
      </w:r>
      <w:r w:rsidRPr="00AC0841">
        <w:tab/>
        <w:t>0,01 %</w:t>
      </w:r>
    </w:p>
    <w:p w:rsidR="00452F95" w:rsidRPr="00AC0841" w:rsidRDefault="00452F95" w:rsidP="00C2109F">
      <w:pPr>
        <w:pStyle w:val="Zoznam1"/>
      </w:pPr>
      <w:r w:rsidRPr="00AC0841">
        <w:t xml:space="preserve">Hlavnými nákladovými položkami verejných vysokých škôl na okruhu hlavnej činnosti v rámci účtu </w:t>
      </w:r>
      <w:r w:rsidRPr="00AC0841">
        <w:rPr>
          <w:b/>
          <w:bCs/>
        </w:rPr>
        <w:t>501 – spotreba materiálu</w:t>
      </w:r>
      <w:r w:rsidRPr="00AC0841">
        <w:t xml:space="preserve"> v roku 2014 boli náklady na prístroje a zariadenia laboratórií, ktoré nepatria do dlhodobého hmotného </w:t>
      </w:r>
      <w:r w:rsidR="00931B0F">
        <w:t xml:space="preserve">majetku </w:t>
      </w:r>
      <w:r w:rsidRPr="00AC0841">
        <w:t>(6 893 tis. €), chemikálie a iný materiál na zabezpečenie experimentálnej výučby (7 072 tis. €), potraviny (3 229 tis. €), kancelárske potreby a materiál (2 599 tis. €), časopisy a noviny (2 565 tis. €), nábytok (2 021 tis. €), knihy, čistiace a hygienické a dezinfekčné potreby (1 017 tis. €), pohonné hmoty a ostatný materiál (922 €), ostatný materiál (4 089 tis. €).</w:t>
      </w:r>
    </w:p>
    <w:p w:rsidR="00452F95" w:rsidRPr="00AC0841" w:rsidRDefault="00452F95" w:rsidP="00C2109F">
      <w:pPr>
        <w:pStyle w:val="Zoznam1"/>
      </w:pPr>
      <w:r w:rsidRPr="00AC0841">
        <w:t xml:space="preserve">Hlavnými nákladovými položkami v rámci účtu </w:t>
      </w:r>
      <w:r w:rsidRPr="00AC0841">
        <w:rPr>
          <w:b/>
          <w:bCs/>
        </w:rPr>
        <w:t xml:space="preserve">502 – spotreba energie </w:t>
      </w:r>
      <w:r w:rsidRPr="00AC0841">
        <w:t>v roku 2014 boli náklady na elektrickú energiu (10 461 tis. €), na tepelnú energiu (10 226 tis. €), na plyn (5</w:t>
      </w:r>
      <w:r w:rsidR="000E6F1F">
        <w:t> </w:t>
      </w:r>
      <w:r w:rsidRPr="00AC0841">
        <w:t>744</w:t>
      </w:r>
      <w:r w:rsidR="000E6F1F">
        <w:t xml:space="preserve"> </w:t>
      </w:r>
      <w:r w:rsidRPr="00AC0841">
        <w:t>tis. €) a vodné a stočné (4 241 tis. €).</w:t>
      </w:r>
    </w:p>
    <w:p w:rsidR="00452F95" w:rsidRPr="00AC0841" w:rsidRDefault="00452F95" w:rsidP="00C2109F">
      <w:pPr>
        <w:pStyle w:val="Zoznam1"/>
      </w:pPr>
      <w:r w:rsidRPr="00AC0841">
        <w:t xml:space="preserve">Hlavnými nákladovými položkami v rámci účtu </w:t>
      </w:r>
      <w:r w:rsidRPr="00AC0841">
        <w:rPr>
          <w:b/>
          <w:bCs/>
        </w:rPr>
        <w:t xml:space="preserve">511 – opravy a udržiavanie </w:t>
      </w:r>
      <w:r w:rsidRPr="00AC0841">
        <w:t>v roku 2014 boli náklady na opravu a udržiavanie stavieb (10 010 tis. €), na opravy a udržiavanie strojov, prístrojov, zariadení a inventára (1 832tis. €), na opravy dopravných prostriedkov (330</w:t>
      </w:r>
      <w:r w:rsidR="000E6F1F">
        <w:t xml:space="preserve"> </w:t>
      </w:r>
      <w:r w:rsidRPr="00AC0841">
        <w:t>tis. €), na opravy a udržiavanie prostriedkov IT (680</w:t>
      </w:r>
      <w:r w:rsidR="000E6F1F">
        <w:t xml:space="preserve"> </w:t>
      </w:r>
      <w:r w:rsidRPr="00AC0841">
        <w:t>tis. €), údržba a opravy meracej techniky, telovýchovných  zariadení (113 tis. €), ostatná údržba a opravy (933 tis. €).</w:t>
      </w:r>
    </w:p>
    <w:p w:rsidR="00452F95" w:rsidRPr="00AC0841" w:rsidRDefault="00452F95" w:rsidP="00C2109F">
      <w:pPr>
        <w:pStyle w:val="Zoznam1"/>
      </w:pPr>
      <w:r w:rsidRPr="00AC0841">
        <w:t xml:space="preserve">Hlavnými nákladovými položkami v rámci účtu </w:t>
      </w:r>
      <w:r w:rsidRPr="00AC0841">
        <w:rPr>
          <w:b/>
          <w:bCs/>
        </w:rPr>
        <w:t xml:space="preserve">512 – cestovné </w:t>
      </w:r>
      <w:r w:rsidRPr="00AC0841">
        <w:t>v roku 2014 boli náklady na zahraničné cestovné (8 945 tis. €) a domáce cestovné (1 438 tis. €).</w:t>
      </w:r>
    </w:p>
    <w:p w:rsidR="00452F95" w:rsidRPr="00AC0841" w:rsidRDefault="00452F95" w:rsidP="00C2109F">
      <w:pPr>
        <w:pStyle w:val="Zoznam1"/>
      </w:pPr>
      <w:r w:rsidRPr="00AC0841">
        <w:lastRenderedPageBreak/>
        <w:t xml:space="preserve">Náklady na účte </w:t>
      </w:r>
      <w:r w:rsidRPr="00AC0841">
        <w:rPr>
          <w:b/>
        </w:rPr>
        <w:t>551 – odpisy dlhodobého nehmotného a hmotného majetku</w:t>
      </w:r>
      <w:r w:rsidRPr="00AC0841">
        <w:t xml:space="preserve"> sa členia na náklady na </w:t>
      </w:r>
      <w:r w:rsidRPr="00AC0841">
        <w:rPr>
          <w:b/>
        </w:rPr>
        <w:t xml:space="preserve">odpisy </w:t>
      </w:r>
      <w:r w:rsidRPr="00AC0841">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rsidR="00452F95" w:rsidRPr="00AC0841" w:rsidRDefault="00452F95" w:rsidP="00C2109F">
      <w:pPr>
        <w:pStyle w:val="Zoznam1"/>
      </w:pPr>
      <w:r w:rsidRPr="00AC0841">
        <w:rPr>
          <w:b/>
          <w:bCs/>
        </w:rPr>
        <w:t>Hlavné položky výnosov</w:t>
      </w:r>
      <w:r w:rsidRPr="00AC0841">
        <w:t xml:space="preserve"> verejných vysokých škôl </w:t>
      </w:r>
      <w:r w:rsidRPr="00AC0841">
        <w:rPr>
          <w:b/>
          <w:bCs/>
        </w:rPr>
        <w:t>v hlavnej činnosti</w:t>
      </w:r>
      <w:r w:rsidRPr="00AC0841">
        <w:t xml:space="preserve"> vrátane ich percentuálneho podielu na celkových výnosoch sú nasledovné: (</w:t>
      </w:r>
      <w:r w:rsidRPr="0058297F">
        <w:rPr>
          <w:bCs/>
        </w:rPr>
        <w:t>tabuľka č.</w:t>
      </w:r>
      <w:r w:rsidR="008A669B" w:rsidRPr="0058297F">
        <w:rPr>
          <w:bCs/>
        </w:rPr>
        <w:t>19</w:t>
      </w:r>
      <w:r w:rsidRPr="00AC0841">
        <w:rPr>
          <w:bCs/>
        </w:rPr>
        <w:t xml:space="preserve"> )</w:t>
      </w:r>
    </w:p>
    <w:p w:rsidR="00452F95" w:rsidRPr="00AC0841" w:rsidRDefault="00452F95" w:rsidP="00452F95">
      <w:pPr>
        <w:numPr>
          <w:ilvl w:val="0"/>
          <w:numId w:val="9"/>
        </w:numPr>
        <w:tabs>
          <w:tab w:val="right" w:pos="6804"/>
          <w:tab w:val="right" w:pos="8789"/>
        </w:tabs>
        <w:autoSpaceDE w:val="0"/>
        <w:autoSpaceDN w:val="0"/>
        <w:ind w:left="1497" w:hanging="357"/>
      </w:pPr>
      <w:r w:rsidRPr="00AC0841">
        <w:t>601 – tržby za vlastné výrobky</w:t>
      </w:r>
      <w:r w:rsidRPr="00AC0841">
        <w:tab/>
        <w:t xml:space="preserve">368 900 € </w:t>
      </w:r>
      <w:r w:rsidRPr="00AC0841">
        <w:tab/>
        <w:t>0,05 %</w:t>
      </w:r>
    </w:p>
    <w:p w:rsidR="00452F95" w:rsidRPr="00AC0841" w:rsidRDefault="00452F95" w:rsidP="00452F95">
      <w:pPr>
        <w:numPr>
          <w:ilvl w:val="0"/>
          <w:numId w:val="9"/>
        </w:numPr>
        <w:tabs>
          <w:tab w:val="right" w:pos="6804"/>
          <w:tab w:val="right" w:pos="8789"/>
        </w:tabs>
        <w:autoSpaceDE w:val="0"/>
        <w:autoSpaceDN w:val="0"/>
        <w:ind w:left="1497" w:hanging="357"/>
      </w:pPr>
      <w:r w:rsidRPr="00AC0841">
        <w:t>602 – tržby z predaja služieb</w:t>
      </w:r>
      <w:r w:rsidRPr="00AC0841">
        <w:tab/>
        <w:t>35 498 100 €</w:t>
      </w:r>
      <w:r w:rsidRPr="00AC0841">
        <w:tab/>
        <w:t xml:space="preserve">  5,19 %</w:t>
      </w:r>
    </w:p>
    <w:p w:rsidR="00452F95" w:rsidRPr="00AC0841" w:rsidRDefault="00452F95" w:rsidP="00452F95">
      <w:pPr>
        <w:numPr>
          <w:ilvl w:val="0"/>
          <w:numId w:val="9"/>
        </w:numPr>
        <w:tabs>
          <w:tab w:val="right" w:pos="6804"/>
          <w:tab w:val="right" w:pos="8789"/>
        </w:tabs>
        <w:autoSpaceDE w:val="0"/>
        <w:autoSpaceDN w:val="0"/>
        <w:ind w:left="1497" w:hanging="357"/>
      </w:pPr>
      <w:r w:rsidRPr="00AC0841">
        <w:t>604 – tržby za predaný tovar</w:t>
      </w:r>
      <w:r w:rsidRPr="00AC0841">
        <w:tab/>
        <w:t>3 414 380 €</w:t>
      </w:r>
      <w:r w:rsidRPr="00AC0841">
        <w:tab/>
        <w:t xml:space="preserve"> 0,5 %</w:t>
      </w:r>
    </w:p>
    <w:p w:rsidR="00452F95" w:rsidRPr="00AC0841" w:rsidRDefault="00452F95" w:rsidP="00452F95">
      <w:pPr>
        <w:numPr>
          <w:ilvl w:val="0"/>
          <w:numId w:val="9"/>
        </w:numPr>
        <w:tabs>
          <w:tab w:val="right" w:pos="6804"/>
          <w:tab w:val="right" w:pos="8789"/>
        </w:tabs>
        <w:autoSpaceDE w:val="0"/>
        <w:autoSpaceDN w:val="0"/>
        <w:ind w:left="1497" w:hanging="357"/>
      </w:pPr>
      <w:r w:rsidRPr="00AC0841">
        <w:t>649 – iné ostatné výnosy</w:t>
      </w:r>
      <w:r w:rsidRPr="00AC0841">
        <w:tab/>
        <w:t>80 242 600 €</w:t>
      </w:r>
      <w:r w:rsidRPr="00AC0841">
        <w:tab/>
        <w:t>11,72 %</w:t>
      </w:r>
    </w:p>
    <w:p w:rsidR="00452F95" w:rsidRPr="00AC0841" w:rsidRDefault="00452F95" w:rsidP="00452F95">
      <w:pPr>
        <w:numPr>
          <w:ilvl w:val="0"/>
          <w:numId w:val="9"/>
        </w:numPr>
        <w:tabs>
          <w:tab w:val="right" w:pos="6804"/>
          <w:tab w:val="right" w:pos="8789"/>
        </w:tabs>
        <w:autoSpaceDE w:val="0"/>
        <w:autoSpaceDN w:val="0"/>
        <w:ind w:left="1497" w:hanging="357"/>
      </w:pPr>
      <w:r w:rsidRPr="00AC0841">
        <w:t xml:space="preserve">651 – tržby z predaja dlhodobého                   </w:t>
      </w:r>
    </w:p>
    <w:p w:rsidR="00452F95" w:rsidRPr="00AC0841" w:rsidRDefault="00452F95" w:rsidP="00452F95">
      <w:pPr>
        <w:tabs>
          <w:tab w:val="right" w:pos="6804"/>
          <w:tab w:val="right" w:pos="8789"/>
        </w:tabs>
        <w:autoSpaceDE w:val="0"/>
        <w:autoSpaceDN w:val="0"/>
        <w:ind w:left="1140"/>
      </w:pPr>
      <w:r w:rsidRPr="00AC0841">
        <w:t xml:space="preserve">      nehmotného a hmotného majetku</w:t>
      </w:r>
      <w:r w:rsidRPr="00AC0841">
        <w:tab/>
        <w:t xml:space="preserve">                643 799 €           </w:t>
      </w:r>
      <w:r w:rsidRPr="00AC0841">
        <w:tab/>
        <w:t xml:space="preserve">     0,09 %</w:t>
      </w:r>
    </w:p>
    <w:p w:rsidR="00452F95" w:rsidRPr="00AC0841" w:rsidRDefault="00452F95" w:rsidP="00452F95">
      <w:pPr>
        <w:numPr>
          <w:ilvl w:val="0"/>
          <w:numId w:val="9"/>
        </w:numPr>
        <w:tabs>
          <w:tab w:val="right" w:pos="6804"/>
          <w:tab w:val="right" w:pos="8789"/>
        </w:tabs>
        <w:autoSpaceDE w:val="0"/>
        <w:autoSpaceDN w:val="0"/>
        <w:ind w:left="1497" w:hanging="357"/>
      </w:pPr>
      <w:r w:rsidRPr="00AC0841">
        <w:t>658 – výnosy z prenájmu majetku</w:t>
      </w:r>
      <w:r w:rsidRPr="00AC0841">
        <w:tab/>
        <w:t>157 396 €</w:t>
      </w:r>
      <w:r w:rsidRPr="00AC0841">
        <w:tab/>
        <w:t xml:space="preserve">        0,02 %</w:t>
      </w:r>
    </w:p>
    <w:p w:rsidR="00452F95" w:rsidRPr="00AC0841" w:rsidRDefault="00452F95" w:rsidP="00452F95">
      <w:pPr>
        <w:numPr>
          <w:ilvl w:val="0"/>
          <w:numId w:val="9"/>
        </w:numPr>
        <w:tabs>
          <w:tab w:val="right" w:pos="6804"/>
          <w:tab w:val="right" w:pos="8789"/>
        </w:tabs>
        <w:autoSpaceDE w:val="0"/>
        <w:autoSpaceDN w:val="0"/>
        <w:spacing w:after="120"/>
      </w:pPr>
      <w:r w:rsidRPr="00AC0841">
        <w:t>691 – dotácie</w:t>
      </w:r>
      <w:r w:rsidRPr="00AC0841">
        <w:tab/>
        <w:t xml:space="preserve">                      557 037 801 € </w:t>
      </w:r>
      <w:r w:rsidRPr="00AC0841">
        <w:tab/>
        <w:t>81,39 %</w:t>
      </w:r>
    </w:p>
    <w:p w:rsidR="00452F95" w:rsidRPr="00AC0841" w:rsidRDefault="00452F95" w:rsidP="00C2109F">
      <w:pPr>
        <w:pStyle w:val="Zoznam1"/>
      </w:pPr>
      <w:r w:rsidRPr="00AC0841">
        <w:t xml:space="preserve">Hlavnou položkou v rámci účtu </w:t>
      </w:r>
      <w:r w:rsidRPr="00AC0841">
        <w:rPr>
          <w:b/>
          <w:bCs/>
        </w:rPr>
        <w:t xml:space="preserve">601 – tržby za vlastné výrobky </w:t>
      </w:r>
      <w:r w:rsidRPr="00AC0841">
        <w:t xml:space="preserve">boli výnosy študentských jedální (169 tis. €). </w:t>
      </w:r>
    </w:p>
    <w:p w:rsidR="00452F95" w:rsidRPr="00AC0841" w:rsidRDefault="00452F95" w:rsidP="00C2109F">
      <w:pPr>
        <w:pStyle w:val="Zoznam1"/>
      </w:pPr>
      <w:r w:rsidRPr="00AC0841">
        <w:t xml:space="preserve">Hlavnou položkou v rámci účtu </w:t>
      </w:r>
      <w:r w:rsidRPr="00AC0841">
        <w:rPr>
          <w:b/>
          <w:bCs/>
        </w:rPr>
        <w:t xml:space="preserve">602 – tržby z predaja služieb </w:t>
      </w:r>
      <w:r w:rsidRPr="00AC0841">
        <w:t>boli najmä výnosy z ubytovania denných študentov (21 851 tis. €), zo stravných lístkov študentov (6 539 tis. €), z ubytovania a stravovania iných fyzických osôb (929</w:t>
      </w:r>
      <w:r w:rsidR="000E6F1F">
        <w:t xml:space="preserve"> </w:t>
      </w:r>
      <w:r w:rsidRPr="00AC0841">
        <w:t>tis. €).</w:t>
      </w:r>
    </w:p>
    <w:p w:rsidR="00452F95" w:rsidRPr="000E6F1F" w:rsidRDefault="00452F95" w:rsidP="00C2109F">
      <w:pPr>
        <w:pStyle w:val="Zoznam1"/>
      </w:pPr>
      <w:r w:rsidRPr="000E6F1F">
        <w:t xml:space="preserve">Hlavnými </w:t>
      </w:r>
      <w:r w:rsidR="000E6F1F" w:rsidRPr="000E6F1F">
        <w:t xml:space="preserve">položkami v rámci účtu </w:t>
      </w:r>
      <w:r w:rsidR="000E6F1F" w:rsidRPr="000E6F1F">
        <w:rPr>
          <w:b/>
          <w:bCs/>
        </w:rPr>
        <w:t xml:space="preserve">649 – iné ostatné výnosy </w:t>
      </w:r>
      <w:r w:rsidR="000E6F1F" w:rsidRPr="000E6F1F">
        <w:rPr>
          <w:bCs/>
        </w:rPr>
        <w:t>boli</w:t>
      </w:r>
      <w:r w:rsidR="000E6F1F" w:rsidRPr="000E6F1F">
        <w:rPr>
          <w:b/>
          <w:bCs/>
        </w:rPr>
        <w:t xml:space="preserve"> </w:t>
      </w:r>
      <w:r w:rsidR="000E6F1F" w:rsidRPr="000E6F1F">
        <w:rPr>
          <w:b/>
        </w:rPr>
        <w:t>výnosy zo školného</w:t>
      </w:r>
      <w:r w:rsidR="000E6F1F" w:rsidRPr="000E6F1F">
        <w:t xml:space="preserve"> </w:t>
      </w:r>
      <w:r w:rsidR="000E6F1F" w:rsidRPr="000E6F1F">
        <w:rPr>
          <w:b/>
        </w:rPr>
        <w:t>45 243 tis. €</w:t>
      </w:r>
      <w:r w:rsidR="000E6F1F" w:rsidRPr="000E6F1F">
        <w:t xml:space="preserve"> (v tom 6 102 tis. € za prekročenie štandardnej dĺžky štúdia v dennej forme alebo súbežné štúdium, 22 032 tis. € za cudzojazyčné štúdium dennou formou a 16 926 tis. € školné za štúdium v externej forme štúdia),  </w:t>
      </w:r>
      <w:r w:rsidR="000E6F1F" w:rsidRPr="000E6F1F">
        <w:rPr>
          <w:b/>
        </w:rPr>
        <w:t>výnosy z poplatkov spojených so štúdiom</w:t>
      </w:r>
      <w:r w:rsidR="000E6F1F" w:rsidRPr="000E6F1F">
        <w:t xml:space="preserve"> </w:t>
      </w:r>
      <w:r w:rsidR="000E6F1F" w:rsidRPr="000E6F1F">
        <w:rPr>
          <w:b/>
        </w:rPr>
        <w:t xml:space="preserve">5 795 tis. € </w:t>
      </w:r>
      <w:r w:rsidR="000E6F1F" w:rsidRPr="000E6F1F">
        <w:t>(v tom 4 257 tis. € poplatky za prijímacie konanie, 811 tis. € poplatky za rigorózne konanie, 612 tis. €</w:t>
      </w:r>
      <w:r w:rsidR="000E6F1F" w:rsidRPr="000E6F1F">
        <w:rPr>
          <w:b/>
        </w:rPr>
        <w:t xml:space="preserve"> </w:t>
      </w:r>
      <w:r w:rsidR="000E6F1F" w:rsidRPr="000E6F1F">
        <w:t>výnosy za vydanie dokladov o štúdiu a ich kópií, 115 tis. €  za vydanie diplomu za</w:t>
      </w:r>
      <w:r w:rsidR="000E6F1F">
        <w:t> </w:t>
      </w:r>
      <w:r w:rsidR="000E6F1F" w:rsidRPr="000E6F1F">
        <w:t xml:space="preserve">rigorózne konanie). Ďalšiu časť iných ostatných výnosov tvorili </w:t>
      </w:r>
      <w:r w:rsidR="000E6F1F" w:rsidRPr="000E6F1F">
        <w:rPr>
          <w:b/>
        </w:rPr>
        <w:t>výnosy za ďalšie vzdelávanie 3 197 tis. €,</w:t>
      </w:r>
      <w:r w:rsidR="000E6F1F" w:rsidRPr="000E6F1F">
        <w:t xml:space="preserve"> </w:t>
      </w:r>
      <w:r w:rsidR="000E6F1F" w:rsidRPr="000E6F1F">
        <w:rPr>
          <w:b/>
        </w:rPr>
        <w:t>výnosy z darov 1 031 tis. €</w:t>
      </w:r>
      <w:r w:rsidR="000E6F1F" w:rsidRPr="000E6F1F">
        <w:t>. Zvyšok tvorili výnosy z budúcich období, vložné na konferencie, príspevky na úhradu výdavkov zahraničných študentov študujúcich v rámci medzinárodných zmlúv a ďalšie analyticky samostatne nesledované výnosy</w:t>
      </w:r>
      <w:r w:rsidRPr="000E6F1F">
        <w:t xml:space="preserve">. </w:t>
      </w:r>
    </w:p>
    <w:p w:rsidR="006773CA" w:rsidRPr="00AC0841" w:rsidRDefault="00452F95" w:rsidP="00C2109F">
      <w:pPr>
        <w:pStyle w:val="Zoznam1"/>
      </w:pPr>
      <w:r w:rsidRPr="00AC0841">
        <w:t xml:space="preserve">Hlavnými položkami v rámci účtu </w:t>
      </w:r>
      <w:r w:rsidRPr="00AC0841">
        <w:rPr>
          <w:b/>
          <w:bCs/>
        </w:rPr>
        <w:t xml:space="preserve">691 – prevádzkové dotácie </w:t>
      </w:r>
      <w:r w:rsidRPr="00AC0841">
        <w:t xml:space="preserve">boli bežné dotácie poskytnuté v roku 2014 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 </w:t>
      </w:r>
    </w:p>
    <w:p w:rsidR="006773CA" w:rsidRPr="00AC0841" w:rsidRDefault="006773CA" w:rsidP="006773CA">
      <w:pPr>
        <w:pStyle w:val="Nadpis4"/>
        <w:rPr>
          <w:lang w:val="sk-SK"/>
        </w:rPr>
      </w:pPr>
      <w:bookmarkStart w:id="86" w:name="_Toc334996780"/>
      <w:bookmarkStart w:id="87" w:name="_Toc427750195"/>
      <w:r w:rsidRPr="00AC0841">
        <w:rPr>
          <w:lang w:val="sk-SK"/>
        </w:rPr>
        <w:t>Kapitálové výdavky</w:t>
      </w:r>
      <w:bookmarkEnd w:id="86"/>
      <w:bookmarkEnd w:id="87"/>
      <w:r w:rsidRPr="00AC0841">
        <w:rPr>
          <w:lang w:val="sk-SK"/>
        </w:rPr>
        <w:t xml:space="preserve"> </w:t>
      </w:r>
    </w:p>
    <w:p w:rsidR="002F5EAB" w:rsidRPr="00AC0841" w:rsidRDefault="008971A9" w:rsidP="00C2109F">
      <w:pPr>
        <w:pStyle w:val="Zoznam1"/>
      </w:pPr>
      <w:r w:rsidRPr="00AC0841">
        <w:t>V roku 201</w:t>
      </w:r>
      <w:r w:rsidR="002F5EAB" w:rsidRPr="00AC0841">
        <w:t xml:space="preserve">4 bola verejným vysokým školám prostredníctvom kapitoly ministerstva zo štátneho rozpočtu poskytnutá kapitálová dotácia v sume </w:t>
      </w:r>
      <w:r w:rsidR="002F5EAB" w:rsidRPr="00AC0841">
        <w:rPr>
          <w:b/>
        </w:rPr>
        <w:t>9 124 930 €.</w:t>
      </w:r>
      <w:r w:rsidR="002F5EAB" w:rsidRPr="00AC0841">
        <w:t xml:space="preserve"> Z uvedenej sumy bola čiastka 50 000 € poskytnutá z podprogramu 06K12. Zvyšná suma 9 074 930 € bola poskytnutá z programu 077. </w:t>
      </w:r>
    </w:p>
    <w:p w:rsidR="002F5EAB" w:rsidRPr="00AC0841" w:rsidRDefault="002F5EAB" w:rsidP="002F5EAB">
      <w:pPr>
        <w:ind w:firstLine="360"/>
        <w:jc w:val="both"/>
      </w:pPr>
      <w:r w:rsidRPr="00AC0841">
        <w:t>Štruktúra poskytnutých kapitálových výdavkov na programe 077 bola nasledovná:</w:t>
      </w:r>
    </w:p>
    <w:p w:rsidR="002F5EAB" w:rsidRPr="00AC0841" w:rsidRDefault="002F5EAB" w:rsidP="002F5EAB">
      <w:pPr>
        <w:numPr>
          <w:ilvl w:val="0"/>
          <w:numId w:val="18"/>
        </w:numPr>
        <w:jc w:val="both"/>
      </w:pPr>
      <w:r w:rsidRPr="00AC0841">
        <w:t>na výstavbu a rekonštrukcie budov verejných vysokých škôl</w:t>
      </w:r>
      <w:r w:rsidR="00B47A4A">
        <w:t xml:space="preserve"> </w:t>
      </w:r>
      <w:r w:rsidRPr="00AC0841">
        <w:t> </w:t>
      </w:r>
      <w:r w:rsidR="00B47A4A">
        <w:t xml:space="preserve"> </w:t>
      </w:r>
      <w:r w:rsidRPr="00AC0841">
        <w:t xml:space="preserve"> – 6 960 930 €,</w:t>
      </w:r>
    </w:p>
    <w:p w:rsidR="002F5EAB" w:rsidRPr="00AC0841" w:rsidRDefault="002F5EAB" w:rsidP="002F5EAB">
      <w:pPr>
        <w:numPr>
          <w:ilvl w:val="0"/>
          <w:numId w:val="18"/>
        </w:numPr>
        <w:jc w:val="both"/>
      </w:pPr>
      <w:r w:rsidRPr="00AC0841">
        <w:t xml:space="preserve">na odkúpenie nehnuteľného majetku do vlastníctva škôl     </w:t>
      </w:r>
      <w:r w:rsidR="000E6F1F">
        <w:t xml:space="preserve">  </w:t>
      </w:r>
      <w:r w:rsidRPr="00AC0841">
        <w:t xml:space="preserve">     – 1</w:t>
      </w:r>
      <w:r w:rsidR="00B47A4A">
        <w:t> </w:t>
      </w:r>
      <w:r w:rsidRPr="00AC0841">
        <w:t>830</w:t>
      </w:r>
      <w:r w:rsidR="00B47A4A">
        <w:t> </w:t>
      </w:r>
      <w:r w:rsidRPr="00AC0841">
        <w:t xml:space="preserve">000 €, </w:t>
      </w:r>
    </w:p>
    <w:p w:rsidR="002F5EAB" w:rsidRPr="00AC0841" w:rsidRDefault="002F5EAB" w:rsidP="002F5EAB">
      <w:pPr>
        <w:numPr>
          <w:ilvl w:val="0"/>
          <w:numId w:val="18"/>
        </w:numPr>
        <w:jc w:val="both"/>
      </w:pPr>
      <w:r w:rsidRPr="00AC0841">
        <w:t xml:space="preserve">na vysokoškolskú vedu, techniku a rozvoj                          </w:t>
      </w:r>
      <w:r w:rsidR="000E6F1F">
        <w:t xml:space="preserve">   </w:t>
      </w:r>
      <w:r w:rsidRPr="00AC0841">
        <w:t xml:space="preserve">       –  </w:t>
      </w:r>
      <w:r w:rsidR="000E6F1F">
        <w:t xml:space="preserve">  </w:t>
      </w:r>
      <w:r w:rsidRPr="00AC0841">
        <w:t>284 000 €.</w:t>
      </w:r>
    </w:p>
    <w:p w:rsidR="002F5EAB" w:rsidRPr="00AC0841" w:rsidRDefault="002F5EAB" w:rsidP="00C2109F">
      <w:pPr>
        <w:pStyle w:val="Zoznam1"/>
        <w:numPr>
          <w:ilvl w:val="0"/>
          <w:numId w:val="0"/>
        </w:numPr>
        <w:ind w:left="720"/>
      </w:pPr>
    </w:p>
    <w:p w:rsidR="006773CA" w:rsidRPr="00543C00" w:rsidRDefault="002F5EAB" w:rsidP="00C2109F">
      <w:pPr>
        <w:pStyle w:val="Zoznam1"/>
      </w:pPr>
      <w:r w:rsidRPr="00AC0841">
        <w:lastRenderedPageBreak/>
        <w:t>Objem kapitálových výdavkov pre verejné vysoké školy v posledných rokoch vrátane roku 2014 neumožňuje realizáciu väčších stavieb. Preto sa disponibilné prostriedky použili na rekonštrukcie menšieho rozsahu najmä v súvislosti s odstraňovaním havarijných stavov objektov verejných vysokých škôl</w:t>
      </w:r>
      <w:r>
        <w:t>.</w:t>
      </w:r>
      <w:r w:rsidR="006773CA" w:rsidRPr="005E5FF1">
        <w:t xml:space="preserve"> </w:t>
      </w:r>
    </w:p>
    <w:p w:rsidR="00652A74" w:rsidRPr="0058297F" w:rsidRDefault="00652A74" w:rsidP="003229ED">
      <w:pPr>
        <w:pStyle w:val="Nadpis2"/>
        <w:jc w:val="left"/>
      </w:pPr>
      <w:bookmarkStart w:id="88" w:name="_Toc136920272"/>
      <w:bookmarkStart w:id="89" w:name="_Toc264838402"/>
      <w:bookmarkStart w:id="90" w:name="_Toc427750196"/>
      <w:bookmarkEnd w:id="65"/>
      <w:r w:rsidRPr="005E5FF1">
        <w:t xml:space="preserve">Časť </w:t>
      </w:r>
      <w:r w:rsidRPr="0058297F">
        <w:t>III</w:t>
      </w:r>
      <w:bookmarkEnd w:id="88"/>
      <w:bookmarkEnd w:id="89"/>
      <w:bookmarkEnd w:id="90"/>
    </w:p>
    <w:p w:rsidR="00652A74" w:rsidRPr="0058297F" w:rsidRDefault="00652A74" w:rsidP="00652A74">
      <w:pPr>
        <w:pStyle w:val="Nadpis2-vavo"/>
        <w:numPr>
          <w:ilvl w:val="1"/>
          <w:numId w:val="1"/>
        </w:numPr>
        <w:ind w:left="0" w:firstLine="0"/>
      </w:pPr>
      <w:bookmarkStart w:id="91" w:name="_Toc136920273"/>
      <w:bookmarkStart w:id="92" w:name="_Toc264838403"/>
      <w:bookmarkStart w:id="93" w:name="_Toc427750197"/>
      <w:r w:rsidRPr="0058297F">
        <w:t>3</w:t>
      </w:r>
      <w:r w:rsidRPr="00902723">
        <w:t xml:space="preserve">. </w:t>
      </w:r>
      <w:r w:rsidRPr="0058297F">
        <w:t>Záver k správe</w:t>
      </w:r>
      <w:bookmarkEnd w:id="91"/>
      <w:bookmarkEnd w:id="92"/>
      <w:bookmarkEnd w:id="93"/>
    </w:p>
    <w:p w:rsidR="0058297F" w:rsidRPr="0058297F" w:rsidRDefault="0058297F" w:rsidP="0058297F">
      <w:pPr>
        <w:pStyle w:val="Zoznam1"/>
      </w:pPr>
      <w:r w:rsidRPr="0058297F">
        <w:t>V roku 2014 na väčšin</w:t>
      </w:r>
      <w:r w:rsidR="000E6F1F">
        <w:t>e</w:t>
      </w:r>
      <w:r w:rsidRPr="0058297F">
        <w:t xml:space="preserve"> vysokých škôl začala komplexná akreditácia ich činností. Výsledok tohto procesu sa očakáva na jeseň 2015. Okrem akreditácie jednotlivých činností (študijné programy a habilitačné konanie a konanie menovania profesorov) sa bude posudzovať aj vnútorný systém zabezpečovania kvality vysokej školy, kvalita jej tvorivej činnosti, napĺňanie poslania vysokej školy</w:t>
      </w:r>
      <w:r w:rsidR="007E194A">
        <w:t xml:space="preserve"> a Akreditačná komisia sa vyjadrí aj k začleneniu vysokých škôl</w:t>
      </w:r>
      <w:r w:rsidRPr="0058297F">
        <w:t>.</w:t>
      </w:r>
      <w:r w:rsidR="009D08EA">
        <w:t xml:space="preserve"> Na rozdiel od predchádzajúcej komplexnej akreditácie pred šiestimi rokmi sa p</w:t>
      </w:r>
      <w:r w:rsidRPr="0058297F">
        <w:t>odávanie žiadostí uskutočnilo primárne v elektronickej forme</w:t>
      </w:r>
      <w:r w:rsidR="009D08EA">
        <w:t>.</w:t>
      </w:r>
    </w:p>
    <w:p w:rsidR="0058297F" w:rsidRPr="0058297F" w:rsidRDefault="0058297F" w:rsidP="0058297F">
      <w:pPr>
        <w:pStyle w:val="Zoznam1"/>
      </w:pPr>
      <w:r w:rsidRPr="0058297F">
        <w:t>Zaujímavé bude sledovať a analyzovať výsledky hodnotenia tvorivej činnosti vysokých škôl. Akreditačná komisia pre jednotlivé fakulty a oblasti výskumu určuje profil pracoviska v danej oblasti výskumu pridelením ratingu. Kritériá majú zohľadňovať medzinárodný štandard v</w:t>
      </w:r>
      <w:r w:rsidR="000E6F1F">
        <w:t xml:space="preserve"> danej</w:t>
      </w:r>
      <w:r w:rsidRPr="0058297F">
        <w:t xml:space="preserve"> oblasti. Výsledky tohto hodnotenia sú zohľadňované aj v rámci systému financovania.</w:t>
      </w:r>
    </w:p>
    <w:p w:rsidR="0058297F" w:rsidRPr="0058297F" w:rsidRDefault="0058297F" w:rsidP="0058297F">
      <w:pPr>
        <w:pStyle w:val="Zoznam1"/>
      </w:pPr>
      <w:r w:rsidRPr="0058297F">
        <w:t>Na podporu diverzity vysokoškolského prostredia bude potrebné sa osobitne zaoberať kritériami akreditáci</w:t>
      </w:r>
      <w:r w:rsidR="004D285C">
        <w:t>e</w:t>
      </w:r>
      <w:r w:rsidRPr="0058297F">
        <w:t xml:space="preserve"> profesijne orientovaných bakalárskych študijných programov. S tým súvisí komplex ďalších otázok ako ich financovanie, podmienky akademickej kariéry, úloha zamestnávateľov vo vysokoškolskom vzdelávaní (participácia na tvorbe profilu absolventa, praktická časť prípravy a pod.).</w:t>
      </w:r>
    </w:p>
    <w:p w:rsidR="0058297F" w:rsidRPr="0058297F" w:rsidRDefault="0058297F" w:rsidP="0058297F">
      <w:pPr>
        <w:pStyle w:val="Zoznam1"/>
      </w:pPr>
      <w:r w:rsidRPr="0058297F">
        <w:t>Aj v roku 2014 pokračoval Národný projekt Vysoké školy ako motory rozvoja vedomostnej spoločnosti. Okrem podpory praktickej prípravy študentov priamo v podnikoch, boli vytvorené v relatívne krátkom čase viaceré analýzy a prognózy týkajúce sa perspektívy štúdia podľa študijných odborov</w:t>
      </w:r>
      <w:r w:rsidR="009D08EA">
        <w:t>, až programov</w:t>
      </w:r>
      <w:r w:rsidRPr="0058297F">
        <w:t>. Diskusia na tieto témy potvrdila dôležitosť informáci</w:t>
      </w:r>
      <w:r w:rsidR="000E6F1F">
        <w:t>í</w:t>
      </w:r>
      <w:r w:rsidRPr="0058297F">
        <w:t xml:space="preserve"> pre rozhodovanie sa občanov v otázke ich štúdia na vysokej škole z pohľadu ďalšieho uplatnenia, ale súčasne sa aj ukázala </w:t>
      </w:r>
      <w:proofErr w:type="spellStart"/>
      <w:r w:rsidRPr="0058297F">
        <w:t>netriviálnosť</w:t>
      </w:r>
      <w:proofErr w:type="spellEnd"/>
      <w:r w:rsidRPr="0058297F">
        <w:t xml:space="preserve"> a komplexnosť tejto problematiky.</w:t>
      </w:r>
    </w:p>
    <w:p w:rsidR="0058297F" w:rsidRPr="0058297F" w:rsidRDefault="0058297F" w:rsidP="0058297F">
      <w:pPr>
        <w:pStyle w:val="Zoznam1"/>
      </w:pPr>
      <w:r w:rsidRPr="0058297F">
        <w:t>I napriek klesajúcemu počtu záujemcov o štúdium a študentov ako takých, viaceré vysoké školy majú stále vo svojich dlhodobých zámeroch ambície na zvyšovanie počtu študentov alebo udržanie ich počtu. Je otázne, či vysoké školy oslovia prípadne nové skupiny obyvateľov na štúdium a vytvoria im vhodné podmienky na plnohodnotné štúdium</w:t>
      </w:r>
      <w:r w:rsidR="009D08EA">
        <w:t xml:space="preserve"> (možnosť zosúladenia pracovného a študijného času, nové formy podpory pre študentov – napr. materské šk</w:t>
      </w:r>
      <w:r w:rsidR="000C3C98">
        <w:t>o</w:t>
      </w:r>
      <w:r w:rsidR="009D08EA">
        <w:t>ly</w:t>
      </w:r>
      <w:r w:rsidRPr="0058297F">
        <w:t>,</w:t>
      </w:r>
      <w:r w:rsidR="009D08EA">
        <w:t xml:space="preserve"> iná organizácia štúdia tak, aby si študent mohol viac samostatne organizovať svoj časový fond, a pod.),</w:t>
      </w:r>
      <w:r w:rsidRPr="0058297F">
        <w:t xml:space="preserve"> prípadne ako sa bude vyvíjať počet vysokoškolských učiteľov.</w:t>
      </w:r>
    </w:p>
    <w:p w:rsidR="0058297F" w:rsidRPr="0058297F" w:rsidRDefault="0058297F" w:rsidP="0058297F">
      <w:pPr>
        <w:pStyle w:val="Zoznam1"/>
      </w:pPr>
      <w:r w:rsidRPr="0058297F">
        <w:t>Aj keď v roku 2014 napokon nebola vypísaná tematicky širšia výzva na rozvojové projekty vysokých škôl, pri klesajúcom výkone v oblasti vzdelávania je možné uvažovať o </w:t>
      </w:r>
      <w:proofErr w:type="spellStart"/>
      <w:r w:rsidRPr="0058297F">
        <w:t>rea</w:t>
      </w:r>
      <w:r>
        <w:t>lo</w:t>
      </w:r>
      <w:r w:rsidRPr="0058297F">
        <w:t>kácii</w:t>
      </w:r>
      <w:proofErr w:type="spellEnd"/>
      <w:r w:rsidRPr="0058297F">
        <w:t xml:space="preserve"> disponibilných zdrojov tak, aby sa viac podporila implementácia systémových zmien. </w:t>
      </w:r>
    </w:p>
    <w:p w:rsidR="0058297F" w:rsidRPr="0058297F" w:rsidRDefault="0058297F" w:rsidP="0058297F">
      <w:pPr>
        <w:pStyle w:val="Zoznam1"/>
      </w:pPr>
      <w:r w:rsidRPr="0058297F">
        <w:t xml:space="preserve">V súvislosti s obnovou (výskumnej) infraštruktúry vysokých škôl sa do popredia stále viac dostáva otázka prevádzky vytvorenej infraštruktúry a vytvorenia dostatočnej kapacity na jej prevádzku pri súčasných zdrojoch na podporu výskumu a vývoja. </w:t>
      </w:r>
      <w:r w:rsidR="0066691D">
        <w:t>Ďalšou hrozbou pre túto oblasť je klesajúci počet doktorandov.</w:t>
      </w:r>
    </w:p>
    <w:p w:rsidR="0058297F" w:rsidRPr="0066691D" w:rsidRDefault="0058297F" w:rsidP="0058297F">
      <w:pPr>
        <w:pStyle w:val="Zoznam1"/>
      </w:pPr>
      <w:r w:rsidRPr="0066691D">
        <w:lastRenderedPageBreak/>
        <w:t>I keď v predchádzajúcom období sa diskutovalo o príprave strategických dokumentov pre oblasť vzdelávania, začali sa aj práce na novom zákone o vysokých školách, tieto aktivity neboli zavŕšené prijatím konkrétnych dokumentov. Riešenie niektorých výziev, ktorým čelí vysokoškolský systém sa tak posúva do ďalšieho obdobia.</w:t>
      </w:r>
    </w:p>
    <w:p w:rsidR="008A582D" w:rsidRPr="00B47A4A" w:rsidRDefault="009D7103" w:rsidP="00BA436E">
      <w:pPr>
        <w:pStyle w:val="Nadpis2"/>
        <w:jc w:val="left"/>
        <w:rPr>
          <w:highlight w:val="cyan"/>
        </w:rPr>
      </w:pPr>
      <w:r>
        <w:br w:type="page"/>
      </w:r>
      <w:bookmarkStart w:id="94" w:name="_Toc427750198"/>
      <w:r w:rsidR="0038576C">
        <w:lastRenderedPageBreak/>
        <w:t>Príloha č. 1</w:t>
      </w:r>
      <w:r w:rsidR="00BA436E">
        <w:br/>
      </w:r>
      <w:r w:rsidR="008A582D" w:rsidRPr="0038576C">
        <w:t xml:space="preserve">Medzinárodný projekt EUROSTUDENT </w:t>
      </w:r>
      <w:r w:rsidR="0038576C">
        <w:t>V</w:t>
      </w:r>
      <w:bookmarkEnd w:id="94"/>
    </w:p>
    <w:p w:rsidR="002542CE" w:rsidRPr="0066691D" w:rsidRDefault="0066691D" w:rsidP="002542CE">
      <w:pPr>
        <w:spacing w:before="240"/>
        <w:jc w:val="both"/>
      </w:pPr>
      <w:r w:rsidRPr="0066691D">
        <w:t>V rokoch 2012 až 2015 bola Slovenská republika zapojená do m</w:t>
      </w:r>
      <w:r w:rsidR="002542CE" w:rsidRPr="0066691D">
        <w:t>edzinárodn</w:t>
      </w:r>
      <w:r w:rsidRPr="0066691D">
        <w:t>ého</w:t>
      </w:r>
      <w:r w:rsidR="002542CE" w:rsidRPr="0066691D">
        <w:t xml:space="preserve"> projekt</w:t>
      </w:r>
      <w:r w:rsidRPr="0066691D">
        <w:t>u</w:t>
      </w:r>
      <w:r w:rsidR="002542CE" w:rsidRPr="0066691D">
        <w:t xml:space="preserve"> EUROSTUDENT</w:t>
      </w:r>
      <w:r w:rsidRPr="0066691D">
        <w:t xml:space="preserve"> V, ktorý sa </w:t>
      </w:r>
      <w:r w:rsidR="002542CE" w:rsidRPr="0066691D">
        <w:t xml:space="preserve">zameriava na skúmanie sociálno-ekonomického zázemia študentov vysokých škôl. </w:t>
      </w:r>
      <w:r w:rsidRPr="0066691D">
        <w:t>Do piateho cyklu projektu bolo zapojených 29 štátov</w:t>
      </w:r>
      <w:r w:rsidR="002542CE" w:rsidRPr="0066691D">
        <w:t>.</w:t>
      </w:r>
      <w:r w:rsidRPr="0066691D">
        <w:t xml:space="preserve"> V tejto prílohe uvádzame základné zistenia o slovenských študentoch.</w:t>
      </w:r>
      <w:r>
        <w:t xml:space="preserve"> Podrobnejšie údaje je možné získať v samotnej národnej správe, medzinárodné porovnanie je k dispozícii na </w:t>
      </w:r>
      <w:proofErr w:type="spellStart"/>
      <w:r>
        <w:t>webstránke</w:t>
      </w:r>
      <w:proofErr w:type="spellEnd"/>
      <w:r>
        <w:t xml:space="preserve"> projektu</w:t>
      </w:r>
      <w:r w:rsidR="00020127">
        <w:t>.</w:t>
      </w:r>
      <w:r>
        <w:rPr>
          <w:rStyle w:val="Odkaznapoznmkupodiarou"/>
        </w:rPr>
        <w:footnoteReference w:id="20"/>
      </w:r>
      <w:r w:rsidR="00020127">
        <w:t>)</w:t>
      </w:r>
    </w:p>
    <w:p w:rsidR="002542CE" w:rsidRPr="0066691D" w:rsidRDefault="002542CE" w:rsidP="002542CE">
      <w:pPr>
        <w:spacing w:before="240"/>
        <w:jc w:val="both"/>
      </w:pPr>
      <w:r w:rsidRPr="0066691D">
        <w:t>Cieľovou skupinou boli študenti prvého a druhého st</w:t>
      </w:r>
      <w:r w:rsidR="00042C81" w:rsidRPr="0066691D">
        <w:t>upňa vzdelávania na </w:t>
      </w:r>
      <w:r w:rsidRPr="0066691D">
        <w:t>verejných vysokých školách. Do prieskumu</w:t>
      </w:r>
      <w:r w:rsidR="000E6F1F">
        <w:t xml:space="preserve"> bolo</w:t>
      </w:r>
      <w:r w:rsidRPr="0066691D">
        <w:t xml:space="preserve"> v S</w:t>
      </w:r>
      <w:r w:rsidR="007560D8">
        <w:t>R</w:t>
      </w:r>
      <w:r w:rsidRPr="0066691D">
        <w:t xml:space="preserve"> zapojených 50</w:t>
      </w:r>
      <w:r w:rsidR="000E6F1F">
        <w:t> </w:t>
      </w:r>
      <w:r w:rsidRPr="0066691D">
        <w:t>fakúlt z 20 verejných vysokých škôl. Distribuovaných bolo spolu 4 080 dotazníkov, vyplnených sa vrátilo 3 833 (3 051 za</w:t>
      </w:r>
      <w:r w:rsidR="00042C81" w:rsidRPr="0066691D">
        <w:t> </w:t>
      </w:r>
      <w:r w:rsidRPr="0066691D">
        <w:t>denných a 683 za externých študentov), čo predstavovalo 94,0 % návratnosť.</w:t>
      </w:r>
    </w:p>
    <w:p w:rsidR="002542CE" w:rsidRPr="0066691D" w:rsidRDefault="002542CE" w:rsidP="002542CE">
      <w:pPr>
        <w:pStyle w:val="Popis"/>
        <w:keepNext/>
        <w:spacing w:before="240"/>
      </w:pPr>
      <w:r w:rsidRPr="0066691D">
        <w:t>Zloženie súboru respondentov</w:t>
      </w:r>
    </w:p>
    <w:tbl>
      <w:tblPr>
        <w:tblStyle w:val="Strednmrieka3zvraznenie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134"/>
        <w:gridCol w:w="1134"/>
        <w:gridCol w:w="1276"/>
      </w:tblGrid>
      <w:tr w:rsidR="002542CE" w:rsidRPr="0066691D" w:rsidTr="0066691D">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5387" w:type="dxa"/>
            <w:vMerge w:val="restart"/>
            <w:vAlign w:val="center"/>
          </w:tcPr>
          <w:p w:rsidR="002542CE" w:rsidRPr="0066691D" w:rsidRDefault="002542CE" w:rsidP="001D5845">
            <w:pPr>
              <w:jc w:val="center"/>
              <w:rPr>
                <w:rFonts w:ascii="Times New Roman" w:hAnsi="Times New Roman"/>
                <w:b w:val="0"/>
                <w:color w:val="auto"/>
              </w:rPr>
            </w:pPr>
            <w:r w:rsidRPr="0066691D">
              <w:rPr>
                <w:rFonts w:ascii="Times New Roman" w:hAnsi="Times New Roman"/>
                <w:b w:val="0"/>
                <w:color w:val="auto"/>
              </w:rPr>
              <w:t>Stupeň štúdia</w:t>
            </w:r>
          </w:p>
        </w:tc>
        <w:tc>
          <w:tcPr>
            <w:tcW w:w="3544" w:type="dxa"/>
            <w:gridSpan w:val="3"/>
            <w:vAlign w:val="center"/>
          </w:tcPr>
          <w:p w:rsidR="002542CE" w:rsidRPr="0066691D" w:rsidRDefault="00902723" w:rsidP="001D584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auto"/>
              </w:rPr>
            </w:pPr>
            <w:r w:rsidRPr="0066691D">
              <w:rPr>
                <w:rFonts w:ascii="Times New Roman" w:hAnsi="Times New Roman"/>
                <w:b w:val="0"/>
                <w:color w:val="auto"/>
              </w:rPr>
              <w:t>Forma štúdia</w:t>
            </w:r>
          </w:p>
        </w:tc>
      </w:tr>
      <w:tr w:rsidR="002542CE" w:rsidRPr="0066691D" w:rsidTr="00666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7" w:type="dxa"/>
            <w:vMerge/>
            <w:vAlign w:val="center"/>
          </w:tcPr>
          <w:p w:rsidR="002542CE" w:rsidRPr="0066691D" w:rsidRDefault="002542CE" w:rsidP="001D5845">
            <w:pPr>
              <w:jc w:val="center"/>
              <w:rPr>
                <w:rFonts w:ascii="Times New Roman" w:hAnsi="Times New Roman"/>
                <w:b w:val="0"/>
                <w:color w:val="auto"/>
              </w:rPr>
            </w:pPr>
          </w:p>
        </w:tc>
        <w:tc>
          <w:tcPr>
            <w:tcW w:w="1134" w:type="dxa"/>
            <w:vAlign w:val="center"/>
          </w:tcPr>
          <w:p w:rsidR="002542CE" w:rsidRPr="0066691D" w:rsidRDefault="002542CE" w:rsidP="001D584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Denná</w:t>
            </w:r>
          </w:p>
        </w:tc>
        <w:tc>
          <w:tcPr>
            <w:tcW w:w="1134" w:type="dxa"/>
            <w:vAlign w:val="center"/>
          </w:tcPr>
          <w:p w:rsidR="002542CE" w:rsidRPr="0066691D" w:rsidRDefault="002542CE" w:rsidP="001D584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Externá</w:t>
            </w:r>
          </w:p>
        </w:tc>
        <w:tc>
          <w:tcPr>
            <w:tcW w:w="1276" w:type="dxa"/>
            <w:vAlign w:val="center"/>
          </w:tcPr>
          <w:p w:rsidR="002542CE" w:rsidRPr="0066691D" w:rsidRDefault="002542CE" w:rsidP="001D584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Celý súbor</w:t>
            </w:r>
          </w:p>
        </w:tc>
      </w:tr>
      <w:tr w:rsidR="002542CE" w:rsidRPr="0066691D" w:rsidTr="0066691D">
        <w:tc>
          <w:tcPr>
            <w:cnfStyle w:val="001000000000" w:firstRow="0" w:lastRow="0" w:firstColumn="1" w:lastColumn="0" w:oddVBand="0" w:evenVBand="0" w:oddHBand="0" w:evenHBand="0" w:firstRowFirstColumn="0" w:firstRowLastColumn="0" w:lastRowFirstColumn="0" w:lastRowLastColumn="0"/>
            <w:tcW w:w="5387" w:type="dxa"/>
            <w:shd w:val="clear" w:color="auto" w:fill="C6D9F1" w:themeFill="text2" w:themeFillTint="33"/>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Bakalársky</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2150</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414</w:t>
            </w:r>
          </w:p>
        </w:tc>
        <w:tc>
          <w:tcPr>
            <w:tcW w:w="1276"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2564</w:t>
            </w:r>
          </w:p>
        </w:tc>
      </w:tr>
      <w:tr w:rsidR="002542CE" w:rsidRPr="0066691D" w:rsidTr="00666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7" w:type="dxa"/>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Podiel (%)</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70,4</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60,6</w:t>
            </w:r>
          </w:p>
        </w:tc>
        <w:tc>
          <w:tcPr>
            <w:tcW w:w="1276"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68,6</w:t>
            </w:r>
          </w:p>
        </w:tc>
      </w:tr>
      <w:tr w:rsidR="002542CE" w:rsidRPr="0066691D" w:rsidTr="0066691D">
        <w:tc>
          <w:tcPr>
            <w:cnfStyle w:val="001000000000" w:firstRow="0" w:lastRow="0" w:firstColumn="1" w:lastColumn="0" w:oddVBand="0" w:evenVBand="0" w:oddHBand="0" w:evenHBand="0" w:firstRowFirstColumn="0" w:firstRowLastColumn="0" w:lastRowFirstColumn="0" w:lastRowLastColumn="0"/>
            <w:tcW w:w="5387" w:type="dxa"/>
            <w:shd w:val="clear" w:color="auto" w:fill="C6D9F1" w:themeFill="text2" w:themeFillTint="33"/>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 xml:space="preserve">Magisterský alebo inžiniersky </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710</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268</w:t>
            </w:r>
          </w:p>
        </w:tc>
        <w:tc>
          <w:tcPr>
            <w:tcW w:w="1276"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978</w:t>
            </w:r>
          </w:p>
        </w:tc>
      </w:tr>
      <w:tr w:rsidR="002542CE" w:rsidRPr="0066691D" w:rsidTr="00666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7" w:type="dxa"/>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Podiel (%)</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23,3</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39,2</w:t>
            </w:r>
          </w:p>
        </w:tc>
        <w:tc>
          <w:tcPr>
            <w:tcW w:w="1276"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26,2</w:t>
            </w:r>
          </w:p>
        </w:tc>
      </w:tr>
      <w:tr w:rsidR="002542CE" w:rsidRPr="0066691D" w:rsidTr="0066691D">
        <w:tc>
          <w:tcPr>
            <w:cnfStyle w:val="001000000000" w:firstRow="0" w:lastRow="0" w:firstColumn="1" w:lastColumn="0" w:oddVBand="0" w:evenVBand="0" w:oddHBand="0" w:evenHBand="0" w:firstRowFirstColumn="0" w:firstRowLastColumn="0" w:lastRowFirstColumn="0" w:lastRowLastColumn="0"/>
            <w:tcW w:w="5387" w:type="dxa"/>
            <w:shd w:val="clear" w:color="auto" w:fill="C6D9F1" w:themeFill="text2" w:themeFillTint="33"/>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Spojený prvý a druhý stupeň štúdia do jedného celku</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192</w:t>
            </w:r>
          </w:p>
        </w:tc>
        <w:tc>
          <w:tcPr>
            <w:tcW w:w="1134"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1</w:t>
            </w:r>
          </w:p>
        </w:tc>
        <w:tc>
          <w:tcPr>
            <w:tcW w:w="1276" w:type="dxa"/>
            <w:shd w:val="clear" w:color="auto" w:fill="C6D9F1" w:themeFill="text2" w:themeFillTint="33"/>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6691D">
              <w:rPr>
                <w:rFonts w:ascii="Times New Roman" w:hAnsi="Times New Roman"/>
              </w:rPr>
              <w:t>193</w:t>
            </w:r>
          </w:p>
        </w:tc>
      </w:tr>
      <w:tr w:rsidR="002542CE" w:rsidRPr="0066691D" w:rsidTr="00666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7" w:type="dxa"/>
          </w:tcPr>
          <w:p w:rsidR="002542CE" w:rsidRPr="0066691D" w:rsidRDefault="002542CE" w:rsidP="001D5845">
            <w:pPr>
              <w:rPr>
                <w:rFonts w:ascii="Times New Roman" w:hAnsi="Times New Roman"/>
                <w:b w:val="0"/>
                <w:color w:val="auto"/>
              </w:rPr>
            </w:pPr>
            <w:r w:rsidRPr="0066691D">
              <w:rPr>
                <w:rFonts w:ascii="Times New Roman" w:hAnsi="Times New Roman"/>
                <w:b w:val="0"/>
                <w:color w:val="auto"/>
              </w:rPr>
              <w:t>Podiel (%)</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6,3</w:t>
            </w:r>
          </w:p>
        </w:tc>
        <w:tc>
          <w:tcPr>
            <w:tcW w:w="1134"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0,1</w:t>
            </w:r>
          </w:p>
        </w:tc>
        <w:tc>
          <w:tcPr>
            <w:tcW w:w="1276" w:type="dxa"/>
            <w:vAlign w:val="center"/>
          </w:tcPr>
          <w:p w:rsidR="002542CE" w:rsidRPr="0066691D" w:rsidRDefault="002542CE" w:rsidP="006669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6691D">
              <w:rPr>
                <w:rFonts w:ascii="Times New Roman" w:hAnsi="Times New Roman"/>
              </w:rPr>
              <w:t>5,2</w:t>
            </w:r>
          </w:p>
        </w:tc>
      </w:tr>
      <w:tr w:rsidR="002542CE" w:rsidRPr="0066691D" w:rsidTr="0066691D">
        <w:tc>
          <w:tcPr>
            <w:cnfStyle w:val="001000000000" w:firstRow="0" w:lastRow="0" w:firstColumn="1" w:lastColumn="0" w:oddVBand="0" w:evenVBand="0" w:oddHBand="0" w:evenHBand="0" w:firstRowFirstColumn="0" w:firstRowLastColumn="0" w:lastRowFirstColumn="0" w:lastRowLastColumn="0"/>
            <w:tcW w:w="5387" w:type="dxa"/>
          </w:tcPr>
          <w:p w:rsidR="002542CE" w:rsidRPr="0066691D" w:rsidRDefault="0066691D" w:rsidP="001D5845">
            <w:pPr>
              <w:rPr>
                <w:rFonts w:ascii="Times New Roman" w:hAnsi="Times New Roman"/>
                <w:color w:val="auto"/>
              </w:rPr>
            </w:pPr>
            <w:r w:rsidRPr="0066691D">
              <w:rPr>
                <w:rFonts w:ascii="Times New Roman" w:hAnsi="Times New Roman"/>
                <w:color w:val="auto"/>
              </w:rPr>
              <w:t>S</w:t>
            </w:r>
            <w:r w:rsidR="002542CE" w:rsidRPr="0066691D">
              <w:rPr>
                <w:rFonts w:ascii="Times New Roman" w:hAnsi="Times New Roman"/>
                <w:color w:val="auto"/>
              </w:rPr>
              <w:t>polu</w:t>
            </w:r>
          </w:p>
        </w:tc>
        <w:tc>
          <w:tcPr>
            <w:tcW w:w="1134" w:type="dxa"/>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66691D">
              <w:rPr>
                <w:rFonts w:ascii="Times New Roman" w:hAnsi="Times New Roman"/>
                <w:b/>
              </w:rPr>
              <w:t>3052</w:t>
            </w:r>
          </w:p>
        </w:tc>
        <w:tc>
          <w:tcPr>
            <w:tcW w:w="1134" w:type="dxa"/>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66691D">
              <w:rPr>
                <w:rFonts w:ascii="Times New Roman" w:hAnsi="Times New Roman"/>
                <w:b/>
              </w:rPr>
              <w:t>683</w:t>
            </w:r>
          </w:p>
        </w:tc>
        <w:tc>
          <w:tcPr>
            <w:tcW w:w="1276" w:type="dxa"/>
            <w:vAlign w:val="center"/>
          </w:tcPr>
          <w:p w:rsidR="002542CE" w:rsidRPr="0066691D" w:rsidRDefault="002542CE" w:rsidP="006669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66691D">
              <w:rPr>
                <w:rFonts w:ascii="Times New Roman" w:hAnsi="Times New Roman"/>
                <w:b/>
              </w:rPr>
              <w:t>3735</w:t>
            </w:r>
          </w:p>
        </w:tc>
      </w:tr>
    </w:tbl>
    <w:p w:rsidR="0066691D" w:rsidRDefault="0066691D" w:rsidP="002542CE">
      <w:pPr>
        <w:rPr>
          <w:b/>
          <w:highlight w:val="cyan"/>
          <w:u w:val="single"/>
        </w:rPr>
      </w:pPr>
    </w:p>
    <w:p w:rsidR="008108C9" w:rsidRPr="0038576C" w:rsidRDefault="008108C9" w:rsidP="0038576C">
      <w:pPr>
        <w:pStyle w:val="Nadpis3-vavo"/>
        <w:numPr>
          <w:ilvl w:val="2"/>
          <w:numId w:val="1"/>
        </w:numPr>
        <w:ind w:left="0" w:firstLine="0"/>
        <w:jc w:val="both"/>
      </w:pPr>
      <w:bookmarkStart w:id="95" w:name="_Toc427750199"/>
      <w:r w:rsidRPr="0038576C">
        <w:t>Denní študenti vysokých škôl</w:t>
      </w:r>
      <w:bookmarkEnd w:id="95"/>
    </w:p>
    <w:p w:rsidR="002542CE" w:rsidRPr="0038576C" w:rsidRDefault="002542CE" w:rsidP="002542CE">
      <w:pPr>
        <w:autoSpaceDE w:val="0"/>
        <w:autoSpaceDN w:val="0"/>
        <w:adjustRightInd w:val="0"/>
        <w:spacing w:before="240"/>
        <w:jc w:val="both"/>
        <w:rPr>
          <w:color w:val="000000"/>
        </w:rPr>
      </w:pPr>
      <w:r w:rsidRPr="0038576C">
        <w:rPr>
          <w:color w:val="000000"/>
        </w:rPr>
        <w:t xml:space="preserve">Viac ako polovica (53,5%) respondentov mala pred nástupom na VŠ </w:t>
      </w:r>
      <w:r w:rsidRPr="0038576C">
        <w:rPr>
          <w:b/>
          <w:color w:val="000000"/>
        </w:rPr>
        <w:t>skúsenosti s platenou pracovnou</w:t>
      </w:r>
      <w:r w:rsidRPr="0038576C">
        <w:rPr>
          <w:color w:val="000000"/>
        </w:rPr>
        <w:t xml:space="preserve"> aktivitou (15,7% pracovalo najmenej rok viac ako 20 hodín týždenne; 37,8% menej ako rok do 20 hodín týždenne). Žiadne skúsenosti s pracovnou aktivitou deklarovalo 46,5% respondentov.</w:t>
      </w:r>
    </w:p>
    <w:p w:rsidR="002542CE" w:rsidRPr="0038576C" w:rsidRDefault="002542CE" w:rsidP="002542CE">
      <w:pPr>
        <w:autoSpaceDE w:val="0"/>
        <w:autoSpaceDN w:val="0"/>
        <w:adjustRightInd w:val="0"/>
        <w:spacing w:before="240"/>
        <w:jc w:val="both"/>
        <w:rPr>
          <w:color w:val="000000"/>
        </w:rPr>
      </w:pPr>
      <w:r w:rsidRPr="0038576C">
        <w:rPr>
          <w:color w:val="000000"/>
        </w:rPr>
        <w:t xml:space="preserve">V rámci skúmania miery </w:t>
      </w:r>
      <w:r w:rsidRPr="0038576C">
        <w:rPr>
          <w:b/>
          <w:color w:val="000000"/>
        </w:rPr>
        <w:t>spokojnosti s kvalitou výučby</w:t>
      </w:r>
      <w:r w:rsidRPr="0038576C">
        <w:rPr>
          <w:color w:val="000000"/>
        </w:rPr>
        <w:t xml:space="preserve"> na </w:t>
      </w:r>
      <w:r w:rsidR="00042C81" w:rsidRPr="0038576C">
        <w:rPr>
          <w:color w:val="000000"/>
        </w:rPr>
        <w:t>vysokých školách</w:t>
      </w:r>
      <w:r w:rsidRPr="0038576C">
        <w:rPr>
          <w:color w:val="000000"/>
        </w:rPr>
        <w:t xml:space="preserve"> deklarovalo 42,7% respondentov spokojnosť s jej kvalitou. Veľmi spokojných bolo 24,9% respondentov. Skôr nespokojných bolo 5,3% a úplnú nespokojnosť dek</w:t>
      </w:r>
      <w:r w:rsidR="0038576C" w:rsidRPr="0038576C">
        <w:rPr>
          <w:color w:val="000000"/>
        </w:rPr>
        <w:t xml:space="preserve">larovalo iba 0,9% respondentov. </w:t>
      </w:r>
      <w:r w:rsidRPr="0038576C">
        <w:rPr>
          <w:b/>
          <w:color w:val="000000"/>
        </w:rPr>
        <w:t>S prístupom učiteľov</w:t>
      </w:r>
      <w:r w:rsidRPr="0038576C">
        <w:rPr>
          <w:color w:val="000000"/>
        </w:rPr>
        <w:t xml:space="preserve"> bolo veľmi spokojných 21,9% respondentov, 42,1% ich vyjadrilo spokojnosť a úplnú nespokojnosť deklarovalo 1,5% respondentov. S podmienkami pre</w:t>
      </w:r>
      <w:r w:rsidR="00042C81" w:rsidRPr="0038576C">
        <w:rPr>
          <w:color w:val="000000"/>
        </w:rPr>
        <w:t> </w:t>
      </w:r>
      <w:r w:rsidRPr="0038576C">
        <w:rPr>
          <w:color w:val="000000"/>
        </w:rPr>
        <w:t xml:space="preserve">štúdium (knižnice, učebne a pod.) vyjadrilo 29,0% respondentov veľkú spokojnosť, 36,8% bolo spokojných a 2,7% ich vyjadrilo úplnú nespokojnosť. Nižšia miera spokojnosti bola pritom zaznamenaná v prípade organizácie štúdia a rozvrhu hodín, kde iba 15,6% respondentov vyjadrilo veľkú spokojnosť, 33,5% bolo spokojných a 15,7% skôr nespokojných. Absolútnu nespokojnosť v tejto otázke vyjadrilo 6,5% respondentov. Obdobná situácia bola aj v prípade hodnotenia </w:t>
      </w:r>
      <w:r w:rsidRPr="0038576C">
        <w:rPr>
          <w:b/>
          <w:color w:val="000000"/>
        </w:rPr>
        <w:t>spokojnosti s možnosťou výberu predmetov</w:t>
      </w:r>
      <w:r w:rsidRPr="0038576C">
        <w:rPr>
          <w:color w:val="000000"/>
        </w:rPr>
        <w:t>, kde najpočetnejšou skupinou boli respondenti do polovice spokojní (30,1%). Skôr nespokojných bolo 19,0% a úplnú nespokojnosť vyjadrilo 7,9% respondentov, čo bol najvyšší podiel nepokojnosti v rámci hodnotenia jednotlivých aspektov kvality vzdelávania na VŠ.</w:t>
      </w:r>
    </w:p>
    <w:p w:rsidR="002542CE" w:rsidRPr="0038576C" w:rsidRDefault="002542CE" w:rsidP="002542CE">
      <w:pPr>
        <w:autoSpaceDE w:val="0"/>
        <w:autoSpaceDN w:val="0"/>
        <w:adjustRightInd w:val="0"/>
        <w:spacing w:before="240"/>
        <w:jc w:val="both"/>
        <w:rPr>
          <w:color w:val="000000"/>
        </w:rPr>
      </w:pPr>
      <w:r w:rsidRPr="0038576C">
        <w:rPr>
          <w:color w:val="000000"/>
        </w:rPr>
        <w:lastRenderedPageBreak/>
        <w:t>Viac ako polovica (54,5%) respondentov deklarovala zámer pokračovať v štúdiu po ukončení v súčasnosti študovaného stupňa vzdelania. Prevažná väčšina z nich (79,3%) plánuje v štúdiu pokračovať na území Slovenska, 7,0% má zámer pokračovať v štúdiu v zahraničí a 13,70% ešte nebolo rozhodnutých pre lokalitu ďalšieho štúdia. Zo študentov, ktorí neplánujú už pokračovať v štúdiu na vyššom stupni takmer polovica (48,2%) si plánuje nájsť zamestnanie, 6,5% si plánuje založiť firmu/živnosť a až 28,4% nemá bližšiu predstavu o plánoch do</w:t>
      </w:r>
      <w:r w:rsidR="00042C81" w:rsidRPr="0038576C">
        <w:rPr>
          <w:color w:val="000000"/>
        </w:rPr>
        <w:t> </w:t>
      </w:r>
      <w:r w:rsidRPr="0038576C">
        <w:rPr>
          <w:color w:val="000000"/>
        </w:rPr>
        <w:t>budúcnosti.</w:t>
      </w:r>
    </w:p>
    <w:p w:rsidR="002542CE" w:rsidRPr="0038576C" w:rsidRDefault="002542CE" w:rsidP="002542CE">
      <w:pPr>
        <w:autoSpaceDE w:val="0"/>
        <w:autoSpaceDN w:val="0"/>
        <w:adjustRightInd w:val="0"/>
        <w:spacing w:before="240"/>
        <w:jc w:val="both"/>
        <w:rPr>
          <w:color w:val="000000"/>
        </w:rPr>
      </w:pPr>
      <w:r w:rsidRPr="0038576C">
        <w:rPr>
          <w:color w:val="000000"/>
        </w:rPr>
        <w:t>Počas semestra bývala väčšina respondentov s inou osobou ako príbuzným (53,9%). Spolu s rodičmi, resp. inými príbuznými bývalo 38,9% respondentov. Najvyššiu mieru spokojnosti s bývaním uviedli respondenti bývajúci u rodičov (68,3%). Z bývajúcich na podnájme, prenájme alebo vlastnom byte deklarovalo veľkú spokojnosť 52,0% respondentov. V prípade ubytovaných na internáte respondenti uvádzali skôr priemernú spokojnosť (28,4%).</w:t>
      </w:r>
    </w:p>
    <w:p w:rsidR="002542CE" w:rsidRPr="0038576C" w:rsidRDefault="002542CE" w:rsidP="002542CE">
      <w:pPr>
        <w:autoSpaceDE w:val="0"/>
        <w:autoSpaceDN w:val="0"/>
        <w:adjustRightInd w:val="0"/>
        <w:spacing w:before="240"/>
        <w:jc w:val="both"/>
        <w:rPr>
          <w:color w:val="000000"/>
        </w:rPr>
      </w:pPr>
      <w:r w:rsidRPr="0038576C">
        <w:rPr>
          <w:color w:val="000000"/>
        </w:rPr>
        <w:t>Ako prostriedok prepravy z miesta bývania na miesto výučby uvádzali respondenti najčastejšie MHD (44,55%). Viac ako tretina respondentov chodí na miesto výučby pešo (34,73%)</w:t>
      </w:r>
      <w:r w:rsidR="0038576C" w:rsidRPr="0038576C">
        <w:rPr>
          <w:color w:val="000000"/>
        </w:rPr>
        <w:t>,</w:t>
      </w:r>
      <w:r w:rsidRPr="0038576C">
        <w:rPr>
          <w:color w:val="000000"/>
        </w:rPr>
        <w:t xml:space="preserve"> auto alebo motocykel využívalo 11,39% respondentov a bicykel 0,71%.</w:t>
      </w:r>
    </w:p>
    <w:p w:rsidR="002542CE" w:rsidRPr="0038576C" w:rsidRDefault="002542CE" w:rsidP="002542CE">
      <w:pPr>
        <w:autoSpaceDE w:val="0"/>
        <w:autoSpaceDN w:val="0"/>
        <w:adjustRightInd w:val="0"/>
        <w:spacing w:before="240"/>
        <w:jc w:val="both"/>
        <w:rPr>
          <w:color w:val="000000"/>
        </w:rPr>
      </w:pPr>
      <w:r w:rsidRPr="0038576C">
        <w:rPr>
          <w:color w:val="000000"/>
        </w:rPr>
        <w:t>Priama finančná podpora od rodičov/partnera u respondentov bývajúcich s rodičmi alebo inými príbuznými predstavovala 50 € mesačne. U respondentov nebývajúcich počas semestra s rodičmi to bolo 100 € na mesiac.</w:t>
      </w:r>
    </w:p>
    <w:p w:rsidR="002542CE" w:rsidRPr="0038576C" w:rsidRDefault="002542CE" w:rsidP="002542CE">
      <w:pPr>
        <w:autoSpaceDE w:val="0"/>
        <w:autoSpaceDN w:val="0"/>
        <w:adjustRightInd w:val="0"/>
        <w:spacing w:before="240"/>
        <w:jc w:val="both"/>
        <w:rPr>
          <w:color w:val="000000"/>
        </w:rPr>
      </w:pPr>
      <w:r w:rsidRPr="0038576C">
        <w:rPr>
          <w:color w:val="000000"/>
        </w:rPr>
        <w:t xml:space="preserve">Viac ako tretina (34,9%) respondentov deklarovala, že má počas semestra príjem z platenej práce alebo brigády. </w:t>
      </w:r>
      <w:proofErr w:type="spellStart"/>
      <w:r w:rsidRPr="0038576C">
        <w:rPr>
          <w:color w:val="000000"/>
        </w:rPr>
        <w:t>Mediánová</w:t>
      </w:r>
      <w:proofErr w:type="spellEnd"/>
      <w:r w:rsidRPr="0038576C">
        <w:rPr>
          <w:color w:val="000000"/>
        </w:rPr>
        <w:t xml:space="preserve"> hodnota tohto zárobku bola 100 € mesačne.</w:t>
      </w:r>
    </w:p>
    <w:p w:rsidR="002542CE" w:rsidRPr="0038576C" w:rsidRDefault="002542CE" w:rsidP="002542CE">
      <w:pPr>
        <w:autoSpaceDE w:val="0"/>
        <w:autoSpaceDN w:val="0"/>
        <w:adjustRightInd w:val="0"/>
        <w:spacing w:before="240"/>
        <w:jc w:val="both"/>
        <w:rPr>
          <w:color w:val="000000"/>
        </w:rPr>
      </w:pPr>
      <w:r w:rsidRPr="0038576C">
        <w:rPr>
          <w:color w:val="000000"/>
        </w:rPr>
        <w:t>Rovnako viac ako tretina (34,6%) respondentov uviedla, že počas semestra disponuje finančnými úsporami z predchádzajúcej vlastnej práce. Celkovo respondenti disponovali počas semestra so sumou 180</w:t>
      </w:r>
      <w:r w:rsidR="00042C81" w:rsidRPr="0038576C">
        <w:rPr>
          <w:color w:val="000000"/>
        </w:rPr>
        <w:t xml:space="preserve"> </w:t>
      </w:r>
      <w:r w:rsidRPr="0038576C">
        <w:rPr>
          <w:color w:val="000000"/>
        </w:rPr>
        <w:t>€ mesačne v prípade bývajúcich u rodičov. U respondentov bývajúcich inde ako u rodičov dosiahla táto suma hodnotu 200</w:t>
      </w:r>
      <w:r w:rsidR="00042C81" w:rsidRPr="0038576C">
        <w:rPr>
          <w:color w:val="000000"/>
        </w:rPr>
        <w:t xml:space="preserve"> </w:t>
      </w:r>
      <w:r w:rsidRPr="0038576C">
        <w:rPr>
          <w:color w:val="000000"/>
        </w:rPr>
        <w:t>€ na mesiac.</w:t>
      </w:r>
    </w:p>
    <w:p w:rsidR="002542CE" w:rsidRPr="0038576C" w:rsidRDefault="002542CE" w:rsidP="002542CE">
      <w:pPr>
        <w:autoSpaceDE w:val="0"/>
        <w:autoSpaceDN w:val="0"/>
        <w:adjustRightInd w:val="0"/>
        <w:spacing w:before="240"/>
        <w:jc w:val="both"/>
        <w:rPr>
          <w:color w:val="000000"/>
        </w:rPr>
      </w:pPr>
      <w:r w:rsidRPr="0038576C">
        <w:rPr>
          <w:color w:val="000000"/>
        </w:rPr>
        <w:t>Priemerná suma výdavkov študentov predstavovala 335</w:t>
      </w:r>
      <w:r w:rsidR="00042C81" w:rsidRPr="0038576C">
        <w:rPr>
          <w:color w:val="000000"/>
        </w:rPr>
        <w:t xml:space="preserve"> € mesačne (medián 256 </w:t>
      </w:r>
      <w:r w:rsidRPr="0038576C">
        <w:rPr>
          <w:color w:val="000000"/>
        </w:rPr>
        <w:t xml:space="preserve">€). </w:t>
      </w:r>
    </w:p>
    <w:p w:rsidR="002542CE" w:rsidRPr="0038576C" w:rsidRDefault="002542CE" w:rsidP="002542CE">
      <w:pPr>
        <w:autoSpaceDE w:val="0"/>
        <w:autoSpaceDN w:val="0"/>
        <w:adjustRightInd w:val="0"/>
        <w:spacing w:before="240"/>
        <w:jc w:val="both"/>
        <w:rPr>
          <w:color w:val="000000"/>
        </w:rPr>
      </w:pPr>
      <w:r w:rsidRPr="0038576C">
        <w:rPr>
          <w:color w:val="000000"/>
        </w:rPr>
        <w:t>Z hľadiska hodnotenia finančných problémov, najväčšia skupina respondentov hodnotila tieto problémy ako stredne veľké (39,8%). Ako veľmi vážne ich uviedlo 5,7% respondentov a žiadne finančné problémy nepociťovalo 12,7% opýtaných.</w:t>
      </w:r>
    </w:p>
    <w:p w:rsidR="002542CE" w:rsidRPr="0038576C" w:rsidRDefault="002542CE" w:rsidP="002542CE">
      <w:pPr>
        <w:autoSpaceDE w:val="0"/>
        <w:autoSpaceDN w:val="0"/>
        <w:adjustRightInd w:val="0"/>
        <w:spacing w:before="240"/>
        <w:jc w:val="both"/>
        <w:rPr>
          <w:color w:val="000000"/>
        </w:rPr>
      </w:pPr>
      <w:r w:rsidRPr="0038576C">
        <w:rPr>
          <w:color w:val="000000"/>
        </w:rPr>
        <w:t>Prevažná väčšina respondentov (53,5%) súhlasila s tvrdením, že pracujú, aby si vylepšili životný štandard. Úplný súhlas s tvrdením, že pracujú z dôvodu získania skúsenosti na trhu práce uviedla iba štvrtina respondentov (26,8% súhlasilo do veľkej miery). Naopak, s tvrdením „pracujem, pretože mám dostatok času“ vyjadrilo absolútny nesúhlas až 43,9% respondentov (5,2% úplný súhlas).</w:t>
      </w:r>
    </w:p>
    <w:p w:rsidR="002542CE" w:rsidRPr="0038576C" w:rsidRDefault="002542CE" w:rsidP="002542CE">
      <w:pPr>
        <w:autoSpaceDE w:val="0"/>
        <w:autoSpaceDN w:val="0"/>
        <w:adjustRightInd w:val="0"/>
        <w:spacing w:before="240"/>
        <w:jc w:val="both"/>
        <w:rPr>
          <w:color w:val="000000"/>
        </w:rPr>
      </w:pPr>
      <w:r w:rsidRPr="0038576C">
        <w:rPr>
          <w:color w:val="000000"/>
        </w:rPr>
        <w:t xml:space="preserve">Oblasť práce počas semestra sa veľmi úzko prekrývala so študovaným odborom iba </w:t>
      </w:r>
      <w:r w:rsidR="0038576C" w:rsidRPr="0038576C">
        <w:rPr>
          <w:color w:val="000000"/>
        </w:rPr>
        <w:t xml:space="preserve">v </w:t>
      </w:r>
      <w:r w:rsidRPr="0038576C">
        <w:rPr>
          <w:color w:val="000000"/>
        </w:rPr>
        <w:t>11,5% prípadoch. Takmer v polovici prípadoch (47,8%) išlo o prácu, ktorá nemala žiaden súvis so</w:t>
      </w:r>
      <w:r w:rsidR="00042C81" w:rsidRPr="0038576C">
        <w:rPr>
          <w:color w:val="000000"/>
        </w:rPr>
        <w:t> </w:t>
      </w:r>
      <w:r w:rsidRPr="0038576C">
        <w:rPr>
          <w:color w:val="000000"/>
        </w:rPr>
        <w:t>študovaným odborom. Z hľadiska študovaného odboru bola najvyššia miera prekrytia zaznamenaná u študentov humanitných vied a umení (30,5%). U študentov technických odborov predstavovala miera prekrytia 25,4%.</w:t>
      </w:r>
    </w:p>
    <w:p w:rsidR="002542CE" w:rsidRPr="0038576C" w:rsidRDefault="002542CE" w:rsidP="002542CE">
      <w:pPr>
        <w:autoSpaceDE w:val="0"/>
        <w:autoSpaceDN w:val="0"/>
        <w:adjustRightInd w:val="0"/>
        <w:spacing w:before="240"/>
        <w:jc w:val="both"/>
        <w:rPr>
          <w:color w:val="000000"/>
        </w:rPr>
      </w:pPr>
      <w:r w:rsidRPr="0038576C">
        <w:rPr>
          <w:color w:val="000000"/>
        </w:rPr>
        <w:t>Z hľadiska časového vyťaženia počas semestra, prevažná väčšina (87,5%) respondentov uviedla ako primárnu oblasť aktivity spojené so štúdiom. Prácu ako dominantnú oblasť svojich aktivít uviedlo 8,4% a iné aktivity 4,1% opýtaných.</w:t>
      </w:r>
    </w:p>
    <w:p w:rsidR="002542CE" w:rsidRPr="0038576C" w:rsidRDefault="002542CE" w:rsidP="002542CE">
      <w:pPr>
        <w:autoSpaceDE w:val="0"/>
        <w:autoSpaceDN w:val="0"/>
        <w:adjustRightInd w:val="0"/>
        <w:spacing w:before="240"/>
        <w:jc w:val="both"/>
        <w:rPr>
          <w:color w:val="000000"/>
        </w:rPr>
      </w:pPr>
      <w:r w:rsidRPr="0038576C">
        <w:rPr>
          <w:color w:val="000000"/>
        </w:rPr>
        <w:lastRenderedPageBreak/>
        <w:t>Študenti strávili účasťou na vyučovaní v </w:t>
      </w:r>
      <w:r w:rsidR="00042C81" w:rsidRPr="0038576C">
        <w:rPr>
          <w:color w:val="000000"/>
        </w:rPr>
        <w:t xml:space="preserve">priemere 19,4 hodiny týždenne. </w:t>
      </w:r>
      <w:r w:rsidRPr="0038576C">
        <w:rPr>
          <w:color w:val="000000"/>
        </w:rPr>
        <w:t>V prípade osobného štúdia to bolo necelých 14 hodín za týždeň (13,9). Celkovo študenti strávili v rámci študijných a pracovných aktivít v prieme počas bežného týždňa 39,9 hodín. Z celkového počtu respondentov 18,1% uviedlo, že by potrebovalo viac času na aktivity venované štúdiu, 43,9% vyhovovalo aktuálne množstvo času a 2,9% opýtaných by stačilo aj menej času. V prípade času na platenú prácu necelá tretina (32,6%) respondentov uviedla, že ho potrebuje viac a 30,7% ich bolo s aktuálnou situáciou spokojných.</w:t>
      </w:r>
    </w:p>
    <w:p w:rsidR="008108C9" w:rsidRPr="0038576C" w:rsidRDefault="002542CE" w:rsidP="002542CE">
      <w:pPr>
        <w:autoSpaceDE w:val="0"/>
        <w:autoSpaceDN w:val="0"/>
        <w:adjustRightInd w:val="0"/>
        <w:spacing w:before="240"/>
        <w:jc w:val="both"/>
        <w:rPr>
          <w:b/>
        </w:rPr>
      </w:pPr>
      <w:r w:rsidRPr="0038576C">
        <w:rPr>
          <w:color w:val="000000"/>
        </w:rPr>
        <w:t>Z ovládaných cudzích jazykov bol najčastejší anglický jazyk, ktorý ovládalo (veľmi) dobre 44,7%. Iba 2,1% opýtaných anglický jazyk neovládalo vôbec.</w:t>
      </w:r>
    </w:p>
    <w:p w:rsidR="008108C9" w:rsidRPr="00FF488A" w:rsidRDefault="008108C9" w:rsidP="00FF488A">
      <w:pPr>
        <w:pStyle w:val="Nadpis3-vavo"/>
        <w:numPr>
          <w:ilvl w:val="2"/>
          <w:numId w:val="1"/>
        </w:numPr>
        <w:ind w:left="0" w:firstLine="0"/>
        <w:jc w:val="both"/>
      </w:pPr>
      <w:bookmarkStart w:id="96" w:name="_Toc427750200"/>
      <w:r w:rsidRPr="00FF488A">
        <w:t>Externí študenti vysokých škôl</w:t>
      </w:r>
      <w:bookmarkEnd w:id="96"/>
    </w:p>
    <w:p w:rsidR="002542CE" w:rsidRPr="0038576C" w:rsidRDefault="002542CE" w:rsidP="002542CE">
      <w:pPr>
        <w:spacing w:before="240"/>
        <w:jc w:val="both"/>
        <w:rPr>
          <w:rFonts w:cs="Calibri"/>
        </w:rPr>
      </w:pPr>
      <w:r w:rsidRPr="0038576C">
        <w:rPr>
          <w:rFonts w:cs="Calibri"/>
          <w:color w:val="000000"/>
        </w:rPr>
        <w:t>Pred začiatkom (prvého) štúdia na vysokej škole mali traja zo štyroch študentov skúsenosti s platenou prácou (76,2 %), pričom väčšina pracovala najmenej 1 rok a najmenej 20 hodín týždenne (60,3 %).</w:t>
      </w:r>
    </w:p>
    <w:p w:rsidR="002542CE" w:rsidRPr="0038576C" w:rsidRDefault="002542CE" w:rsidP="002542CE">
      <w:pPr>
        <w:spacing w:before="240"/>
        <w:jc w:val="both"/>
        <w:rPr>
          <w:rFonts w:cs="Calibri"/>
        </w:rPr>
      </w:pPr>
      <w:r w:rsidRPr="0038576C">
        <w:rPr>
          <w:rFonts w:cs="Calibri"/>
          <w:bCs/>
          <w:color w:val="000000"/>
        </w:rPr>
        <w:t xml:space="preserve">Osem z desiatich respondentov </w:t>
      </w:r>
      <w:r w:rsidR="00145D1A">
        <w:rPr>
          <w:rFonts w:cs="Calibri"/>
          <w:bCs/>
          <w:color w:val="000000"/>
        </w:rPr>
        <w:t>pokračovalo v práci aj po</w:t>
      </w:r>
      <w:r w:rsidRPr="0038576C">
        <w:rPr>
          <w:rFonts w:cs="Calibri"/>
          <w:bCs/>
          <w:color w:val="000000"/>
        </w:rPr>
        <w:t xml:space="preserve"> zahájení štúdia na vysokej škole (81,9 %).</w:t>
      </w:r>
    </w:p>
    <w:p w:rsidR="002542CE" w:rsidRPr="0038576C" w:rsidRDefault="002542CE" w:rsidP="002542CE">
      <w:pPr>
        <w:autoSpaceDE w:val="0"/>
        <w:autoSpaceDN w:val="0"/>
        <w:adjustRightInd w:val="0"/>
        <w:spacing w:before="240"/>
        <w:jc w:val="both"/>
        <w:rPr>
          <w:rFonts w:cs="Calibri"/>
          <w:bCs/>
          <w:color w:val="000000"/>
        </w:rPr>
      </w:pPr>
      <w:r w:rsidRPr="0038576C">
        <w:rPr>
          <w:rFonts w:cs="Calibri"/>
          <w:bCs/>
          <w:color w:val="000000"/>
        </w:rPr>
        <w:t xml:space="preserve">Študenti vyjadrili spokojnosť najmä s kvalitou výučby, teda pedagogickými a odbornými schopnosťami učiteľov a s prístupom učiteľov k študentom. S kvalitou týchto aspektov bolo aspoň 70 % študentov (veľmi) spokojných (75,8 % a 70,5 %; príslušne) a menej ako 10 % z nich uviedlo, že sú s nimi (veľmi) nespokojní (5,0 % a 8,1 %; príslušne). </w:t>
      </w:r>
    </w:p>
    <w:p w:rsidR="002542CE" w:rsidRPr="0038576C" w:rsidRDefault="002542CE" w:rsidP="002542CE">
      <w:pPr>
        <w:spacing w:before="240"/>
        <w:jc w:val="both"/>
        <w:rPr>
          <w:rFonts w:cs="Calibri"/>
        </w:rPr>
      </w:pPr>
      <w:r w:rsidRPr="0038576C">
        <w:rPr>
          <w:rFonts w:cs="Calibri"/>
        </w:rPr>
        <w:t>Najväčšia skupina študentov - takmer polovica - bývala počas pracovných dní semestra s partnerom / partnerkou alebo manželom / manželkou (44,5 %). Štyria z desiatich bývali v spoločnej domácnosti s rodičmi alebo inými príbuznými (36,8 %).</w:t>
      </w:r>
    </w:p>
    <w:p w:rsidR="002542CE" w:rsidRPr="0038576C" w:rsidRDefault="002542CE" w:rsidP="002542CE">
      <w:pPr>
        <w:spacing w:before="240"/>
        <w:jc w:val="both"/>
        <w:rPr>
          <w:rFonts w:cs="Calibri"/>
        </w:rPr>
      </w:pPr>
      <w:r w:rsidRPr="0038576C">
        <w:rPr>
          <w:rFonts w:cs="Calibri"/>
        </w:rPr>
        <w:t xml:space="preserve">Najväčšia skupina respondentov uviedla ako najčastejší spôsob dopravy auto / motocykel (58,5 %), jeden z piatich používal MHD (22,1 %). </w:t>
      </w:r>
    </w:p>
    <w:p w:rsidR="002542CE" w:rsidRPr="00FF488A" w:rsidRDefault="002542CE" w:rsidP="002542CE">
      <w:pPr>
        <w:spacing w:before="240"/>
        <w:jc w:val="both"/>
        <w:rPr>
          <w:rFonts w:cs="Calibri"/>
        </w:rPr>
      </w:pPr>
      <w:r w:rsidRPr="00FF488A">
        <w:rPr>
          <w:rFonts w:cs="Calibri"/>
        </w:rPr>
        <w:t xml:space="preserve">Štyria z desiatich študentov (43,3 %) uviedli, že dostávajú financie od rodičov / partnera. Spomedzi študentov pracujúcich počas celého semestra dostávala túto pomoc necelá tretina (27,6 %). </w:t>
      </w:r>
      <w:proofErr w:type="spellStart"/>
      <w:r w:rsidRPr="00FF488A">
        <w:rPr>
          <w:rFonts w:cs="Calibri"/>
        </w:rPr>
        <w:t>Mediánová</w:t>
      </w:r>
      <w:proofErr w:type="spellEnd"/>
      <w:r w:rsidRPr="00FF488A">
        <w:rPr>
          <w:rFonts w:cs="Calibri"/>
        </w:rPr>
        <w:t xml:space="preserve"> hodnota príspevku od rodičov / partnera dosiahla u týchto recipientov hodnotu 190,7 €. Spomedzi študentov pracujúcich príležitostne dostávali túto pomoc ôsmi z desiatich (77,1 %). </w:t>
      </w:r>
      <w:proofErr w:type="spellStart"/>
      <w:r w:rsidRPr="00FF488A">
        <w:rPr>
          <w:rFonts w:cs="Calibri"/>
        </w:rPr>
        <w:t>Mediánová</w:t>
      </w:r>
      <w:proofErr w:type="spellEnd"/>
      <w:r w:rsidRPr="00FF488A">
        <w:rPr>
          <w:rFonts w:cs="Calibri"/>
        </w:rPr>
        <w:t xml:space="preserve"> hodnota príspevku od rodičov / partnera dosiahla u tejto skupiny recipientov hodnotu 100,0 €. Spomedzi študentov, ktorí nemali platenú prácu, dostávali financie z uvedeného zdroja deviati z desiatich (87,1 %). </w:t>
      </w:r>
      <w:proofErr w:type="spellStart"/>
      <w:r w:rsidRPr="00FF488A">
        <w:rPr>
          <w:rFonts w:cs="Calibri"/>
        </w:rPr>
        <w:t>Mediánová</w:t>
      </w:r>
      <w:proofErr w:type="spellEnd"/>
      <w:r w:rsidRPr="00FF488A">
        <w:rPr>
          <w:rFonts w:cs="Calibri"/>
        </w:rPr>
        <w:t xml:space="preserve"> hodnota príspevku od rodičov / partnera dosiahla u týchto recipientov hodnotu 170,9 €.</w:t>
      </w:r>
    </w:p>
    <w:p w:rsidR="002542CE" w:rsidRPr="00FF488A" w:rsidRDefault="002542CE" w:rsidP="002542CE">
      <w:pPr>
        <w:spacing w:before="240"/>
        <w:jc w:val="both"/>
        <w:rPr>
          <w:rFonts w:cs="Calibri"/>
        </w:rPr>
      </w:pPr>
      <w:r w:rsidRPr="00FF488A">
        <w:rPr>
          <w:rFonts w:cs="Calibri"/>
        </w:rPr>
        <w:t>Približne osem z desiatich študentov uviedlo, že má počas semestra príjem z platenej práce / brigády (79,1 %).</w:t>
      </w:r>
    </w:p>
    <w:p w:rsidR="002542CE" w:rsidRPr="00FF488A" w:rsidRDefault="002542CE" w:rsidP="002542CE">
      <w:pPr>
        <w:spacing w:before="240"/>
        <w:jc w:val="both"/>
        <w:rPr>
          <w:rFonts w:cs="Calibri"/>
        </w:rPr>
      </w:pPr>
      <w:r w:rsidRPr="00FF488A">
        <w:rPr>
          <w:rFonts w:cs="Calibri"/>
        </w:rPr>
        <w:t>Len jeden z desiatich študentov uviedol, že disponuje financiami z vlastnej práce / brigády, ktoré získal v minulosti (13,6 %).</w:t>
      </w:r>
    </w:p>
    <w:p w:rsidR="002542CE" w:rsidRPr="00FF488A" w:rsidRDefault="002542CE" w:rsidP="002542CE">
      <w:pPr>
        <w:spacing w:before="240"/>
        <w:jc w:val="both"/>
        <w:rPr>
          <w:rFonts w:cs="Calibri"/>
        </w:rPr>
      </w:pPr>
      <w:r w:rsidRPr="00FF488A">
        <w:rPr>
          <w:rFonts w:cs="Calibri"/>
        </w:rPr>
        <w:t xml:space="preserve">Necelá pätina študentov uviedla ako jeden z disponibilných zdrojov pre osobné použitie financie z verejných zdrojov ako detské prídavky, invalidný dôchodok a iné (14,6 %). </w:t>
      </w:r>
      <w:proofErr w:type="spellStart"/>
      <w:r w:rsidRPr="00FF488A">
        <w:rPr>
          <w:rFonts w:cs="Calibri"/>
        </w:rPr>
        <w:t>Mediánová</w:t>
      </w:r>
      <w:proofErr w:type="spellEnd"/>
      <w:r w:rsidRPr="00FF488A">
        <w:rPr>
          <w:rFonts w:cs="Calibri"/>
        </w:rPr>
        <w:t xml:space="preserve"> hodnota tohto príspevku predstavovala 60,0.</w:t>
      </w:r>
    </w:p>
    <w:p w:rsidR="002542CE" w:rsidRPr="00FF488A" w:rsidRDefault="002542CE" w:rsidP="002542CE">
      <w:pPr>
        <w:spacing w:before="240"/>
        <w:jc w:val="both"/>
        <w:rPr>
          <w:rFonts w:cs="Calibri"/>
        </w:rPr>
      </w:pPr>
      <w:r w:rsidRPr="00FF488A">
        <w:rPr>
          <w:rFonts w:cs="Calibri"/>
        </w:rPr>
        <w:lastRenderedPageBreak/>
        <w:t>Absolútna väčšina respondentov si nevzala úver zo súkromného finančného domu/ subjektu (97,9 %).</w:t>
      </w:r>
    </w:p>
    <w:p w:rsidR="002542CE" w:rsidRPr="00FF488A" w:rsidRDefault="002542CE" w:rsidP="002542CE">
      <w:pPr>
        <w:spacing w:before="240"/>
        <w:jc w:val="both"/>
        <w:rPr>
          <w:rFonts w:cs="Calibri"/>
        </w:rPr>
      </w:pPr>
      <w:proofErr w:type="spellStart"/>
      <w:r w:rsidRPr="00FF488A">
        <w:rPr>
          <w:rFonts w:cs="Calibri"/>
          <w:color w:val="000000"/>
        </w:rPr>
        <w:t>Mediánová</w:t>
      </w:r>
      <w:proofErr w:type="spellEnd"/>
      <w:r w:rsidRPr="00FF488A">
        <w:rPr>
          <w:rFonts w:cs="Calibri"/>
          <w:color w:val="000000"/>
        </w:rPr>
        <w:t xml:space="preserve"> hodnota celkovej disponibilnej sumy študentov, pracujúcich počas celého semestra, bola 600,0 </w:t>
      </w:r>
      <w:r w:rsidR="00FF488A" w:rsidRPr="00FF488A">
        <w:rPr>
          <w:rFonts w:cs="Calibri"/>
        </w:rPr>
        <w:t xml:space="preserve">€. </w:t>
      </w:r>
      <w:proofErr w:type="spellStart"/>
      <w:r w:rsidRPr="00FF488A">
        <w:rPr>
          <w:rFonts w:cs="Calibri"/>
          <w:color w:val="000000"/>
        </w:rPr>
        <w:t>Mediánová</w:t>
      </w:r>
      <w:proofErr w:type="spellEnd"/>
      <w:r w:rsidRPr="00FF488A">
        <w:rPr>
          <w:rFonts w:cs="Calibri"/>
          <w:color w:val="000000"/>
        </w:rPr>
        <w:t xml:space="preserve"> hodnota celkovej disponibilnej sumy nepracujúcich študentov bola 270,0 </w:t>
      </w:r>
      <w:r w:rsidRPr="00FF488A">
        <w:rPr>
          <w:rFonts w:cs="Calibri"/>
        </w:rPr>
        <w:t>€ (aritmetický priemer = 344,8 €; smerodajná odchýlka = 271,3 €).</w:t>
      </w:r>
    </w:p>
    <w:p w:rsidR="002542CE" w:rsidRPr="00FF488A" w:rsidRDefault="002542CE" w:rsidP="002542CE">
      <w:pPr>
        <w:spacing w:before="240"/>
        <w:jc w:val="both"/>
        <w:rPr>
          <w:rFonts w:cs="Calibri"/>
        </w:rPr>
      </w:pPr>
      <w:r w:rsidRPr="00FF488A">
        <w:rPr>
          <w:rFonts w:cs="Calibri"/>
          <w:bCs/>
          <w:color w:val="000000"/>
        </w:rPr>
        <w:t>Šiesti z desiatich študentov boli závislí na vlastnom zárobku (59,4 %) a dvaja z desiatich na</w:t>
      </w:r>
      <w:r w:rsidR="0074288F" w:rsidRPr="00FF488A">
        <w:rPr>
          <w:rFonts w:cs="Calibri"/>
          <w:bCs/>
          <w:color w:val="000000"/>
        </w:rPr>
        <w:t> </w:t>
      </w:r>
      <w:r w:rsidRPr="00FF488A">
        <w:rPr>
          <w:rFonts w:cs="Calibri"/>
          <w:bCs/>
          <w:color w:val="000000"/>
        </w:rPr>
        <w:t>finančnom príspevku od rodičov / partnera (23,3 %). Na štátnom príspevku nebol závislý ani jeden respondent.</w:t>
      </w:r>
    </w:p>
    <w:p w:rsidR="002542CE" w:rsidRPr="00FF488A" w:rsidRDefault="002542CE" w:rsidP="002542CE">
      <w:pPr>
        <w:spacing w:before="240"/>
        <w:jc w:val="both"/>
        <w:rPr>
          <w:rFonts w:cs="Calibri"/>
        </w:rPr>
      </w:pPr>
      <w:r w:rsidRPr="00FF488A">
        <w:rPr>
          <w:rFonts w:cs="Calibri"/>
          <w:bCs/>
          <w:color w:val="000000"/>
        </w:rPr>
        <w:t>Takmer polovica študentov uviedla, že majú stredne veľké finančné problémy (46,9 %).</w:t>
      </w:r>
    </w:p>
    <w:p w:rsidR="002542CE" w:rsidRPr="00FF488A" w:rsidRDefault="002542CE" w:rsidP="002542CE">
      <w:pPr>
        <w:spacing w:before="240"/>
        <w:jc w:val="both"/>
        <w:rPr>
          <w:rFonts w:cs="Calibri"/>
        </w:rPr>
      </w:pPr>
      <w:r w:rsidRPr="00FF488A">
        <w:rPr>
          <w:rFonts w:cs="Calibri"/>
        </w:rPr>
        <w:t xml:space="preserve">Siedmi z desiatich študentov uviedli, že pracovali počas celého semestra (73,9 %), príležitostne pracoval jeden z desiatich (8,9 %) a takmer pätina nemala platenú prácu (17,2 %). </w:t>
      </w:r>
    </w:p>
    <w:p w:rsidR="00FF488A" w:rsidRPr="00FF488A" w:rsidRDefault="002542CE" w:rsidP="002542CE">
      <w:pPr>
        <w:spacing w:before="240"/>
        <w:jc w:val="both"/>
        <w:rPr>
          <w:rFonts w:cs="Calibri"/>
        </w:rPr>
      </w:pPr>
      <w:r w:rsidRPr="00FF488A">
        <w:rPr>
          <w:rFonts w:cs="Calibri"/>
        </w:rPr>
        <w:t>Študenti</w:t>
      </w:r>
      <w:r w:rsidR="00FF488A" w:rsidRPr="00FF488A">
        <w:rPr>
          <w:rFonts w:cs="Calibri"/>
        </w:rPr>
        <w:t xml:space="preserve">, ktorí počas semestra pracovali, </w:t>
      </w:r>
      <w:r w:rsidRPr="00FF488A">
        <w:rPr>
          <w:rFonts w:cs="Calibri"/>
        </w:rPr>
        <w:t xml:space="preserve">strávili v práci počas bežného týždňa semestra priemerne 39,7 hodín. </w:t>
      </w:r>
    </w:p>
    <w:p w:rsidR="002542CE" w:rsidRPr="00FF488A" w:rsidRDefault="002542CE" w:rsidP="002542CE">
      <w:pPr>
        <w:spacing w:before="240"/>
        <w:jc w:val="both"/>
        <w:rPr>
          <w:rFonts w:cs="Calibri"/>
        </w:rPr>
      </w:pPr>
      <w:r w:rsidRPr="00FF488A">
        <w:rPr>
          <w:rFonts w:cs="Calibri"/>
        </w:rPr>
        <w:t>Pre štyroch študentov z desiatich platená práca súvisela s obsahom ich študijného programu (veľmi) úzko (40,8 %). Na druhej strane takmer rovnaké percento študentov pracuje v oblasti, ktorá s ich študijným programom súvisí len málo alebo vôbec (40,2 %).</w:t>
      </w:r>
    </w:p>
    <w:p w:rsidR="002542CE" w:rsidRPr="00FF488A" w:rsidRDefault="002542CE" w:rsidP="002542CE">
      <w:pPr>
        <w:spacing w:before="240"/>
        <w:jc w:val="both"/>
        <w:rPr>
          <w:rFonts w:cs="Calibri"/>
        </w:rPr>
      </w:pPr>
      <w:r w:rsidRPr="00FF488A">
        <w:rPr>
          <w:rFonts w:cs="Calibri"/>
        </w:rPr>
        <w:t>Siedmi z desiatich zhodnotili, že v prvom rade pracujú a popritom študujú (73,8 %).</w:t>
      </w:r>
    </w:p>
    <w:p w:rsidR="002542CE" w:rsidRPr="00FF488A" w:rsidRDefault="002542CE" w:rsidP="002542CE">
      <w:pPr>
        <w:spacing w:before="240"/>
        <w:jc w:val="both"/>
        <w:rPr>
          <w:rFonts w:cs="Calibri"/>
        </w:rPr>
      </w:pPr>
      <w:r w:rsidRPr="00FF488A">
        <w:rPr>
          <w:rFonts w:cs="Calibri"/>
        </w:rPr>
        <w:t>Najväčšia skupina respondentov strávila na prednáškach, seminároch a cvičeniach 1 až 10 hodín týždenne (40,4 %).</w:t>
      </w:r>
    </w:p>
    <w:p w:rsidR="002542CE" w:rsidRPr="00FF488A" w:rsidRDefault="002542CE" w:rsidP="002542CE">
      <w:pPr>
        <w:spacing w:before="240"/>
        <w:jc w:val="both"/>
        <w:rPr>
          <w:rFonts w:cs="Calibri"/>
        </w:rPr>
      </w:pPr>
      <w:r w:rsidRPr="00FF488A">
        <w:rPr>
          <w:rFonts w:cs="Calibri"/>
          <w:bCs/>
          <w:color w:val="000000"/>
        </w:rPr>
        <w:t xml:space="preserve">Najväčšia skupina študentov venovala osobnému štúdiu 5,5 až 10 hodín (36,7 %), druhá najväčšia skupina 1 až 5 hodín </w:t>
      </w:r>
      <w:r w:rsidRPr="00FF488A">
        <w:rPr>
          <w:rFonts w:cs="Calibri"/>
        </w:rPr>
        <w:t>týždenne</w:t>
      </w:r>
      <w:r w:rsidRPr="00FF488A">
        <w:rPr>
          <w:rFonts w:cs="Calibri"/>
          <w:bCs/>
          <w:color w:val="000000"/>
        </w:rPr>
        <w:t xml:space="preserve"> (24,3 %).</w:t>
      </w:r>
    </w:p>
    <w:p w:rsidR="002542CE" w:rsidRPr="00FF488A" w:rsidRDefault="002542CE" w:rsidP="002542CE">
      <w:pPr>
        <w:spacing w:before="240"/>
        <w:jc w:val="both"/>
        <w:rPr>
          <w:rFonts w:cs="Calibri"/>
        </w:rPr>
      </w:pPr>
      <w:r w:rsidRPr="00FF488A">
        <w:rPr>
          <w:rFonts w:cs="Calibri"/>
        </w:rPr>
        <w:t>Najväčšia skupina študentov – štyria z desiatich – strávili študijnými aktivitami a platenou prácou viac ako 60 hodín (37,0 %). Približne štvrtina študentov venovala týmto aktivitám 50,1 až 60 hodín (26,1 %).</w:t>
      </w:r>
    </w:p>
    <w:p w:rsidR="002542CE" w:rsidRPr="00FF488A" w:rsidRDefault="002542CE" w:rsidP="002542CE">
      <w:pPr>
        <w:spacing w:before="240"/>
        <w:jc w:val="both"/>
        <w:rPr>
          <w:rFonts w:cs="Calibri"/>
        </w:rPr>
      </w:pPr>
      <w:r w:rsidRPr="00FF488A">
        <w:rPr>
          <w:rFonts w:cs="Calibri"/>
        </w:rPr>
        <w:t>Študenti vo všeobecnosti najlepšie ovládajú anglický jazyk; traja z desiatich uviedli, že sa dorozumejú týmto jazykom (veľmi) dobre (32,1 %), len veľmi málo z nich ho neovláda vôbec (6,1 %). Druhým najlepšie ovládaným cudzím jazykom bol nemecký jazyk. Tento jazyk ovláda (veľmi) dobre desatina študentov (13,6 %), vôbec ho neovládajú traja z desiatich (30,0 %). Podobne maďarský jazyk (veľmi) dobre ovláda takmer desatina študentov (14,6 %), vôbec ho neovládajú siedmi z desiatich (72,9 %). F</w:t>
      </w:r>
      <w:r w:rsidRPr="00FF488A">
        <w:rPr>
          <w:rFonts w:cs="Calibri"/>
          <w:color w:val="17365D"/>
        </w:rPr>
        <w:t>rancú</w:t>
      </w:r>
      <w:r w:rsidRPr="00FF488A">
        <w:rPr>
          <w:rFonts w:cs="Calibri"/>
        </w:rPr>
        <w:t>zskym a španielskym jazykom sa (veľmi) dobre dorozumie výnimočne málo študentov (1,0 % a 1,4 %), väčšina ich neovláda vôbec (87,1 % a 89,3 %).</w:t>
      </w:r>
    </w:p>
    <w:p w:rsidR="002542CE" w:rsidRPr="00FF488A" w:rsidRDefault="002542CE" w:rsidP="002542CE">
      <w:pPr>
        <w:spacing w:before="240"/>
        <w:jc w:val="both"/>
        <w:rPr>
          <w:rFonts w:cs="Calibri"/>
        </w:rPr>
      </w:pPr>
      <w:r w:rsidRPr="00FF488A">
        <w:rPr>
          <w:rFonts w:cs="Calibri"/>
        </w:rPr>
        <w:t>Len nepatrné percento študentov absolvovalo študijný pobyt v zahraničí po dobu minimálne jedného semestra (0,6 %). Takisto veľmi málo študentov takýto pobyt zatiaľ neabsolvovalo, ale plánujú tak urobiť v budúcnosti (5,2 %). Deviati z desiatich respondentov spomínaný pobyt neabsolvovali a ani neplánujú tak</w:t>
      </w:r>
      <w:r w:rsidR="00FF488A">
        <w:rPr>
          <w:rFonts w:cs="Calibri"/>
        </w:rPr>
        <w:t xml:space="preserve"> urobiť v budúcnosti (94,2 %). </w:t>
      </w:r>
      <w:r w:rsidRPr="00FF488A">
        <w:rPr>
          <w:rFonts w:cs="Calibri"/>
        </w:rPr>
        <w:t>Študenti vnímali ako najväčšie prekážky pre absolvovanie študijného pobytu v zahraničí zvýšenú finančnú záťaž a stratu zamestnania/platenej práce, teda ekonomické aspekty.</w:t>
      </w:r>
    </w:p>
    <w:p w:rsidR="002542CE" w:rsidRPr="00FF488A" w:rsidRDefault="002542CE" w:rsidP="002542CE">
      <w:pPr>
        <w:spacing w:before="240"/>
        <w:jc w:val="both"/>
        <w:rPr>
          <w:rFonts w:cs="Calibri"/>
        </w:rPr>
      </w:pPr>
      <w:r w:rsidRPr="00FF488A">
        <w:rPr>
          <w:rFonts w:cs="Calibri"/>
        </w:rPr>
        <w:lastRenderedPageBreak/>
        <w:t>Výskum/odbornú exkurziu, odbornú prax/pracovnú stáž, letnú/zimnú školu, jazykový kurz alebo inú študijnú aktivitu v zahraničí absolvovalo počas štúdia na vysokej škole veľ</w:t>
      </w:r>
      <w:r w:rsidR="000E6F1F">
        <w:rPr>
          <w:rFonts w:cs="Calibri"/>
        </w:rPr>
        <w:t>ký</w:t>
      </w:r>
      <w:r w:rsidRPr="00FF488A">
        <w:rPr>
          <w:rFonts w:cs="Calibri"/>
        </w:rPr>
        <w:t xml:space="preserve"> podiel externých študentov (0,6 %; 1,9 %; 0,5 %; 2,3 % a 2,0 %). </w:t>
      </w:r>
    </w:p>
    <w:p w:rsidR="002542CE" w:rsidRPr="00FF488A" w:rsidRDefault="002542CE" w:rsidP="002542CE">
      <w:pPr>
        <w:spacing w:before="240"/>
        <w:jc w:val="both"/>
        <w:rPr>
          <w:rFonts w:cs="Calibri"/>
        </w:rPr>
      </w:pPr>
      <w:r w:rsidRPr="00FF488A">
        <w:rPr>
          <w:rFonts w:cs="Calibri"/>
        </w:rPr>
        <w:t>Štyria z desiatich študentov uviedli, že majú priemerné šance uplatniť sa na trhu práce na Slovensku po absolvovaní študijného programu, ktorý v čase zberu údajov študovali (41,6 %). Traja z desiatich tieto šance zhodnotili ako (veľmi) zlé a takmer rovnaký podiel videl tieto šance ako (veľmi) dobré (30,8 % a 27,5 %).</w:t>
      </w:r>
    </w:p>
    <w:p w:rsidR="002542CE" w:rsidRPr="002542CE" w:rsidRDefault="002542CE" w:rsidP="002542CE">
      <w:pPr>
        <w:spacing w:before="240"/>
        <w:jc w:val="both"/>
        <w:rPr>
          <w:rFonts w:cs="Calibri"/>
        </w:rPr>
      </w:pPr>
      <w:r w:rsidRPr="00FF488A">
        <w:rPr>
          <w:rFonts w:cs="Calibri"/>
        </w:rPr>
        <w:t xml:space="preserve">Šance uplatniť sa </w:t>
      </w:r>
      <w:r w:rsidR="000E6F1F">
        <w:rPr>
          <w:rFonts w:cs="Calibri"/>
        </w:rPr>
        <w:t xml:space="preserve">na </w:t>
      </w:r>
      <w:r w:rsidRPr="00FF488A">
        <w:rPr>
          <w:rFonts w:cs="Calibri"/>
        </w:rPr>
        <w:t>trhu práce v zahraničí zhodnotili štyria z desiatich študentov ako (veľmi) zlé, približne tretina ako priemerné a traja z desiatich ako (veľmi) dobré (36,7 %; 34,6 % a 28,6 %).</w:t>
      </w:r>
      <w:r w:rsidRPr="00F151B1">
        <w:rPr>
          <w:rFonts w:cs="Calibri"/>
        </w:rPr>
        <w:t xml:space="preserve"> </w:t>
      </w:r>
    </w:p>
    <w:sectPr w:rsidR="002542CE" w:rsidRPr="002542CE" w:rsidSect="0081471C">
      <w:headerReference w:type="default" r:id="rId19"/>
      <w:headerReference w:type="first" r:id="rId20"/>
      <w:footerReference w:type="first" r:id="rId21"/>
      <w:type w:val="continuous"/>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273" w:rsidRDefault="00B71273">
      <w:r>
        <w:separator/>
      </w:r>
    </w:p>
  </w:endnote>
  <w:endnote w:type="continuationSeparator" w:id="0">
    <w:p w:rsidR="00B71273" w:rsidRDefault="00B71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03" w:rsidRDefault="003B0903"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5010AB">
      <w:rPr>
        <w:rStyle w:val="slostrany"/>
        <w:noProof/>
        <w:szCs w:val="22"/>
      </w:rPr>
      <w:t>27</w:t>
    </w:r>
    <w:r>
      <w:rPr>
        <w:rStyle w:val="slostrany"/>
        <w:szCs w:val="22"/>
      </w:rPr>
      <w:fldChar w:fldCharType="end"/>
    </w:r>
  </w:p>
  <w:p w:rsidR="003B0903" w:rsidRDefault="003B090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03" w:rsidRDefault="003B0903"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5010AB">
      <w:rPr>
        <w:rStyle w:val="slostrany"/>
        <w:noProof/>
        <w:szCs w:val="22"/>
      </w:rPr>
      <w:t>5</w:t>
    </w:r>
    <w:r>
      <w:rPr>
        <w:rStyle w:val="slostrany"/>
        <w:szCs w:val="22"/>
      </w:rPr>
      <w:fldChar w:fldCharType="end"/>
    </w:r>
  </w:p>
  <w:p w:rsidR="003B0903" w:rsidRDefault="003B090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273" w:rsidRDefault="00B71273">
      <w:r>
        <w:separator/>
      </w:r>
    </w:p>
  </w:footnote>
  <w:footnote w:type="continuationSeparator" w:id="0">
    <w:p w:rsidR="00B71273" w:rsidRDefault="00B71273">
      <w:r>
        <w:continuationSeparator/>
      </w:r>
    </w:p>
  </w:footnote>
  <w:footnote w:id="1">
    <w:p w:rsidR="0033364D" w:rsidRDefault="003B0903">
      <w:pPr>
        <w:pStyle w:val="Textpoznmkypodiarou"/>
      </w:pPr>
      <w:r w:rsidRPr="00C11080">
        <w:rPr>
          <w:rStyle w:val="Odkaznapoznmkupodiarou"/>
          <w:lang w:val="sk-SK"/>
        </w:rPr>
        <w:footnoteRef/>
      </w:r>
      <w:r w:rsidRPr="00C11080">
        <w:rPr>
          <w:lang w:val="sk-SK"/>
        </w:rPr>
        <w:t xml:space="preserve">) </w:t>
      </w:r>
      <w:r w:rsidRPr="00844258">
        <w:rPr>
          <w:lang w:val="sk-SK"/>
        </w:rPr>
        <w:t>Počtom študentov v roku 2014 rozumieme počet študentov v akademickom roku 2014/2015 k 31.10.2014.</w:t>
      </w:r>
    </w:p>
  </w:footnote>
  <w:footnote w:id="2">
    <w:p w:rsidR="0033364D" w:rsidRDefault="003B0903" w:rsidP="00A82A7F">
      <w:pPr>
        <w:pStyle w:val="Textpoznmkypodiarou"/>
        <w:jc w:val="both"/>
      </w:pPr>
      <w:r w:rsidRPr="00844258">
        <w:rPr>
          <w:rStyle w:val="Odkaznapoznmkupodiarou"/>
          <w:lang w:val="sk-SK"/>
        </w:rPr>
        <w:footnoteRef/>
      </w:r>
      <w:r w:rsidRPr="00844258">
        <w:rPr>
          <w:lang w:val="sk-SK"/>
        </w:rPr>
        <w:t xml:space="preserve">) Univerzita </w:t>
      </w:r>
      <w:proofErr w:type="spellStart"/>
      <w:r w:rsidRPr="00844258">
        <w:rPr>
          <w:lang w:val="sk-SK"/>
        </w:rPr>
        <w:t>Palackého</w:t>
      </w:r>
      <w:proofErr w:type="spellEnd"/>
      <w:r w:rsidRPr="00844258">
        <w:rPr>
          <w:lang w:val="sk-SK"/>
        </w:rPr>
        <w:t xml:space="preserve"> v Olomouci a Vysoká škola hotelová v Prahe oznámili ministerstvu, že svoje aktivity v Slovenskej republike pozastavili.</w:t>
      </w:r>
    </w:p>
  </w:footnote>
  <w:footnote w:id="3">
    <w:p w:rsidR="0033364D" w:rsidRDefault="003B0903" w:rsidP="00607A01">
      <w:pPr>
        <w:pStyle w:val="Textpoznmkypodiarou"/>
        <w:jc w:val="both"/>
      </w:pPr>
      <w:r w:rsidRPr="00844258">
        <w:rPr>
          <w:rStyle w:val="Odkaznapoznmkupodiarou"/>
          <w:lang w:val="sk-SK"/>
        </w:rPr>
        <w:footnoteRef/>
      </w:r>
      <w:r w:rsidRPr="00844258">
        <w:rPr>
          <w:vertAlign w:val="superscript"/>
          <w:lang w:val="sk-SK"/>
        </w:rPr>
        <w:t>)</w:t>
      </w:r>
      <w:r w:rsidRPr="00844258">
        <w:rPr>
          <w:lang w:val="sk-SK"/>
        </w:rPr>
        <w:t xml:space="preserve"> Za absolventa - uchádzača o zamestnanie sa považujú len absolventi z dennej formy štúdia a len do veku 25 rokov. Absolvent mohol ukončiť štúdium aj v predchádzajúcom roku. </w:t>
      </w:r>
    </w:p>
  </w:footnote>
  <w:footnote w:id="4">
    <w:p w:rsidR="0033364D" w:rsidRDefault="003B0903">
      <w:pPr>
        <w:pStyle w:val="Textpoznmkypodiarou"/>
      </w:pPr>
      <w:r w:rsidRPr="00844258">
        <w:rPr>
          <w:rStyle w:val="Odkaznapoznmkupodiarou"/>
          <w:lang w:val="sk-SK"/>
        </w:rPr>
        <w:footnoteRef/>
      </w:r>
      <w:r w:rsidRPr="00844258">
        <w:rPr>
          <w:lang w:val="sk-SK"/>
        </w:rPr>
        <w:t xml:space="preserve">) Sú započítaní len občania SR. V počte sú aj prihlášky na štátne vysoké školy. </w:t>
      </w:r>
    </w:p>
  </w:footnote>
  <w:footnote w:id="5">
    <w:p w:rsidR="0033364D" w:rsidRDefault="003B0903" w:rsidP="009C57FB">
      <w:r w:rsidRPr="00AC0841">
        <w:rPr>
          <w:rStyle w:val="Odkaznapoznmkupodiarou"/>
          <w:sz w:val="20"/>
          <w:szCs w:val="20"/>
        </w:rPr>
        <w:footnoteRef/>
      </w:r>
      <w:r>
        <w:rPr>
          <w:sz w:val="20"/>
          <w:szCs w:val="20"/>
        </w:rPr>
        <w:t xml:space="preserve">) </w:t>
      </w:r>
      <w:r w:rsidRPr="00AC0841">
        <w:rPr>
          <w:sz w:val="20"/>
          <w:szCs w:val="20"/>
        </w:rPr>
        <w:t xml:space="preserve">Vekové zloženie obyvateľstva </w:t>
      </w:r>
      <w:r>
        <w:rPr>
          <w:sz w:val="20"/>
          <w:szCs w:val="20"/>
        </w:rPr>
        <w:t>Slovenskej republiky v roku 2014</w:t>
      </w:r>
      <w:r w:rsidRPr="00AC0841">
        <w:rPr>
          <w:rFonts w:eastAsia="Batang"/>
          <w:bCs/>
          <w:lang w:eastAsia="nb-NO"/>
        </w:rPr>
        <w:t>,</w:t>
      </w:r>
      <w:hyperlink w:history="1"/>
      <w:r>
        <w:rPr>
          <w:sz w:val="20"/>
          <w:szCs w:val="20"/>
        </w:rPr>
        <w:t xml:space="preserve"> </w:t>
      </w:r>
      <w:hyperlink r:id="rId1" w:history="1">
        <w:r w:rsidRPr="009B475F">
          <w:rPr>
            <w:rStyle w:val="Hypertextovprepojenie"/>
            <w:sz w:val="20"/>
            <w:szCs w:val="20"/>
          </w:rPr>
          <w:t>http://datacube.statistics.sk/TM1WebSK/</w:t>
        </w:r>
      </w:hyperlink>
      <w:r>
        <w:rPr>
          <w:sz w:val="20"/>
          <w:szCs w:val="20"/>
        </w:rPr>
        <w:t>, k 31.12.2014</w:t>
      </w:r>
    </w:p>
  </w:footnote>
  <w:footnote w:id="6">
    <w:p w:rsidR="0033364D" w:rsidRDefault="003B0903" w:rsidP="00607CA7">
      <w:pPr>
        <w:pStyle w:val="Textpoznmkypodiarou"/>
        <w:jc w:val="both"/>
      </w:pPr>
      <w:r w:rsidRPr="00AC0841">
        <w:rPr>
          <w:rStyle w:val="Odkaznapoznmkupodiarou"/>
          <w:lang w:val="sk-SK"/>
        </w:rPr>
        <w:footnoteRef/>
      </w:r>
      <w:r w:rsidRPr="00AC0841">
        <w:rPr>
          <w:lang w:val="sk-SK"/>
        </w:rPr>
        <w:t>) Separát štatistickej ročenky školstva SR 201</w:t>
      </w:r>
      <w:r>
        <w:rPr>
          <w:lang w:val="sk-SK"/>
        </w:rPr>
        <w:t>4</w:t>
      </w:r>
      <w:r w:rsidRPr="00AC0841">
        <w:rPr>
          <w:lang w:val="sk-SK"/>
        </w:rPr>
        <w:t>, počet novoprijatých k 31.10.201</w:t>
      </w:r>
      <w:r>
        <w:rPr>
          <w:lang w:val="sk-SK"/>
        </w:rPr>
        <w:t>4</w:t>
      </w:r>
      <w:r w:rsidRPr="00AC0841">
        <w:rPr>
          <w:lang w:val="sk-SK"/>
        </w:rPr>
        <w:t xml:space="preserve"> na verejných, súkromných a štátnych vysokých školách v SR, I. stupeň a spojený I. a II. stupeň štúdia dennej aj externej formy štúdia (občania SR).</w:t>
      </w:r>
    </w:p>
  </w:footnote>
  <w:footnote w:id="7">
    <w:p w:rsidR="0033364D" w:rsidRDefault="003B0903" w:rsidP="005C595F">
      <w:pPr>
        <w:pStyle w:val="Textpoznmkypodiarou"/>
      </w:pPr>
      <w:r w:rsidRPr="00E52D7E">
        <w:rPr>
          <w:rStyle w:val="Odkaznapoznmkupodiarou"/>
          <w:lang w:val="sk-SK"/>
        </w:rPr>
        <w:footnoteRef/>
      </w:r>
      <w:r w:rsidRPr="00E52D7E">
        <w:rPr>
          <w:lang w:val="sk-SK"/>
        </w:rPr>
        <w:t xml:space="preserve">) </w:t>
      </w:r>
      <w:r w:rsidRPr="00975C6D">
        <w:rPr>
          <w:lang w:val="sk-SK"/>
        </w:rPr>
        <w:t>Sú započítaní len občania SR. V počte sú aj prihlášky na štátne vysoké školy.</w:t>
      </w:r>
      <w:r w:rsidRPr="00E52D7E">
        <w:rPr>
          <w:lang w:val="sk-SK"/>
        </w:rPr>
        <w:t xml:space="preserve"> </w:t>
      </w:r>
    </w:p>
  </w:footnote>
  <w:footnote w:id="8">
    <w:p w:rsidR="0033364D" w:rsidRDefault="003B0903" w:rsidP="00C56E1C">
      <w:pPr>
        <w:pStyle w:val="Textpoznmkypodiarou"/>
      </w:pPr>
      <w:r w:rsidRPr="00AC0841">
        <w:rPr>
          <w:rStyle w:val="Odkaznapoznmkupodiarou"/>
        </w:rPr>
        <w:footnoteRef/>
      </w:r>
      <w:r w:rsidRPr="00AC0841">
        <w:rPr>
          <w:lang w:val="sk-SK"/>
        </w:rPr>
        <w:t xml:space="preserve">) </w:t>
      </w:r>
      <w:r w:rsidRPr="00845757">
        <w:rPr>
          <w:lang w:val="sk-SK"/>
        </w:rPr>
        <w:t>Zdroj: Štatistický úrad SR</w:t>
      </w:r>
    </w:p>
  </w:footnote>
  <w:footnote w:id="9">
    <w:p w:rsidR="0033364D" w:rsidRDefault="003B0903" w:rsidP="00607CA7">
      <w:pPr>
        <w:pStyle w:val="Textpoznmkypodiarou"/>
        <w:jc w:val="both"/>
      </w:pPr>
      <w:r w:rsidRPr="00845757">
        <w:rPr>
          <w:rStyle w:val="Odkaznapoznmkupodiarou"/>
          <w:lang w:val="sk-SK"/>
        </w:rPr>
        <w:footnoteRef/>
      </w:r>
      <w:r w:rsidRPr="00845757">
        <w:rPr>
          <w:lang w:val="sk-SK"/>
        </w:rPr>
        <w:t>) V rámci vykazovania sa v kategórií výskumných pracovníkov uvádzajú aj zamestnanci bez vysokoškolského vzdelania, ktorí sa podieľajú na výskumnej činnosti, resp. pri nej asistujú.</w:t>
      </w:r>
    </w:p>
  </w:footnote>
  <w:footnote w:id="10">
    <w:p w:rsidR="0033364D" w:rsidRDefault="003B0903" w:rsidP="00607CA7">
      <w:pPr>
        <w:pStyle w:val="Textpoznmkypodiarou"/>
        <w:jc w:val="both"/>
      </w:pPr>
      <w:r w:rsidRPr="00845757">
        <w:rPr>
          <w:rStyle w:val="Odkaznapoznmkupodiarou"/>
        </w:rPr>
        <w:footnoteRef/>
      </w:r>
      <w:r w:rsidRPr="00845757">
        <w:t xml:space="preserve">) </w:t>
      </w:r>
      <w:r w:rsidRPr="00845757">
        <w:rPr>
          <w:lang w:val="sk-SK"/>
        </w:rPr>
        <w:t xml:space="preserve">V rámci vykazovania neučiteľských pracovníkov uvádzajú zamestnanci, ktorí </w:t>
      </w:r>
      <w:proofErr w:type="gramStart"/>
      <w:r w:rsidRPr="00845757">
        <w:rPr>
          <w:lang w:val="sk-SK"/>
        </w:rPr>
        <w:t>sa</w:t>
      </w:r>
      <w:proofErr w:type="gramEnd"/>
      <w:r w:rsidRPr="00845757">
        <w:rPr>
          <w:lang w:val="sk-SK"/>
        </w:rPr>
        <w:t xml:space="preserve"> nepodieľajú na pedagogickej a výskumnej činnosti.</w:t>
      </w:r>
    </w:p>
  </w:footnote>
  <w:footnote w:id="11">
    <w:p w:rsidR="0033364D" w:rsidRDefault="003B0903">
      <w:pPr>
        <w:pStyle w:val="Textpoznmkypodiarou"/>
      </w:pPr>
      <w:r w:rsidRPr="0046392E">
        <w:rPr>
          <w:rStyle w:val="Odkaznapoznmkupodiarou"/>
          <w:lang w:val="sk-SK"/>
        </w:rPr>
        <w:footnoteRef/>
      </w:r>
      <w:r w:rsidRPr="0046392E">
        <w:rPr>
          <w:lang w:val="sk-SK"/>
        </w:rPr>
        <w:t>) Nezohľadňuje sa výška úväzku príslušného vysokoškolského učiteľa.</w:t>
      </w:r>
      <w:r w:rsidRPr="00AB4288">
        <w:rPr>
          <w:lang w:val="sk-SK"/>
        </w:rPr>
        <w:t xml:space="preserve"> </w:t>
      </w:r>
    </w:p>
  </w:footnote>
  <w:footnote w:id="12">
    <w:p w:rsidR="0033364D" w:rsidRDefault="003B0903" w:rsidP="000C0184">
      <w:pPr>
        <w:pStyle w:val="Textpoznmkypodiarou"/>
        <w:jc w:val="both"/>
      </w:pPr>
      <w:r>
        <w:rPr>
          <w:rStyle w:val="Odkaznapoznmkupodiarou"/>
        </w:rPr>
        <w:footnoteRef/>
      </w:r>
      <w:r>
        <w:rPr>
          <w:lang w:val="sk-SK"/>
        </w:rPr>
        <w:t xml:space="preserve">) </w:t>
      </w:r>
      <w:r w:rsidRPr="00844258">
        <w:rPr>
          <w:lang w:val="sk-SK"/>
        </w:rPr>
        <w:t>Údaje zohľadňujú aj zamestnancov štátnych vysokých škôl. V prípade, že fyzická osoba zmenila funkciu (napr. z docenta na profesora) je táto zmena zohľadnená ako pokles počtu docentov, nárast poštu profesorov, ale v celkovej zmene sa nezohľadní (osoba zo systému neodišla). Zohľadňuje sa stav k 31.12., pracovné pomery/dohody, ktoré netrvali k tomuto dátumu sa nezohľadňujú.</w:t>
      </w:r>
    </w:p>
  </w:footnote>
  <w:footnote w:id="13">
    <w:p w:rsidR="0033364D" w:rsidRDefault="003B0903" w:rsidP="00607CA7">
      <w:pPr>
        <w:pStyle w:val="Textpoznmkypodiarou"/>
        <w:jc w:val="both"/>
      </w:pPr>
      <w:r w:rsidRPr="00844258">
        <w:rPr>
          <w:rStyle w:val="Odkaznapoznmkupodiarou"/>
          <w:lang w:val="sk-SK"/>
        </w:rPr>
        <w:footnoteRef/>
      </w:r>
      <w:r w:rsidRPr="00844258">
        <w:rPr>
          <w:lang w:val="sk-SK"/>
        </w:rPr>
        <w:t xml:space="preserve">) Ide o rozpis dotácií bez zohľadnenia neskorších </w:t>
      </w:r>
      <w:proofErr w:type="spellStart"/>
      <w:r w:rsidRPr="00844258">
        <w:rPr>
          <w:lang w:val="sk-SK"/>
        </w:rPr>
        <w:t>vratiek</w:t>
      </w:r>
      <w:proofErr w:type="spellEnd"/>
      <w:r w:rsidRPr="00844258">
        <w:rPr>
          <w:lang w:val="sk-SK"/>
        </w:rPr>
        <w:t xml:space="preserve"> (v prípade predčasne ukončeného projektu, zrušenia projektu, nedočerpania finančných prostriedkov sa zvyšné finančné prostriedky počas roka vracajú ministerstvu).</w:t>
      </w:r>
    </w:p>
  </w:footnote>
  <w:footnote w:id="14">
    <w:p w:rsidR="003B0903" w:rsidRDefault="003B0903" w:rsidP="002940A2">
      <w:pPr>
        <w:pStyle w:val="Textpoznmkypodiarou"/>
        <w:jc w:val="both"/>
        <w:rPr>
          <w:lang w:val="sk-SK"/>
        </w:rPr>
      </w:pPr>
      <w:r w:rsidRPr="002940A2">
        <w:rPr>
          <w:rStyle w:val="Odkaznapoznmkupodiarou"/>
          <w:lang w:val="sk-SK"/>
        </w:rPr>
        <w:footnoteRef/>
      </w:r>
      <w:r w:rsidRPr="002940A2">
        <w:rPr>
          <w:lang w:val="sk-SK"/>
        </w:rPr>
        <w:t xml:space="preserve">) Údaje podľa </w:t>
      </w:r>
      <w:r>
        <w:rPr>
          <w:lang w:val="sk-SK"/>
        </w:rPr>
        <w:t>CREPČ</w:t>
      </w:r>
      <w:r w:rsidRPr="002940A2">
        <w:rPr>
          <w:lang w:val="sk-SK"/>
        </w:rPr>
        <w:t xml:space="preserve"> k</w:t>
      </w:r>
      <w:r>
        <w:rPr>
          <w:lang w:val="sk-SK"/>
        </w:rPr>
        <w:t>u dňu 6</w:t>
      </w:r>
      <w:r w:rsidRPr="002940A2">
        <w:rPr>
          <w:lang w:val="sk-SK"/>
        </w:rPr>
        <w:t>.7.201</w:t>
      </w:r>
      <w:r>
        <w:rPr>
          <w:lang w:val="sk-SK"/>
        </w:rPr>
        <w:t>5</w:t>
      </w:r>
      <w:r w:rsidRPr="002940A2">
        <w:rPr>
          <w:lang w:val="sk-SK"/>
        </w:rPr>
        <w:t xml:space="preserve">. Záznamy v centrálnom </w:t>
      </w:r>
      <w:r>
        <w:rPr>
          <w:lang w:val="sk-SK"/>
        </w:rPr>
        <w:t>registri</w:t>
      </w:r>
      <w:r w:rsidRPr="002940A2">
        <w:rPr>
          <w:lang w:val="sk-SK"/>
        </w:rPr>
        <w:t xml:space="preserve"> sú priebežne kontrolované a môže dôjsť k ich preradeniu, vyradeniu a pod., ak nesplnia podmienky na registráciu. Registrujú sa aj záznamy doktorandov. </w:t>
      </w:r>
      <w:r>
        <w:rPr>
          <w:lang w:val="sk-SK"/>
        </w:rPr>
        <w:t>Údaje nie sú kompletné, chýbajú údaje za niektoré súkromné vysoké školy. Údaje CREUČ sú ku dňu 23.4.2015.</w:t>
      </w:r>
    </w:p>
    <w:p w:rsidR="0033364D" w:rsidRDefault="0033364D" w:rsidP="002940A2">
      <w:pPr>
        <w:pStyle w:val="Textpoznmkypodiarou"/>
        <w:jc w:val="both"/>
      </w:pPr>
    </w:p>
  </w:footnote>
  <w:footnote w:id="15">
    <w:p w:rsidR="0033364D" w:rsidRDefault="003B0903" w:rsidP="00027196">
      <w:pPr>
        <w:pStyle w:val="Textpoznmkypodiarou"/>
        <w:jc w:val="both"/>
      </w:pPr>
      <w:r w:rsidRPr="00027196">
        <w:rPr>
          <w:rStyle w:val="Odkaznapoznmkupodiarou"/>
          <w:lang w:val="sk-SK"/>
        </w:rPr>
        <w:footnoteRef/>
      </w:r>
      <w:r w:rsidRPr="00027196">
        <w:rPr>
          <w:lang w:val="sk-SK"/>
        </w:rPr>
        <w:t xml:space="preserve"> </w:t>
      </w:r>
      <w:r w:rsidRPr="00027196">
        <w:rPr>
          <w:lang w:val="sk-SK"/>
        </w:rPr>
        <w:t xml:space="preserve">Tento ukazovateľ je jedným z vhodných ukazovateľov kvality publikácií, v ktorom sú zohľadnené citačné zvyklosti v jednotlivých vedných disciplínach a jeho hodnota nie je ovplyvnená vekom a typom publikácie. Sú v ňom zahrnuté články, prehľadové články a príspevky z konferencií. V určitých prípadoch však na hodnotu tohto </w:t>
      </w:r>
      <w:proofErr w:type="spellStart"/>
      <w:r w:rsidRPr="00027196">
        <w:rPr>
          <w:lang w:val="sk-SK"/>
        </w:rPr>
        <w:t>bibliometrického</w:t>
      </w:r>
      <w:proofErr w:type="spellEnd"/>
      <w:r w:rsidRPr="00027196">
        <w:rPr>
          <w:lang w:val="sk-SK"/>
        </w:rPr>
        <w:t xml:space="preserve"> indikátora majú výrazný vplyv napríklad veľkosť sady údajov a malý počet veľmi často citovaných publikácií a iné. Z tohto dôvodu sú v grafe uvedené priemerné citačné ohlasy normalizované podľa vedných odborov v prípadoch, keď vysoká škola disponuje dostatočne vysokým počtom publikácií a % citovaných publikácií (na úrovni približne priemerná hodnota svetového nor</w:t>
      </w:r>
      <w:r>
        <w:rPr>
          <w:lang w:val="sk-SK"/>
        </w:rPr>
        <w:t>m</w:t>
      </w:r>
      <w:r w:rsidRPr="00027196">
        <w:rPr>
          <w:lang w:val="sk-SK"/>
        </w:rPr>
        <w:t>alizovaného citačného ohlasu), resp. počtom citácií.</w:t>
      </w:r>
    </w:p>
  </w:footnote>
  <w:footnote w:id="16">
    <w:p w:rsidR="0033364D" w:rsidRDefault="003B0903" w:rsidP="000A553F">
      <w:pPr>
        <w:pStyle w:val="Textpoznmkypodiarou"/>
        <w:jc w:val="both"/>
      </w:pPr>
      <w:r w:rsidRPr="001840F4">
        <w:rPr>
          <w:rStyle w:val="Odkaznapoznmkupodiarou"/>
          <w:lang w:val="sk-SK"/>
        </w:rPr>
        <w:footnoteRef/>
      </w:r>
      <w:r w:rsidRPr="001840F4">
        <w:rPr>
          <w:lang w:val="sk-SK"/>
        </w:rPr>
        <w:t xml:space="preserve">) </w:t>
      </w:r>
      <w:r w:rsidRPr="000845C4">
        <w:rPr>
          <w:lang w:val="sk-SK"/>
        </w:rPr>
        <w:t>Finančné prostriedky boli zabezpečené účelovou dotáciou v roku 2014 a zostatkom účelovej dotácie z roku 2013.</w:t>
      </w:r>
    </w:p>
  </w:footnote>
  <w:footnote w:id="17">
    <w:p w:rsidR="0033364D" w:rsidRDefault="003B0903" w:rsidP="000A553F">
      <w:pPr>
        <w:jc w:val="both"/>
      </w:pPr>
      <w:r w:rsidRPr="00C11080">
        <w:rPr>
          <w:rStyle w:val="Odkaznapoznmkupodiarou"/>
          <w:sz w:val="20"/>
          <w:szCs w:val="20"/>
        </w:rPr>
        <w:footnoteRef/>
      </w:r>
      <w:r>
        <w:rPr>
          <w:sz w:val="20"/>
          <w:szCs w:val="20"/>
        </w:rPr>
        <w:t xml:space="preserve">) </w:t>
      </w:r>
      <w:r w:rsidRPr="000845C4">
        <w:rPr>
          <w:sz w:val="20"/>
          <w:szCs w:val="20"/>
        </w:rPr>
        <w:t xml:space="preserve">Súvaha vyjadruje v prehľadnej a usporiadanej forme peňažné vyjadrenie majetku podľa druhov (aktíva) a podľa zdrojov (pasíva) k určitému dňu. </w:t>
      </w:r>
    </w:p>
  </w:footnote>
  <w:footnote w:id="18">
    <w:p w:rsidR="003B0903" w:rsidRPr="00282136" w:rsidRDefault="003B0903" w:rsidP="00917351">
      <w:pPr>
        <w:rPr>
          <w:rFonts w:eastAsia="Batang"/>
          <w:lang w:eastAsia="nb-NO"/>
        </w:rPr>
      </w:pPr>
      <w:r w:rsidRPr="000845C4">
        <w:rPr>
          <w:rStyle w:val="Odkaznapoznmkupodiarou"/>
        </w:rPr>
        <w:footnoteRef/>
      </w:r>
      <w:r w:rsidRPr="000845C4">
        <w:t xml:space="preserve">) </w:t>
      </w:r>
      <w:r w:rsidRPr="000845C4">
        <w:rPr>
          <w:rFonts w:eastAsia="Batang"/>
          <w:sz w:val="20"/>
          <w:szCs w:val="20"/>
          <w:lang w:eastAsia="nb-NO"/>
        </w:rPr>
        <w:t>Objem krátkodobých pohľadávok zvyšujú pohľadávky zo zmlúv zo štrukturálnych fondov.</w:t>
      </w:r>
    </w:p>
    <w:p w:rsidR="0033364D" w:rsidRDefault="0033364D" w:rsidP="00917351"/>
  </w:footnote>
  <w:footnote w:id="19">
    <w:p w:rsidR="0033364D" w:rsidRDefault="003B0903" w:rsidP="00452F95">
      <w:pPr>
        <w:pStyle w:val="Textpoznmkypodiarou"/>
        <w:jc w:val="both"/>
      </w:pPr>
      <w:r w:rsidRPr="000845C4">
        <w:rPr>
          <w:rStyle w:val="Odkaznapoznmkupodiarou"/>
        </w:rPr>
        <w:footnoteRef/>
      </w:r>
      <w:r w:rsidRPr="000845C4">
        <w:rPr>
          <w:lang w:val="sk-SK"/>
        </w:rPr>
        <w:t>) Poznamenávame, že štandardným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 w:id="20">
    <w:p w:rsidR="0033364D" w:rsidRDefault="003B0903">
      <w:pPr>
        <w:pStyle w:val="Textpoznmkypodiarou"/>
      </w:pPr>
      <w:r>
        <w:rPr>
          <w:rStyle w:val="Odkaznapoznmkupodiarou"/>
        </w:rPr>
        <w:footnoteRef/>
      </w:r>
      <w:r>
        <w:t xml:space="preserve">) </w:t>
      </w:r>
      <w:r w:rsidRPr="0066691D">
        <w:t>http://www.eurostudent.eu/results/reports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03" w:rsidRPr="00E503EE" w:rsidRDefault="003B0903" w:rsidP="00652A74">
    <w:pPr>
      <w:pStyle w:val="Hlavika"/>
      <w:pBdr>
        <w:bottom w:val="single" w:sz="4" w:space="1" w:color="auto"/>
      </w:pBdr>
      <w:jc w:val="center"/>
      <w:rPr>
        <w:i/>
        <w:iCs/>
      </w:rPr>
    </w:pPr>
    <w:r w:rsidRPr="00E503EE">
      <w:rPr>
        <w:i/>
        <w:iCs/>
      </w:rPr>
      <w:t>Výročná správa o sta</w:t>
    </w:r>
    <w:r>
      <w:rPr>
        <w:i/>
        <w:iCs/>
      </w:rPr>
      <w:t>ve vysokého školstva za rok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03" w:rsidRPr="00E503EE" w:rsidRDefault="003B0903" w:rsidP="00652A74">
    <w:pPr>
      <w:pStyle w:val="Hlavika"/>
      <w:pBdr>
        <w:bottom w:val="single" w:sz="4" w:space="1" w:color="auto"/>
      </w:pBdr>
      <w:jc w:val="center"/>
      <w:rPr>
        <w:i/>
        <w:iCs/>
      </w:rPr>
    </w:pPr>
    <w:r w:rsidRPr="00E503EE">
      <w:rPr>
        <w:i/>
        <w:iCs/>
      </w:rPr>
      <w:t>Výročná správa o sta</w:t>
    </w:r>
    <w:r>
      <w:rPr>
        <w:i/>
        <w:iCs/>
      </w:rPr>
      <w:t>ve vysokého školstva za rok 2014</w:t>
    </w:r>
  </w:p>
  <w:p w:rsidR="003B0903" w:rsidRPr="00652A74" w:rsidRDefault="003B0903" w:rsidP="00652A7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03" w:rsidRDefault="003B090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1">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2">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3">
    <w:nsid w:val="1CC84CEB"/>
    <w:multiLevelType w:val="multilevel"/>
    <w:tmpl w:val="4254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5">
    <w:nsid w:val="2B213C50"/>
    <w:multiLevelType w:val="multilevel"/>
    <w:tmpl w:val="853CC9F6"/>
    <w:lvl w:ilvl="0">
      <w:start w:val="1"/>
      <w:numFmt w:val="decimal"/>
      <w:pStyle w:val="Nadpis1"/>
      <w:suff w:val="space"/>
      <w:lvlText w:val="(%1)"/>
      <w:lvlJc w:val="left"/>
      <w:rPr>
        <w:rFonts w:cs="Times New Roman" w:hint="default"/>
      </w:rPr>
    </w:lvl>
    <w:lvl w:ilvl="1">
      <w:start w:val="1"/>
      <w:numFmt w:val="none"/>
      <w:pStyle w:val="Nadpis2"/>
      <w:suff w:val="nothing"/>
      <w:lvlText w:val=""/>
      <w:lvlJc w:val="left"/>
      <w:rPr>
        <w:rFonts w:cs="Times New Roman" w:hint="default"/>
      </w:rPr>
    </w:lvl>
    <w:lvl w:ilvl="2">
      <w:start w:val="1"/>
      <w:numFmt w:val="none"/>
      <w:pStyle w:val="Nadpis3"/>
      <w:suff w:val="nothing"/>
      <w:lvlText w:val=""/>
      <w:lvlJc w:val="left"/>
      <w:rPr>
        <w:rFonts w:cs="Times New Roman" w:hint="default"/>
      </w:rPr>
    </w:lvl>
    <w:lvl w:ilvl="3">
      <w:start w:val="1"/>
      <w:numFmt w:val="none"/>
      <w:pStyle w:val="Nadpis4"/>
      <w:suff w:val="nothing"/>
      <w:lvlText w:val=""/>
      <w:lvlJc w:val="left"/>
      <w:rPr>
        <w:rFonts w:cs="Times New Roman" w:hint="default"/>
      </w:rPr>
    </w:lvl>
    <w:lvl w:ilvl="4">
      <w:start w:val="1"/>
      <w:numFmt w:val="none"/>
      <w:pStyle w:val="Nadpis5"/>
      <w:suff w:val="nothing"/>
      <w:lvlText w:val=""/>
      <w:lvlJc w:val="left"/>
      <w:rPr>
        <w:rFonts w:cs="Times New Roman" w:hint="default"/>
      </w:rPr>
    </w:lvl>
    <w:lvl w:ilvl="5">
      <w:start w:val="1"/>
      <w:numFmt w:val="none"/>
      <w:pStyle w:val="Nadpis6"/>
      <w:suff w:val="nothing"/>
      <w:lvlText w:val=""/>
      <w:lvlJc w:val="left"/>
      <w:rPr>
        <w:rFonts w:cs="Times New Roman" w:hint="default"/>
      </w:rPr>
    </w:lvl>
    <w:lvl w:ilvl="6">
      <w:start w:val="1"/>
      <w:numFmt w:val="none"/>
      <w:pStyle w:val="Nadpis7"/>
      <w:suff w:val="nothing"/>
      <w:lvlText w:val=""/>
      <w:lvlJc w:val="left"/>
      <w:rPr>
        <w:rFonts w:cs="Times New Roman" w:hint="default"/>
      </w:rPr>
    </w:lvl>
    <w:lvl w:ilvl="7">
      <w:start w:val="1"/>
      <w:numFmt w:val="none"/>
      <w:pStyle w:val="Nadpis8"/>
      <w:suff w:val="nothing"/>
      <w:lvlText w:val=""/>
      <w:lvlJc w:val="left"/>
      <w:rPr>
        <w:rFonts w:cs="Times New Roman" w:hint="default"/>
      </w:rPr>
    </w:lvl>
    <w:lvl w:ilvl="8">
      <w:start w:val="1"/>
      <w:numFmt w:val="none"/>
      <w:pStyle w:val="Nadpis9"/>
      <w:suff w:val="nothing"/>
      <w:lvlText w:val=""/>
      <w:lvlJc w:val="left"/>
      <w:rPr>
        <w:rFonts w:cs="Times New Roman" w:hint="default"/>
      </w:rPr>
    </w:lvl>
  </w:abstractNum>
  <w:abstractNum w:abstractNumId="6">
    <w:nsid w:val="36AA5AC5"/>
    <w:multiLevelType w:val="hybridMultilevel"/>
    <w:tmpl w:val="F8A8CBFE"/>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8">
    <w:nsid w:val="3C1657C2"/>
    <w:multiLevelType w:val="hybridMultilevel"/>
    <w:tmpl w:val="D91C9C2A"/>
    <w:lvl w:ilvl="0" w:tplc="041B000F">
      <w:start w:val="1"/>
      <w:numFmt w:val="decimal"/>
      <w:lvlText w:val="%1."/>
      <w:lvlJc w:val="left"/>
      <w:pPr>
        <w:tabs>
          <w:tab w:val="num" w:pos="1500"/>
        </w:tabs>
        <w:ind w:left="1500" w:hanging="360"/>
      </w:pPr>
      <w:rPr>
        <w:rFonts w:cs="Times New Roman"/>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9">
    <w:nsid w:val="47595CBC"/>
    <w:multiLevelType w:val="hybridMultilevel"/>
    <w:tmpl w:val="A3103788"/>
    <w:lvl w:ilvl="0" w:tplc="A4FC0472">
      <w:start w:val="1"/>
      <w:numFmt w:val="bullet"/>
      <w:lvlText w:val=""/>
      <w:lvlJc w:val="left"/>
      <w:pPr>
        <w:ind w:left="720" w:hanging="360"/>
      </w:pPr>
      <w:rPr>
        <w:rFonts w:ascii="Wingdings" w:hAnsi="Wingdings"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1">
    <w:nsid w:val="52A95ADD"/>
    <w:multiLevelType w:val="multilevel"/>
    <w:tmpl w:val="ECA40484"/>
    <w:lvl w:ilvl="0">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start w:val="1"/>
      <w:numFmt w:val="lowerLetter"/>
      <w:lvlText w:val="%3."/>
      <w:lvlJc w:val="left"/>
      <w:pPr>
        <w:tabs>
          <w:tab w:val="num" w:pos="1077"/>
        </w:tabs>
        <w:ind w:left="1077" w:hanging="357"/>
      </w:pPr>
      <w:rPr>
        <w:rFonts w:cs="Times New Roman" w:hint="default"/>
        <w:b w:val="0"/>
        <w:bCs w:val="0"/>
        <w:i w:val="0"/>
        <w:iCs w:val="0"/>
      </w:rPr>
    </w:lvl>
    <w:lvl w:ilvl="3">
      <w:numFmt w:val="none"/>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numFmt w:val="none"/>
      <w:lvlText w:val=""/>
      <w:lvlJc w:val="left"/>
      <w:pPr>
        <w:tabs>
          <w:tab w:val="num" w:pos="360"/>
        </w:tabs>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2">
    <w:nsid w:val="5439640A"/>
    <w:multiLevelType w:val="multilevel"/>
    <w:tmpl w:val="84D2E590"/>
    <w:lvl w:ilvl="0">
      <w:start w:val="1"/>
      <w:numFmt w:val="decimal"/>
      <w:pStyle w:val="Zoznam1"/>
      <w:suff w:val="space"/>
      <w:lvlText w:val="(%1)"/>
      <w:lvlJc w:val="left"/>
      <w:rPr>
        <w:rFonts w:cs="Times New Roman" w:hint="default"/>
        <w:b w:val="0"/>
        <w:bCs w:val="0"/>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4">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5">
    <w:nsid w:val="5FD07678"/>
    <w:multiLevelType w:val="hybridMultilevel"/>
    <w:tmpl w:val="03901C36"/>
    <w:lvl w:ilvl="0" w:tplc="B87E4930">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17">
    <w:nsid w:val="63226120"/>
    <w:multiLevelType w:val="multilevel"/>
    <w:tmpl w:val="8DC2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244E06"/>
    <w:multiLevelType w:val="hybridMultilevel"/>
    <w:tmpl w:val="E5CC6FF8"/>
    <w:lvl w:ilvl="0" w:tplc="734E0952">
      <w:start w:val="1"/>
      <w:numFmt w:val="lowerLetter"/>
      <w:lvlText w:val="%1)"/>
      <w:lvlJc w:val="left"/>
      <w:pPr>
        <w:ind w:left="720" w:hanging="360"/>
      </w:pPr>
      <w:rPr>
        <w:rFonts w:cs="Times New Roman" w:hint="default"/>
      </w:rPr>
    </w:lvl>
    <w:lvl w:ilvl="1" w:tplc="041B0019">
      <w:start w:val="1"/>
      <w:numFmt w:val="lowerLetter"/>
      <w:lvlText w:val="%2."/>
      <w:lvlJc w:val="left"/>
      <w:pPr>
        <w:ind w:left="1637"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nsid w:val="6E3F2E70"/>
    <w:multiLevelType w:val="hybridMultilevel"/>
    <w:tmpl w:val="44D63E0A"/>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nsid w:val="7C052219"/>
    <w:multiLevelType w:val="multilevel"/>
    <w:tmpl w:val="45625742"/>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5"/>
  </w:num>
  <w:num w:numId="2">
    <w:abstractNumId w:val="12"/>
  </w:num>
  <w:num w:numId="3">
    <w:abstractNumId w:val="16"/>
  </w:num>
  <w:num w:numId="4">
    <w:abstractNumId w:val="13"/>
  </w:num>
  <w:num w:numId="5">
    <w:abstractNumId w:val="0"/>
  </w:num>
  <w:num w:numId="6">
    <w:abstractNumId w:val="4"/>
  </w:num>
  <w:num w:numId="7">
    <w:abstractNumId w:val="2"/>
  </w:num>
  <w:num w:numId="8">
    <w:abstractNumId w:val="10"/>
  </w:num>
  <w:num w:numId="9">
    <w:abstractNumId w:val="8"/>
  </w:num>
  <w:num w:numId="10">
    <w:abstractNumId w:val="7"/>
  </w:num>
  <w:num w:numId="11">
    <w:abstractNumId w:val="1"/>
  </w:num>
  <w:num w:numId="12">
    <w:abstractNumId w:val="11"/>
  </w:num>
  <w:num w:numId="13">
    <w:abstractNumId w:val="14"/>
  </w:num>
  <w:num w:numId="14">
    <w:abstractNumId w:val="19"/>
  </w:num>
  <w:num w:numId="15">
    <w:abstractNumId w:val="20"/>
  </w:num>
  <w:num w:numId="16">
    <w:abstractNumId w:val="6"/>
  </w:num>
  <w:num w:numId="17">
    <w:abstractNumId w:val="18"/>
  </w:num>
  <w:num w:numId="18">
    <w:abstractNumId w:val="15"/>
  </w:num>
  <w:num w:numId="19">
    <w:abstractNumId w:val="17"/>
  </w:num>
  <w:num w:numId="20">
    <w:abstractNumId w:val="3"/>
  </w:num>
  <w:num w:numId="21">
    <w:abstractNumId w:val="9"/>
  </w:num>
  <w:num w:numId="22">
    <w:abstractNumId w:val="12"/>
  </w:num>
  <w:num w:numId="23">
    <w:abstractNumId w:val="12"/>
  </w:num>
  <w:num w:numId="24">
    <w:abstractNumId w:val="12"/>
  </w:num>
  <w:num w:numId="25">
    <w:abstractNumId w:val="12"/>
  </w:num>
  <w:num w:numId="2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A74"/>
    <w:rsid w:val="00000341"/>
    <w:rsid w:val="00000475"/>
    <w:rsid w:val="000004CF"/>
    <w:rsid w:val="00000B65"/>
    <w:rsid w:val="0000196F"/>
    <w:rsid w:val="00001C5C"/>
    <w:rsid w:val="00001D31"/>
    <w:rsid w:val="00002049"/>
    <w:rsid w:val="00002D36"/>
    <w:rsid w:val="00003251"/>
    <w:rsid w:val="00003CED"/>
    <w:rsid w:val="00003E11"/>
    <w:rsid w:val="000046A2"/>
    <w:rsid w:val="00004AA5"/>
    <w:rsid w:val="000062DF"/>
    <w:rsid w:val="00006817"/>
    <w:rsid w:val="0000743A"/>
    <w:rsid w:val="00007AB0"/>
    <w:rsid w:val="00007CD4"/>
    <w:rsid w:val="00010DB9"/>
    <w:rsid w:val="00012455"/>
    <w:rsid w:val="000125C1"/>
    <w:rsid w:val="000128A5"/>
    <w:rsid w:val="0001348B"/>
    <w:rsid w:val="0001405C"/>
    <w:rsid w:val="00014CD6"/>
    <w:rsid w:val="00014D1E"/>
    <w:rsid w:val="00015971"/>
    <w:rsid w:val="00015CA5"/>
    <w:rsid w:val="000162C5"/>
    <w:rsid w:val="00016714"/>
    <w:rsid w:val="00016B29"/>
    <w:rsid w:val="00016B59"/>
    <w:rsid w:val="00016E07"/>
    <w:rsid w:val="0001746E"/>
    <w:rsid w:val="000175A3"/>
    <w:rsid w:val="00017D15"/>
    <w:rsid w:val="000200D8"/>
    <w:rsid w:val="00020127"/>
    <w:rsid w:val="00020B6B"/>
    <w:rsid w:val="00021359"/>
    <w:rsid w:val="000224A0"/>
    <w:rsid w:val="000227E0"/>
    <w:rsid w:val="00022DC5"/>
    <w:rsid w:val="00023010"/>
    <w:rsid w:val="00023407"/>
    <w:rsid w:val="00024578"/>
    <w:rsid w:val="00025105"/>
    <w:rsid w:val="00025443"/>
    <w:rsid w:val="00025478"/>
    <w:rsid w:val="00025813"/>
    <w:rsid w:val="00025949"/>
    <w:rsid w:val="000264C2"/>
    <w:rsid w:val="00026B24"/>
    <w:rsid w:val="00026BA0"/>
    <w:rsid w:val="00027196"/>
    <w:rsid w:val="000273D7"/>
    <w:rsid w:val="000276A3"/>
    <w:rsid w:val="0003015D"/>
    <w:rsid w:val="00030312"/>
    <w:rsid w:val="00030480"/>
    <w:rsid w:val="0003056F"/>
    <w:rsid w:val="000310DB"/>
    <w:rsid w:val="000316E5"/>
    <w:rsid w:val="00032D4F"/>
    <w:rsid w:val="000331B3"/>
    <w:rsid w:val="00033B43"/>
    <w:rsid w:val="00033B57"/>
    <w:rsid w:val="00033BAA"/>
    <w:rsid w:val="0003418A"/>
    <w:rsid w:val="000348B5"/>
    <w:rsid w:val="00034A9B"/>
    <w:rsid w:val="00034AF1"/>
    <w:rsid w:val="00034DEF"/>
    <w:rsid w:val="00034E5E"/>
    <w:rsid w:val="00034ED7"/>
    <w:rsid w:val="000352AB"/>
    <w:rsid w:val="00035639"/>
    <w:rsid w:val="00036145"/>
    <w:rsid w:val="00040177"/>
    <w:rsid w:val="000412C4"/>
    <w:rsid w:val="00041913"/>
    <w:rsid w:val="0004275F"/>
    <w:rsid w:val="00042C81"/>
    <w:rsid w:val="00042FA1"/>
    <w:rsid w:val="0004325E"/>
    <w:rsid w:val="000438C4"/>
    <w:rsid w:val="00047D96"/>
    <w:rsid w:val="00050BBC"/>
    <w:rsid w:val="00050E82"/>
    <w:rsid w:val="000510A2"/>
    <w:rsid w:val="00051103"/>
    <w:rsid w:val="0005184A"/>
    <w:rsid w:val="00052035"/>
    <w:rsid w:val="0005334C"/>
    <w:rsid w:val="00053D93"/>
    <w:rsid w:val="000541FD"/>
    <w:rsid w:val="0005454E"/>
    <w:rsid w:val="00055E7E"/>
    <w:rsid w:val="00057024"/>
    <w:rsid w:val="00057B80"/>
    <w:rsid w:val="00057BAF"/>
    <w:rsid w:val="0006113F"/>
    <w:rsid w:val="0006238E"/>
    <w:rsid w:val="0006413A"/>
    <w:rsid w:val="000647EC"/>
    <w:rsid w:val="00065206"/>
    <w:rsid w:val="00065458"/>
    <w:rsid w:val="00065529"/>
    <w:rsid w:val="00066245"/>
    <w:rsid w:val="000700B0"/>
    <w:rsid w:val="00070413"/>
    <w:rsid w:val="0007044D"/>
    <w:rsid w:val="00070C2D"/>
    <w:rsid w:val="0007109D"/>
    <w:rsid w:val="0007285D"/>
    <w:rsid w:val="0007322D"/>
    <w:rsid w:val="00074306"/>
    <w:rsid w:val="0007447C"/>
    <w:rsid w:val="00074E97"/>
    <w:rsid w:val="000750EC"/>
    <w:rsid w:val="000755C0"/>
    <w:rsid w:val="00075813"/>
    <w:rsid w:val="000761B9"/>
    <w:rsid w:val="00076619"/>
    <w:rsid w:val="00076FBB"/>
    <w:rsid w:val="00077321"/>
    <w:rsid w:val="0007797E"/>
    <w:rsid w:val="00077A01"/>
    <w:rsid w:val="00080095"/>
    <w:rsid w:val="000802C7"/>
    <w:rsid w:val="00080A5B"/>
    <w:rsid w:val="00080BB7"/>
    <w:rsid w:val="00080DA5"/>
    <w:rsid w:val="00080DF8"/>
    <w:rsid w:val="0008181E"/>
    <w:rsid w:val="00081AA1"/>
    <w:rsid w:val="00081C17"/>
    <w:rsid w:val="000827C4"/>
    <w:rsid w:val="00082D7F"/>
    <w:rsid w:val="00082ED2"/>
    <w:rsid w:val="000845C4"/>
    <w:rsid w:val="000851F0"/>
    <w:rsid w:val="00086B53"/>
    <w:rsid w:val="00086B5C"/>
    <w:rsid w:val="00087A04"/>
    <w:rsid w:val="00090760"/>
    <w:rsid w:val="00091803"/>
    <w:rsid w:val="00091EAF"/>
    <w:rsid w:val="00091F10"/>
    <w:rsid w:val="000922E2"/>
    <w:rsid w:val="00092E47"/>
    <w:rsid w:val="00093EB2"/>
    <w:rsid w:val="00094316"/>
    <w:rsid w:val="0009482E"/>
    <w:rsid w:val="0009561A"/>
    <w:rsid w:val="00095985"/>
    <w:rsid w:val="00095E33"/>
    <w:rsid w:val="00095FCB"/>
    <w:rsid w:val="000962A4"/>
    <w:rsid w:val="00096DB3"/>
    <w:rsid w:val="00097023"/>
    <w:rsid w:val="0009719B"/>
    <w:rsid w:val="0009722E"/>
    <w:rsid w:val="0009785A"/>
    <w:rsid w:val="000A0078"/>
    <w:rsid w:val="000A0899"/>
    <w:rsid w:val="000A19DD"/>
    <w:rsid w:val="000A2A02"/>
    <w:rsid w:val="000A301B"/>
    <w:rsid w:val="000A3161"/>
    <w:rsid w:val="000A33FF"/>
    <w:rsid w:val="000A4556"/>
    <w:rsid w:val="000A533E"/>
    <w:rsid w:val="000A54C6"/>
    <w:rsid w:val="000A553F"/>
    <w:rsid w:val="000A57DB"/>
    <w:rsid w:val="000A5E77"/>
    <w:rsid w:val="000A6672"/>
    <w:rsid w:val="000A71ED"/>
    <w:rsid w:val="000A777B"/>
    <w:rsid w:val="000B13B7"/>
    <w:rsid w:val="000B144B"/>
    <w:rsid w:val="000B1C12"/>
    <w:rsid w:val="000B1CA1"/>
    <w:rsid w:val="000B2D0E"/>
    <w:rsid w:val="000B2EEC"/>
    <w:rsid w:val="000B393D"/>
    <w:rsid w:val="000B3E4F"/>
    <w:rsid w:val="000B3F7F"/>
    <w:rsid w:val="000B460A"/>
    <w:rsid w:val="000B4C08"/>
    <w:rsid w:val="000B4FA0"/>
    <w:rsid w:val="000B5813"/>
    <w:rsid w:val="000B5A52"/>
    <w:rsid w:val="000B5D43"/>
    <w:rsid w:val="000B6384"/>
    <w:rsid w:val="000B674A"/>
    <w:rsid w:val="000B7C58"/>
    <w:rsid w:val="000C0184"/>
    <w:rsid w:val="000C083C"/>
    <w:rsid w:val="000C0DC0"/>
    <w:rsid w:val="000C1873"/>
    <w:rsid w:val="000C1A06"/>
    <w:rsid w:val="000C20B3"/>
    <w:rsid w:val="000C3B12"/>
    <w:rsid w:val="000C3C98"/>
    <w:rsid w:val="000C40A4"/>
    <w:rsid w:val="000C4AFE"/>
    <w:rsid w:val="000C5263"/>
    <w:rsid w:val="000C53A4"/>
    <w:rsid w:val="000C6538"/>
    <w:rsid w:val="000C6A7D"/>
    <w:rsid w:val="000D043A"/>
    <w:rsid w:val="000D0D4D"/>
    <w:rsid w:val="000D1289"/>
    <w:rsid w:val="000D1782"/>
    <w:rsid w:val="000D1D4E"/>
    <w:rsid w:val="000D2B51"/>
    <w:rsid w:val="000D4F2E"/>
    <w:rsid w:val="000D50E3"/>
    <w:rsid w:val="000D7635"/>
    <w:rsid w:val="000E08A1"/>
    <w:rsid w:val="000E0EFE"/>
    <w:rsid w:val="000E147B"/>
    <w:rsid w:val="000E1AA9"/>
    <w:rsid w:val="000E1BF0"/>
    <w:rsid w:val="000E1F66"/>
    <w:rsid w:val="000E2543"/>
    <w:rsid w:val="000E2C1E"/>
    <w:rsid w:val="000E3777"/>
    <w:rsid w:val="000E46BF"/>
    <w:rsid w:val="000E6253"/>
    <w:rsid w:val="000E68C4"/>
    <w:rsid w:val="000E6F1F"/>
    <w:rsid w:val="000E7039"/>
    <w:rsid w:val="000E7C0D"/>
    <w:rsid w:val="000F0B21"/>
    <w:rsid w:val="000F12A2"/>
    <w:rsid w:val="000F2A22"/>
    <w:rsid w:val="000F2B58"/>
    <w:rsid w:val="000F326A"/>
    <w:rsid w:val="000F456D"/>
    <w:rsid w:val="000F46D1"/>
    <w:rsid w:val="000F4B49"/>
    <w:rsid w:val="000F68DA"/>
    <w:rsid w:val="000F732D"/>
    <w:rsid w:val="000F7926"/>
    <w:rsid w:val="0010000D"/>
    <w:rsid w:val="001003FB"/>
    <w:rsid w:val="00100F5C"/>
    <w:rsid w:val="00101235"/>
    <w:rsid w:val="00102120"/>
    <w:rsid w:val="00102228"/>
    <w:rsid w:val="0010241C"/>
    <w:rsid w:val="00102518"/>
    <w:rsid w:val="001027B8"/>
    <w:rsid w:val="00102886"/>
    <w:rsid w:val="00102950"/>
    <w:rsid w:val="00102FE0"/>
    <w:rsid w:val="0010312E"/>
    <w:rsid w:val="001036EB"/>
    <w:rsid w:val="001039D6"/>
    <w:rsid w:val="001043B1"/>
    <w:rsid w:val="00104573"/>
    <w:rsid w:val="0010488D"/>
    <w:rsid w:val="00104FC8"/>
    <w:rsid w:val="0010523A"/>
    <w:rsid w:val="00105309"/>
    <w:rsid w:val="001056C9"/>
    <w:rsid w:val="00105D78"/>
    <w:rsid w:val="0010734E"/>
    <w:rsid w:val="001079FF"/>
    <w:rsid w:val="001100BE"/>
    <w:rsid w:val="00110163"/>
    <w:rsid w:val="0011036F"/>
    <w:rsid w:val="00110D3D"/>
    <w:rsid w:val="00112B52"/>
    <w:rsid w:val="0011329F"/>
    <w:rsid w:val="001132F6"/>
    <w:rsid w:val="001134DC"/>
    <w:rsid w:val="001155A2"/>
    <w:rsid w:val="001157D9"/>
    <w:rsid w:val="00115A1A"/>
    <w:rsid w:val="00115D2F"/>
    <w:rsid w:val="0011636B"/>
    <w:rsid w:val="00116586"/>
    <w:rsid w:val="00116D9B"/>
    <w:rsid w:val="001174A3"/>
    <w:rsid w:val="00120089"/>
    <w:rsid w:val="0012099B"/>
    <w:rsid w:val="00120E9F"/>
    <w:rsid w:val="00121640"/>
    <w:rsid w:val="0012166D"/>
    <w:rsid w:val="00121A87"/>
    <w:rsid w:val="0012210B"/>
    <w:rsid w:val="00123B80"/>
    <w:rsid w:val="00123FFA"/>
    <w:rsid w:val="001244F5"/>
    <w:rsid w:val="00124AB2"/>
    <w:rsid w:val="00124E9B"/>
    <w:rsid w:val="00125561"/>
    <w:rsid w:val="0012559D"/>
    <w:rsid w:val="0012680C"/>
    <w:rsid w:val="00127CA3"/>
    <w:rsid w:val="00131FBB"/>
    <w:rsid w:val="00132E42"/>
    <w:rsid w:val="00132EB6"/>
    <w:rsid w:val="00132FAF"/>
    <w:rsid w:val="001330A4"/>
    <w:rsid w:val="00133548"/>
    <w:rsid w:val="001342E1"/>
    <w:rsid w:val="00134586"/>
    <w:rsid w:val="00134CA0"/>
    <w:rsid w:val="00135AA8"/>
    <w:rsid w:val="00135C45"/>
    <w:rsid w:val="00140BFE"/>
    <w:rsid w:val="0014131D"/>
    <w:rsid w:val="0014227E"/>
    <w:rsid w:val="001439E4"/>
    <w:rsid w:val="00144540"/>
    <w:rsid w:val="00145D1A"/>
    <w:rsid w:val="0014696C"/>
    <w:rsid w:val="00146B70"/>
    <w:rsid w:val="0014702E"/>
    <w:rsid w:val="001470F3"/>
    <w:rsid w:val="00147256"/>
    <w:rsid w:val="00147465"/>
    <w:rsid w:val="0015006A"/>
    <w:rsid w:val="00150A19"/>
    <w:rsid w:val="00150B10"/>
    <w:rsid w:val="001518E2"/>
    <w:rsid w:val="00151BB7"/>
    <w:rsid w:val="00153E5A"/>
    <w:rsid w:val="00155B89"/>
    <w:rsid w:val="00155F63"/>
    <w:rsid w:val="0015626B"/>
    <w:rsid w:val="001566CC"/>
    <w:rsid w:val="00156EBC"/>
    <w:rsid w:val="00156F1C"/>
    <w:rsid w:val="00157298"/>
    <w:rsid w:val="00157763"/>
    <w:rsid w:val="00157AD7"/>
    <w:rsid w:val="00157D65"/>
    <w:rsid w:val="00160BD0"/>
    <w:rsid w:val="00160C61"/>
    <w:rsid w:val="00160F14"/>
    <w:rsid w:val="00161400"/>
    <w:rsid w:val="00161524"/>
    <w:rsid w:val="0016189D"/>
    <w:rsid w:val="00161B6E"/>
    <w:rsid w:val="00161B84"/>
    <w:rsid w:val="0016251F"/>
    <w:rsid w:val="0016386D"/>
    <w:rsid w:val="00163A4A"/>
    <w:rsid w:val="00163AEE"/>
    <w:rsid w:val="001641F6"/>
    <w:rsid w:val="00164204"/>
    <w:rsid w:val="00164368"/>
    <w:rsid w:val="00164A57"/>
    <w:rsid w:val="00164BB0"/>
    <w:rsid w:val="00164E39"/>
    <w:rsid w:val="00165510"/>
    <w:rsid w:val="00165A28"/>
    <w:rsid w:val="00165C5D"/>
    <w:rsid w:val="00165FBE"/>
    <w:rsid w:val="0016643C"/>
    <w:rsid w:val="00166704"/>
    <w:rsid w:val="00166D0B"/>
    <w:rsid w:val="00167B16"/>
    <w:rsid w:val="001715B7"/>
    <w:rsid w:val="00172CD4"/>
    <w:rsid w:val="001735D7"/>
    <w:rsid w:val="00173B83"/>
    <w:rsid w:val="001751C6"/>
    <w:rsid w:val="001772E1"/>
    <w:rsid w:val="001775D0"/>
    <w:rsid w:val="00177613"/>
    <w:rsid w:val="00180179"/>
    <w:rsid w:val="00180A90"/>
    <w:rsid w:val="00180A95"/>
    <w:rsid w:val="00180D53"/>
    <w:rsid w:val="00181396"/>
    <w:rsid w:val="0018190C"/>
    <w:rsid w:val="00181CF0"/>
    <w:rsid w:val="00181F1F"/>
    <w:rsid w:val="00181FC0"/>
    <w:rsid w:val="001822B3"/>
    <w:rsid w:val="00182A3C"/>
    <w:rsid w:val="00182F25"/>
    <w:rsid w:val="00183525"/>
    <w:rsid w:val="0018371D"/>
    <w:rsid w:val="00183864"/>
    <w:rsid w:val="00183881"/>
    <w:rsid w:val="001840F4"/>
    <w:rsid w:val="00184EC2"/>
    <w:rsid w:val="00184FAC"/>
    <w:rsid w:val="00185CD7"/>
    <w:rsid w:val="0018708B"/>
    <w:rsid w:val="001870B3"/>
    <w:rsid w:val="00191031"/>
    <w:rsid w:val="001918C4"/>
    <w:rsid w:val="0019220D"/>
    <w:rsid w:val="0019243E"/>
    <w:rsid w:val="001925D4"/>
    <w:rsid w:val="001928B9"/>
    <w:rsid w:val="00192D94"/>
    <w:rsid w:val="00193BEB"/>
    <w:rsid w:val="001957D6"/>
    <w:rsid w:val="00195C7C"/>
    <w:rsid w:val="0019656D"/>
    <w:rsid w:val="00196C5A"/>
    <w:rsid w:val="00197863"/>
    <w:rsid w:val="00197EA4"/>
    <w:rsid w:val="001A018D"/>
    <w:rsid w:val="001A2119"/>
    <w:rsid w:val="001A2437"/>
    <w:rsid w:val="001A3A9C"/>
    <w:rsid w:val="001A45C2"/>
    <w:rsid w:val="001A5375"/>
    <w:rsid w:val="001A5E3D"/>
    <w:rsid w:val="001B1CB9"/>
    <w:rsid w:val="001B291D"/>
    <w:rsid w:val="001B2F5E"/>
    <w:rsid w:val="001B55E8"/>
    <w:rsid w:val="001B5F2F"/>
    <w:rsid w:val="001B6017"/>
    <w:rsid w:val="001B797D"/>
    <w:rsid w:val="001C0817"/>
    <w:rsid w:val="001C15CF"/>
    <w:rsid w:val="001C204E"/>
    <w:rsid w:val="001C2343"/>
    <w:rsid w:val="001C2DB7"/>
    <w:rsid w:val="001C3994"/>
    <w:rsid w:val="001C3F92"/>
    <w:rsid w:val="001C4009"/>
    <w:rsid w:val="001C4D13"/>
    <w:rsid w:val="001C5AF9"/>
    <w:rsid w:val="001C69C4"/>
    <w:rsid w:val="001C6C3A"/>
    <w:rsid w:val="001C70C9"/>
    <w:rsid w:val="001D1A77"/>
    <w:rsid w:val="001D1BD9"/>
    <w:rsid w:val="001D2BB7"/>
    <w:rsid w:val="001D377B"/>
    <w:rsid w:val="001D4090"/>
    <w:rsid w:val="001D461D"/>
    <w:rsid w:val="001D4656"/>
    <w:rsid w:val="001D48A0"/>
    <w:rsid w:val="001D49EB"/>
    <w:rsid w:val="001D4AB4"/>
    <w:rsid w:val="001D4FBC"/>
    <w:rsid w:val="001D5126"/>
    <w:rsid w:val="001D5845"/>
    <w:rsid w:val="001D58A5"/>
    <w:rsid w:val="001D60DF"/>
    <w:rsid w:val="001D6327"/>
    <w:rsid w:val="001D6779"/>
    <w:rsid w:val="001D67D3"/>
    <w:rsid w:val="001D7534"/>
    <w:rsid w:val="001D77B0"/>
    <w:rsid w:val="001E0070"/>
    <w:rsid w:val="001E0334"/>
    <w:rsid w:val="001E03ED"/>
    <w:rsid w:val="001E059E"/>
    <w:rsid w:val="001E071B"/>
    <w:rsid w:val="001E09C1"/>
    <w:rsid w:val="001E257A"/>
    <w:rsid w:val="001E2D74"/>
    <w:rsid w:val="001E493E"/>
    <w:rsid w:val="001E66F7"/>
    <w:rsid w:val="001E6BEA"/>
    <w:rsid w:val="001E790D"/>
    <w:rsid w:val="001E7E0D"/>
    <w:rsid w:val="001E7F45"/>
    <w:rsid w:val="001F08FA"/>
    <w:rsid w:val="001F1644"/>
    <w:rsid w:val="001F1A2B"/>
    <w:rsid w:val="001F1FC6"/>
    <w:rsid w:val="001F2725"/>
    <w:rsid w:val="001F2BC2"/>
    <w:rsid w:val="001F2EB7"/>
    <w:rsid w:val="001F3A84"/>
    <w:rsid w:val="001F46C2"/>
    <w:rsid w:val="001F4AC3"/>
    <w:rsid w:val="001F4CC8"/>
    <w:rsid w:val="001F4E10"/>
    <w:rsid w:val="001F4F8C"/>
    <w:rsid w:val="001F5E18"/>
    <w:rsid w:val="001F6DEB"/>
    <w:rsid w:val="001F7061"/>
    <w:rsid w:val="001F7843"/>
    <w:rsid w:val="001F7A62"/>
    <w:rsid w:val="0020130C"/>
    <w:rsid w:val="002013B7"/>
    <w:rsid w:val="00201ECF"/>
    <w:rsid w:val="002021BA"/>
    <w:rsid w:val="0020345B"/>
    <w:rsid w:val="0020478F"/>
    <w:rsid w:val="00207D48"/>
    <w:rsid w:val="00210118"/>
    <w:rsid w:val="00210489"/>
    <w:rsid w:val="00210E2A"/>
    <w:rsid w:val="0021162F"/>
    <w:rsid w:val="00212921"/>
    <w:rsid w:val="00213D25"/>
    <w:rsid w:val="0021462F"/>
    <w:rsid w:val="0021549F"/>
    <w:rsid w:val="002157F6"/>
    <w:rsid w:val="002160C1"/>
    <w:rsid w:val="0021614B"/>
    <w:rsid w:val="002168E3"/>
    <w:rsid w:val="00216B77"/>
    <w:rsid w:val="00216CD0"/>
    <w:rsid w:val="00216CE6"/>
    <w:rsid w:val="002179F0"/>
    <w:rsid w:val="002202CC"/>
    <w:rsid w:val="00220430"/>
    <w:rsid w:val="00220902"/>
    <w:rsid w:val="00221078"/>
    <w:rsid w:val="00221353"/>
    <w:rsid w:val="002218F0"/>
    <w:rsid w:val="00221F37"/>
    <w:rsid w:val="00221FDB"/>
    <w:rsid w:val="00222430"/>
    <w:rsid w:val="002226A2"/>
    <w:rsid w:val="00224791"/>
    <w:rsid w:val="00224B4C"/>
    <w:rsid w:val="002252F7"/>
    <w:rsid w:val="002253DA"/>
    <w:rsid w:val="00225E05"/>
    <w:rsid w:val="002265C3"/>
    <w:rsid w:val="00227B92"/>
    <w:rsid w:val="002301F7"/>
    <w:rsid w:val="00230E83"/>
    <w:rsid w:val="00231138"/>
    <w:rsid w:val="00231B0C"/>
    <w:rsid w:val="00232D01"/>
    <w:rsid w:val="002336B0"/>
    <w:rsid w:val="00233955"/>
    <w:rsid w:val="00233F94"/>
    <w:rsid w:val="002340FB"/>
    <w:rsid w:val="00234470"/>
    <w:rsid w:val="00234DB3"/>
    <w:rsid w:val="00234FEB"/>
    <w:rsid w:val="002365F8"/>
    <w:rsid w:val="00236C64"/>
    <w:rsid w:val="002409C9"/>
    <w:rsid w:val="00241BE8"/>
    <w:rsid w:val="00241EBB"/>
    <w:rsid w:val="00242552"/>
    <w:rsid w:val="00242579"/>
    <w:rsid w:val="002425F3"/>
    <w:rsid w:val="00242D38"/>
    <w:rsid w:val="00242D4A"/>
    <w:rsid w:val="00243002"/>
    <w:rsid w:val="00245692"/>
    <w:rsid w:val="002459BC"/>
    <w:rsid w:val="0024652A"/>
    <w:rsid w:val="002471A3"/>
    <w:rsid w:val="0024770A"/>
    <w:rsid w:val="00247AA2"/>
    <w:rsid w:val="00247C1A"/>
    <w:rsid w:val="00250468"/>
    <w:rsid w:val="00250D80"/>
    <w:rsid w:val="00251D8E"/>
    <w:rsid w:val="00252E07"/>
    <w:rsid w:val="0025329A"/>
    <w:rsid w:val="00253731"/>
    <w:rsid w:val="002542CE"/>
    <w:rsid w:val="0025584A"/>
    <w:rsid w:val="00256334"/>
    <w:rsid w:val="002566AF"/>
    <w:rsid w:val="002613A8"/>
    <w:rsid w:val="00261D20"/>
    <w:rsid w:val="002623F0"/>
    <w:rsid w:val="002628E1"/>
    <w:rsid w:val="0026311F"/>
    <w:rsid w:val="00263BDA"/>
    <w:rsid w:val="00263DFE"/>
    <w:rsid w:val="002648D3"/>
    <w:rsid w:val="0026515B"/>
    <w:rsid w:val="0026583D"/>
    <w:rsid w:val="00265A4B"/>
    <w:rsid w:val="00265A57"/>
    <w:rsid w:val="00266A12"/>
    <w:rsid w:val="00267C75"/>
    <w:rsid w:val="00270AD0"/>
    <w:rsid w:val="002710FC"/>
    <w:rsid w:val="00271170"/>
    <w:rsid w:val="002712D9"/>
    <w:rsid w:val="002725B4"/>
    <w:rsid w:val="002726F5"/>
    <w:rsid w:val="00272C79"/>
    <w:rsid w:val="00274A92"/>
    <w:rsid w:val="00274D30"/>
    <w:rsid w:val="00275167"/>
    <w:rsid w:val="00275980"/>
    <w:rsid w:val="00275E76"/>
    <w:rsid w:val="00276062"/>
    <w:rsid w:val="00276F01"/>
    <w:rsid w:val="002772F4"/>
    <w:rsid w:val="00277406"/>
    <w:rsid w:val="00277CAB"/>
    <w:rsid w:val="00280A4A"/>
    <w:rsid w:val="00281D82"/>
    <w:rsid w:val="00282136"/>
    <w:rsid w:val="002847B3"/>
    <w:rsid w:val="00285871"/>
    <w:rsid w:val="002858CA"/>
    <w:rsid w:val="002873BF"/>
    <w:rsid w:val="002877F5"/>
    <w:rsid w:val="002903E9"/>
    <w:rsid w:val="0029104E"/>
    <w:rsid w:val="00291656"/>
    <w:rsid w:val="002921F0"/>
    <w:rsid w:val="002928B0"/>
    <w:rsid w:val="0029319A"/>
    <w:rsid w:val="00293BAF"/>
    <w:rsid w:val="002940A2"/>
    <w:rsid w:val="002946D2"/>
    <w:rsid w:val="00294759"/>
    <w:rsid w:val="002960A8"/>
    <w:rsid w:val="002964E3"/>
    <w:rsid w:val="00296643"/>
    <w:rsid w:val="00296B32"/>
    <w:rsid w:val="00296DB6"/>
    <w:rsid w:val="00297A79"/>
    <w:rsid w:val="00297CFD"/>
    <w:rsid w:val="00297EDA"/>
    <w:rsid w:val="002A0EE0"/>
    <w:rsid w:val="002A1827"/>
    <w:rsid w:val="002A1A5A"/>
    <w:rsid w:val="002A1FF0"/>
    <w:rsid w:val="002A20A1"/>
    <w:rsid w:val="002A2773"/>
    <w:rsid w:val="002A2DD9"/>
    <w:rsid w:val="002A386A"/>
    <w:rsid w:val="002A4661"/>
    <w:rsid w:val="002A4D63"/>
    <w:rsid w:val="002A6049"/>
    <w:rsid w:val="002A6971"/>
    <w:rsid w:val="002B0CB0"/>
    <w:rsid w:val="002B13E0"/>
    <w:rsid w:val="002B1E0D"/>
    <w:rsid w:val="002B228F"/>
    <w:rsid w:val="002B25FB"/>
    <w:rsid w:val="002B302B"/>
    <w:rsid w:val="002B3936"/>
    <w:rsid w:val="002B3E4C"/>
    <w:rsid w:val="002B43AE"/>
    <w:rsid w:val="002B48E2"/>
    <w:rsid w:val="002B4C1B"/>
    <w:rsid w:val="002B5086"/>
    <w:rsid w:val="002B5314"/>
    <w:rsid w:val="002B5561"/>
    <w:rsid w:val="002B6419"/>
    <w:rsid w:val="002C0244"/>
    <w:rsid w:val="002C0266"/>
    <w:rsid w:val="002C0539"/>
    <w:rsid w:val="002C0946"/>
    <w:rsid w:val="002C0EDA"/>
    <w:rsid w:val="002C103D"/>
    <w:rsid w:val="002C15E2"/>
    <w:rsid w:val="002C1AE8"/>
    <w:rsid w:val="002C1B4F"/>
    <w:rsid w:val="002C225D"/>
    <w:rsid w:val="002C39EE"/>
    <w:rsid w:val="002C3C8A"/>
    <w:rsid w:val="002C5045"/>
    <w:rsid w:val="002C5108"/>
    <w:rsid w:val="002C69B9"/>
    <w:rsid w:val="002D10DA"/>
    <w:rsid w:val="002D1849"/>
    <w:rsid w:val="002D2C31"/>
    <w:rsid w:val="002D2EAB"/>
    <w:rsid w:val="002D37A1"/>
    <w:rsid w:val="002D3D46"/>
    <w:rsid w:val="002D4312"/>
    <w:rsid w:val="002D4856"/>
    <w:rsid w:val="002D4FD0"/>
    <w:rsid w:val="002D50A8"/>
    <w:rsid w:val="002D5C5C"/>
    <w:rsid w:val="002D61D7"/>
    <w:rsid w:val="002D67CF"/>
    <w:rsid w:val="002D73F5"/>
    <w:rsid w:val="002D75A1"/>
    <w:rsid w:val="002D79D4"/>
    <w:rsid w:val="002E0431"/>
    <w:rsid w:val="002E0C7E"/>
    <w:rsid w:val="002E101F"/>
    <w:rsid w:val="002E1080"/>
    <w:rsid w:val="002E1100"/>
    <w:rsid w:val="002E212E"/>
    <w:rsid w:val="002E23FC"/>
    <w:rsid w:val="002E2A23"/>
    <w:rsid w:val="002E2AE6"/>
    <w:rsid w:val="002E3752"/>
    <w:rsid w:val="002E4492"/>
    <w:rsid w:val="002E4494"/>
    <w:rsid w:val="002E577D"/>
    <w:rsid w:val="002E5941"/>
    <w:rsid w:val="002E5990"/>
    <w:rsid w:val="002E6391"/>
    <w:rsid w:val="002E651B"/>
    <w:rsid w:val="002E6C26"/>
    <w:rsid w:val="002E6E67"/>
    <w:rsid w:val="002E717D"/>
    <w:rsid w:val="002E735E"/>
    <w:rsid w:val="002E7818"/>
    <w:rsid w:val="002F00F5"/>
    <w:rsid w:val="002F0114"/>
    <w:rsid w:val="002F0732"/>
    <w:rsid w:val="002F0978"/>
    <w:rsid w:val="002F12BE"/>
    <w:rsid w:val="002F1466"/>
    <w:rsid w:val="002F2AD2"/>
    <w:rsid w:val="002F2AE3"/>
    <w:rsid w:val="002F2E73"/>
    <w:rsid w:val="002F3151"/>
    <w:rsid w:val="002F3E96"/>
    <w:rsid w:val="002F464F"/>
    <w:rsid w:val="002F5EAB"/>
    <w:rsid w:val="002F6B0F"/>
    <w:rsid w:val="002F6EEE"/>
    <w:rsid w:val="002F7539"/>
    <w:rsid w:val="0030057C"/>
    <w:rsid w:val="003018A1"/>
    <w:rsid w:val="00301AB3"/>
    <w:rsid w:val="003022A3"/>
    <w:rsid w:val="003024EB"/>
    <w:rsid w:val="00302BE5"/>
    <w:rsid w:val="003030AA"/>
    <w:rsid w:val="003038E7"/>
    <w:rsid w:val="00303CD2"/>
    <w:rsid w:val="003053D6"/>
    <w:rsid w:val="00305DA7"/>
    <w:rsid w:val="00306455"/>
    <w:rsid w:val="00310BB0"/>
    <w:rsid w:val="00310CE1"/>
    <w:rsid w:val="003111C6"/>
    <w:rsid w:val="00311284"/>
    <w:rsid w:val="0031183B"/>
    <w:rsid w:val="0031193D"/>
    <w:rsid w:val="00311D09"/>
    <w:rsid w:val="00311E11"/>
    <w:rsid w:val="00311F08"/>
    <w:rsid w:val="003125EB"/>
    <w:rsid w:val="00312EB0"/>
    <w:rsid w:val="00312FE1"/>
    <w:rsid w:val="00313449"/>
    <w:rsid w:val="003157DE"/>
    <w:rsid w:val="00315CC5"/>
    <w:rsid w:val="003162BB"/>
    <w:rsid w:val="0031657D"/>
    <w:rsid w:val="003168F0"/>
    <w:rsid w:val="00316A45"/>
    <w:rsid w:val="00316AD1"/>
    <w:rsid w:val="0031726F"/>
    <w:rsid w:val="00317A88"/>
    <w:rsid w:val="003202F6"/>
    <w:rsid w:val="003208F3"/>
    <w:rsid w:val="00321662"/>
    <w:rsid w:val="00321AEB"/>
    <w:rsid w:val="00321B7A"/>
    <w:rsid w:val="00322106"/>
    <w:rsid w:val="003229ED"/>
    <w:rsid w:val="0032348A"/>
    <w:rsid w:val="0032391D"/>
    <w:rsid w:val="0032394E"/>
    <w:rsid w:val="00323C3B"/>
    <w:rsid w:val="003245DF"/>
    <w:rsid w:val="00324EB1"/>
    <w:rsid w:val="00325ED6"/>
    <w:rsid w:val="00327060"/>
    <w:rsid w:val="003275C6"/>
    <w:rsid w:val="00327978"/>
    <w:rsid w:val="00327F6B"/>
    <w:rsid w:val="003304AD"/>
    <w:rsid w:val="00330DEC"/>
    <w:rsid w:val="003312A4"/>
    <w:rsid w:val="0033136D"/>
    <w:rsid w:val="00331898"/>
    <w:rsid w:val="00331BF8"/>
    <w:rsid w:val="00331E06"/>
    <w:rsid w:val="003321F8"/>
    <w:rsid w:val="00332D13"/>
    <w:rsid w:val="003335CC"/>
    <w:rsid w:val="0033364D"/>
    <w:rsid w:val="00333728"/>
    <w:rsid w:val="00333B6E"/>
    <w:rsid w:val="00333BA1"/>
    <w:rsid w:val="00334683"/>
    <w:rsid w:val="003346C9"/>
    <w:rsid w:val="003348C5"/>
    <w:rsid w:val="003350CE"/>
    <w:rsid w:val="00335B7D"/>
    <w:rsid w:val="003366A0"/>
    <w:rsid w:val="003368DC"/>
    <w:rsid w:val="0033691C"/>
    <w:rsid w:val="00336E2D"/>
    <w:rsid w:val="003370A7"/>
    <w:rsid w:val="00337C66"/>
    <w:rsid w:val="00337CDB"/>
    <w:rsid w:val="003405A5"/>
    <w:rsid w:val="003410C4"/>
    <w:rsid w:val="003417A7"/>
    <w:rsid w:val="00342242"/>
    <w:rsid w:val="0034318A"/>
    <w:rsid w:val="0034390C"/>
    <w:rsid w:val="00343E82"/>
    <w:rsid w:val="00344432"/>
    <w:rsid w:val="00344580"/>
    <w:rsid w:val="003448C5"/>
    <w:rsid w:val="003452A0"/>
    <w:rsid w:val="00345E5F"/>
    <w:rsid w:val="00347D61"/>
    <w:rsid w:val="00350405"/>
    <w:rsid w:val="00350500"/>
    <w:rsid w:val="00350F73"/>
    <w:rsid w:val="0035110D"/>
    <w:rsid w:val="00352107"/>
    <w:rsid w:val="0035246C"/>
    <w:rsid w:val="00352846"/>
    <w:rsid w:val="00353258"/>
    <w:rsid w:val="00353C10"/>
    <w:rsid w:val="00353C9F"/>
    <w:rsid w:val="00353EB7"/>
    <w:rsid w:val="00353FF0"/>
    <w:rsid w:val="00354277"/>
    <w:rsid w:val="00354A66"/>
    <w:rsid w:val="00354C22"/>
    <w:rsid w:val="00355279"/>
    <w:rsid w:val="0035569C"/>
    <w:rsid w:val="003556ED"/>
    <w:rsid w:val="00355AFD"/>
    <w:rsid w:val="0035625E"/>
    <w:rsid w:val="003566EF"/>
    <w:rsid w:val="00356D5B"/>
    <w:rsid w:val="003571CC"/>
    <w:rsid w:val="003574DE"/>
    <w:rsid w:val="00357A39"/>
    <w:rsid w:val="00360704"/>
    <w:rsid w:val="003613D0"/>
    <w:rsid w:val="00362166"/>
    <w:rsid w:val="0036290C"/>
    <w:rsid w:val="00362A21"/>
    <w:rsid w:val="003637F8"/>
    <w:rsid w:val="00363CDD"/>
    <w:rsid w:val="00364B9F"/>
    <w:rsid w:val="00366558"/>
    <w:rsid w:val="0036689D"/>
    <w:rsid w:val="003669C2"/>
    <w:rsid w:val="00366EF0"/>
    <w:rsid w:val="003675F2"/>
    <w:rsid w:val="00370801"/>
    <w:rsid w:val="00370B38"/>
    <w:rsid w:val="00371A93"/>
    <w:rsid w:val="00371BD6"/>
    <w:rsid w:val="0037328A"/>
    <w:rsid w:val="003735C5"/>
    <w:rsid w:val="00373905"/>
    <w:rsid w:val="00374ACC"/>
    <w:rsid w:val="00374F00"/>
    <w:rsid w:val="00375DE6"/>
    <w:rsid w:val="00375FFB"/>
    <w:rsid w:val="003771C8"/>
    <w:rsid w:val="00377F42"/>
    <w:rsid w:val="00377F5B"/>
    <w:rsid w:val="003807C6"/>
    <w:rsid w:val="00380F00"/>
    <w:rsid w:val="00381E0C"/>
    <w:rsid w:val="00382221"/>
    <w:rsid w:val="00382498"/>
    <w:rsid w:val="00382A0C"/>
    <w:rsid w:val="00382B53"/>
    <w:rsid w:val="00382CF4"/>
    <w:rsid w:val="003836DA"/>
    <w:rsid w:val="00383EF0"/>
    <w:rsid w:val="003848D5"/>
    <w:rsid w:val="0038576C"/>
    <w:rsid w:val="003859C5"/>
    <w:rsid w:val="00386BFF"/>
    <w:rsid w:val="00386C0C"/>
    <w:rsid w:val="003870E5"/>
    <w:rsid w:val="0038721E"/>
    <w:rsid w:val="00390566"/>
    <w:rsid w:val="0039057C"/>
    <w:rsid w:val="00390817"/>
    <w:rsid w:val="00390C63"/>
    <w:rsid w:val="00392040"/>
    <w:rsid w:val="00392504"/>
    <w:rsid w:val="00392AD9"/>
    <w:rsid w:val="00393255"/>
    <w:rsid w:val="00393729"/>
    <w:rsid w:val="00393DB0"/>
    <w:rsid w:val="00395654"/>
    <w:rsid w:val="00395717"/>
    <w:rsid w:val="003965AB"/>
    <w:rsid w:val="00397AFA"/>
    <w:rsid w:val="003A0385"/>
    <w:rsid w:val="003A09C9"/>
    <w:rsid w:val="003A0CEA"/>
    <w:rsid w:val="003A1243"/>
    <w:rsid w:val="003A1787"/>
    <w:rsid w:val="003A1CEA"/>
    <w:rsid w:val="003A2914"/>
    <w:rsid w:val="003A319B"/>
    <w:rsid w:val="003A36A8"/>
    <w:rsid w:val="003A4581"/>
    <w:rsid w:val="003A5E35"/>
    <w:rsid w:val="003A60CA"/>
    <w:rsid w:val="003A640A"/>
    <w:rsid w:val="003A6EB1"/>
    <w:rsid w:val="003A77EF"/>
    <w:rsid w:val="003A7884"/>
    <w:rsid w:val="003A7B39"/>
    <w:rsid w:val="003A7C51"/>
    <w:rsid w:val="003A7ED8"/>
    <w:rsid w:val="003B00FD"/>
    <w:rsid w:val="003B0120"/>
    <w:rsid w:val="003B0903"/>
    <w:rsid w:val="003B1088"/>
    <w:rsid w:val="003B1145"/>
    <w:rsid w:val="003B1C0C"/>
    <w:rsid w:val="003B2D46"/>
    <w:rsid w:val="003B3307"/>
    <w:rsid w:val="003B339D"/>
    <w:rsid w:val="003B3B04"/>
    <w:rsid w:val="003B59BC"/>
    <w:rsid w:val="003B5A90"/>
    <w:rsid w:val="003B5B52"/>
    <w:rsid w:val="003B5CEF"/>
    <w:rsid w:val="003B61EE"/>
    <w:rsid w:val="003B62E1"/>
    <w:rsid w:val="003B6352"/>
    <w:rsid w:val="003B6547"/>
    <w:rsid w:val="003B7248"/>
    <w:rsid w:val="003B76A1"/>
    <w:rsid w:val="003C0608"/>
    <w:rsid w:val="003C08E8"/>
    <w:rsid w:val="003C0AE5"/>
    <w:rsid w:val="003C2123"/>
    <w:rsid w:val="003C47DA"/>
    <w:rsid w:val="003C6026"/>
    <w:rsid w:val="003C6281"/>
    <w:rsid w:val="003C6382"/>
    <w:rsid w:val="003C794F"/>
    <w:rsid w:val="003D0C83"/>
    <w:rsid w:val="003D1247"/>
    <w:rsid w:val="003D1675"/>
    <w:rsid w:val="003D1987"/>
    <w:rsid w:val="003D198B"/>
    <w:rsid w:val="003D1C98"/>
    <w:rsid w:val="003D1EAD"/>
    <w:rsid w:val="003D360A"/>
    <w:rsid w:val="003D3747"/>
    <w:rsid w:val="003D3D76"/>
    <w:rsid w:val="003D4076"/>
    <w:rsid w:val="003D4D74"/>
    <w:rsid w:val="003D5942"/>
    <w:rsid w:val="003D5AB3"/>
    <w:rsid w:val="003D6086"/>
    <w:rsid w:val="003D65C3"/>
    <w:rsid w:val="003D6A87"/>
    <w:rsid w:val="003D6E2F"/>
    <w:rsid w:val="003E02BD"/>
    <w:rsid w:val="003E2427"/>
    <w:rsid w:val="003E271C"/>
    <w:rsid w:val="003E2B39"/>
    <w:rsid w:val="003E2F5A"/>
    <w:rsid w:val="003E3690"/>
    <w:rsid w:val="003E3B20"/>
    <w:rsid w:val="003E44AA"/>
    <w:rsid w:val="003E4E96"/>
    <w:rsid w:val="003E5E6A"/>
    <w:rsid w:val="003E640D"/>
    <w:rsid w:val="003E69C8"/>
    <w:rsid w:val="003E6FD3"/>
    <w:rsid w:val="003F27F4"/>
    <w:rsid w:val="003F48D3"/>
    <w:rsid w:val="003F4FBC"/>
    <w:rsid w:val="003F547E"/>
    <w:rsid w:val="003F5622"/>
    <w:rsid w:val="003F6199"/>
    <w:rsid w:val="003F6BC4"/>
    <w:rsid w:val="003F6C5A"/>
    <w:rsid w:val="003F6D20"/>
    <w:rsid w:val="003F6EB9"/>
    <w:rsid w:val="003F7517"/>
    <w:rsid w:val="003F780D"/>
    <w:rsid w:val="003F7BDD"/>
    <w:rsid w:val="003F7C3E"/>
    <w:rsid w:val="00400331"/>
    <w:rsid w:val="00400688"/>
    <w:rsid w:val="00400928"/>
    <w:rsid w:val="004009E4"/>
    <w:rsid w:val="00401FA4"/>
    <w:rsid w:val="004022CC"/>
    <w:rsid w:val="00402AC3"/>
    <w:rsid w:val="00402ADB"/>
    <w:rsid w:val="00402F01"/>
    <w:rsid w:val="00403FBB"/>
    <w:rsid w:val="004040FC"/>
    <w:rsid w:val="004042ED"/>
    <w:rsid w:val="00404900"/>
    <w:rsid w:val="00404EA7"/>
    <w:rsid w:val="004060AB"/>
    <w:rsid w:val="004076B0"/>
    <w:rsid w:val="00407B24"/>
    <w:rsid w:val="0041004C"/>
    <w:rsid w:val="004116C1"/>
    <w:rsid w:val="00411E50"/>
    <w:rsid w:val="00412F9C"/>
    <w:rsid w:val="004134D4"/>
    <w:rsid w:val="00413AD8"/>
    <w:rsid w:val="00413D4B"/>
    <w:rsid w:val="00414C33"/>
    <w:rsid w:val="004153D3"/>
    <w:rsid w:val="00417A07"/>
    <w:rsid w:val="00417B73"/>
    <w:rsid w:val="00420981"/>
    <w:rsid w:val="00420A86"/>
    <w:rsid w:val="00420E40"/>
    <w:rsid w:val="00420EFB"/>
    <w:rsid w:val="004219C7"/>
    <w:rsid w:val="0042220C"/>
    <w:rsid w:val="00422A32"/>
    <w:rsid w:val="004239C2"/>
    <w:rsid w:val="00423BCC"/>
    <w:rsid w:val="00423BE0"/>
    <w:rsid w:val="004243C9"/>
    <w:rsid w:val="00424927"/>
    <w:rsid w:val="00424D3D"/>
    <w:rsid w:val="004251A0"/>
    <w:rsid w:val="00425467"/>
    <w:rsid w:val="00425A99"/>
    <w:rsid w:val="00425C74"/>
    <w:rsid w:val="004265D0"/>
    <w:rsid w:val="00427591"/>
    <w:rsid w:val="004275DE"/>
    <w:rsid w:val="00430687"/>
    <w:rsid w:val="00430D1A"/>
    <w:rsid w:val="00430E83"/>
    <w:rsid w:val="00431337"/>
    <w:rsid w:val="004313EF"/>
    <w:rsid w:val="00432C60"/>
    <w:rsid w:val="00432E4E"/>
    <w:rsid w:val="00432F23"/>
    <w:rsid w:val="00433506"/>
    <w:rsid w:val="004335E8"/>
    <w:rsid w:val="004337BA"/>
    <w:rsid w:val="00433C4C"/>
    <w:rsid w:val="0043462C"/>
    <w:rsid w:val="00434AF2"/>
    <w:rsid w:val="004367BD"/>
    <w:rsid w:val="004368A1"/>
    <w:rsid w:val="00436C69"/>
    <w:rsid w:val="0044006D"/>
    <w:rsid w:val="004424BE"/>
    <w:rsid w:val="00442837"/>
    <w:rsid w:val="004429AF"/>
    <w:rsid w:val="00442B4C"/>
    <w:rsid w:val="00443491"/>
    <w:rsid w:val="004440A8"/>
    <w:rsid w:val="00444348"/>
    <w:rsid w:val="004443E6"/>
    <w:rsid w:val="004443F5"/>
    <w:rsid w:val="004459B3"/>
    <w:rsid w:val="0044687C"/>
    <w:rsid w:val="00446F9B"/>
    <w:rsid w:val="004471EA"/>
    <w:rsid w:val="00450068"/>
    <w:rsid w:val="00450379"/>
    <w:rsid w:val="004505B6"/>
    <w:rsid w:val="00450BD2"/>
    <w:rsid w:val="00450EFC"/>
    <w:rsid w:val="00450FE0"/>
    <w:rsid w:val="00451509"/>
    <w:rsid w:val="00451DFE"/>
    <w:rsid w:val="004521C8"/>
    <w:rsid w:val="00452F95"/>
    <w:rsid w:val="0045334A"/>
    <w:rsid w:val="00453AA4"/>
    <w:rsid w:val="00454745"/>
    <w:rsid w:val="00454771"/>
    <w:rsid w:val="0045484E"/>
    <w:rsid w:val="004548E0"/>
    <w:rsid w:val="00454BA1"/>
    <w:rsid w:val="00454D66"/>
    <w:rsid w:val="00455688"/>
    <w:rsid w:val="00455CBE"/>
    <w:rsid w:val="004560DA"/>
    <w:rsid w:val="00456705"/>
    <w:rsid w:val="00456E09"/>
    <w:rsid w:val="00457240"/>
    <w:rsid w:val="00457504"/>
    <w:rsid w:val="004577AD"/>
    <w:rsid w:val="00460744"/>
    <w:rsid w:val="00460D6B"/>
    <w:rsid w:val="00460EA3"/>
    <w:rsid w:val="00461494"/>
    <w:rsid w:val="00463184"/>
    <w:rsid w:val="00463518"/>
    <w:rsid w:val="0046392E"/>
    <w:rsid w:val="004641B3"/>
    <w:rsid w:val="0046674F"/>
    <w:rsid w:val="00467F0D"/>
    <w:rsid w:val="00470F6A"/>
    <w:rsid w:val="00471351"/>
    <w:rsid w:val="00471669"/>
    <w:rsid w:val="00471954"/>
    <w:rsid w:val="004719C6"/>
    <w:rsid w:val="00471B62"/>
    <w:rsid w:val="00471D98"/>
    <w:rsid w:val="00471F59"/>
    <w:rsid w:val="004720F8"/>
    <w:rsid w:val="00472361"/>
    <w:rsid w:val="004727C6"/>
    <w:rsid w:val="004733FE"/>
    <w:rsid w:val="004740D0"/>
    <w:rsid w:val="00475955"/>
    <w:rsid w:val="00476A80"/>
    <w:rsid w:val="00476C1E"/>
    <w:rsid w:val="00477A55"/>
    <w:rsid w:val="00477F13"/>
    <w:rsid w:val="00480243"/>
    <w:rsid w:val="0048143A"/>
    <w:rsid w:val="00481DC8"/>
    <w:rsid w:val="004830A1"/>
    <w:rsid w:val="004832B1"/>
    <w:rsid w:val="0048346A"/>
    <w:rsid w:val="0048392E"/>
    <w:rsid w:val="00483FC9"/>
    <w:rsid w:val="0048461D"/>
    <w:rsid w:val="00484DD7"/>
    <w:rsid w:val="00485D76"/>
    <w:rsid w:val="004860A0"/>
    <w:rsid w:val="00486729"/>
    <w:rsid w:val="004907D0"/>
    <w:rsid w:val="004913B2"/>
    <w:rsid w:val="00492AE3"/>
    <w:rsid w:val="00492BB0"/>
    <w:rsid w:val="00493F7E"/>
    <w:rsid w:val="00494005"/>
    <w:rsid w:val="00495B5E"/>
    <w:rsid w:val="00495FCE"/>
    <w:rsid w:val="004966A1"/>
    <w:rsid w:val="004966BD"/>
    <w:rsid w:val="004969BA"/>
    <w:rsid w:val="004970EF"/>
    <w:rsid w:val="0049791C"/>
    <w:rsid w:val="00497B42"/>
    <w:rsid w:val="00497FA7"/>
    <w:rsid w:val="004A03D6"/>
    <w:rsid w:val="004A081A"/>
    <w:rsid w:val="004A0BA9"/>
    <w:rsid w:val="004A20AB"/>
    <w:rsid w:val="004A2188"/>
    <w:rsid w:val="004A2542"/>
    <w:rsid w:val="004A2F38"/>
    <w:rsid w:val="004A3080"/>
    <w:rsid w:val="004A37ED"/>
    <w:rsid w:val="004A3ED8"/>
    <w:rsid w:val="004A3F31"/>
    <w:rsid w:val="004A3F96"/>
    <w:rsid w:val="004A429E"/>
    <w:rsid w:val="004A46D2"/>
    <w:rsid w:val="004A5665"/>
    <w:rsid w:val="004A63D3"/>
    <w:rsid w:val="004A7AA4"/>
    <w:rsid w:val="004B04BE"/>
    <w:rsid w:val="004B0F09"/>
    <w:rsid w:val="004B0F3E"/>
    <w:rsid w:val="004B120E"/>
    <w:rsid w:val="004B1548"/>
    <w:rsid w:val="004B1B79"/>
    <w:rsid w:val="004B25D4"/>
    <w:rsid w:val="004B2716"/>
    <w:rsid w:val="004B2CCB"/>
    <w:rsid w:val="004B2F40"/>
    <w:rsid w:val="004B2FA1"/>
    <w:rsid w:val="004B3194"/>
    <w:rsid w:val="004B3461"/>
    <w:rsid w:val="004B397A"/>
    <w:rsid w:val="004B3A97"/>
    <w:rsid w:val="004B45B7"/>
    <w:rsid w:val="004B46CD"/>
    <w:rsid w:val="004B49D1"/>
    <w:rsid w:val="004B4DF3"/>
    <w:rsid w:val="004B5571"/>
    <w:rsid w:val="004B6081"/>
    <w:rsid w:val="004B66FD"/>
    <w:rsid w:val="004B7407"/>
    <w:rsid w:val="004B79F1"/>
    <w:rsid w:val="004B7C9A"/>
    <w:rsid w:val="004B7EF2"/>
    <w:rsid w:val="004C0040"/>
    <w:rsid w:val="004C00D2"/>
    <w:rsid w:val="004C03BF"/>
    <w:rsid w:val="004C0D30"/>
    <w:rsid w:val="004C0D6B"/>
    <w:rsid w:val="004C1FB5"/>
    <w:rsid w:val="004C31D9"/>
    <w:rsid w:val="004C34F3"/>
    <w:rsid w:val="004C47EF"/>
    <w:rsid w:val="004C4BB5"/>
    <w:rsid w:val="004C4F33"/>
    <w:rsid w:val="004C51D7"/>
    <w:rsid w:val="004C639E"/>
    <w:rsid w:val="004C6645"/>
    <w:rsid w:val="004C6AF5"/>
    <w:rsid w:val="004C7AED"/>
    <w:rsid w:val="004C7DBD"/>
    <w:rsid w:val="004D1ED1"/>
    <w:rsid w:val="004D285C"/>
    <w:rsid w:val="004D3C85"/>
    <w:rsid w:val="004D3CC1"/>
    <w:rsid w:val="004D41B8"/>
    <w:rsid w:val="004D422C"/>
    <w:rsid w:val="004D44D0"/>
    <w:rsid w:val="004D52F8"/>
    <w:rsid w:val="004D54B7"/>
    <w:rsid w:val="004D550C"/>
    <w:rsid w:val="004D6163"/>
    <w:rsid w:val="004D62A6"/>
    <w:rsid w:val="004D6570"/>
    <w:rsid w:val="004D71FE"/>
    <w:rsid w:val="004D78D3"/>
    <w:rsid w:val="004E11B6"/>
    <w:rsid w:val="004E1E9F"/>
    <w:rsid w:val="004E2003"/>
    <w:rsid w:val="004E2C36"/>
    <w:rsid w:val="004E3D65"/>
    <w:rsid w:val="004E463E"/>
    <w:rsid w:val="004E5DBA"/>
    <w:rsid w:val="004E66C3"/>
    <w:rsid w:val="004E6BBA"/>
    <w:rsid w:val="004E7423"/>
    <w:rsid w:val="004E7AE3"/>
    <w:rsid w:val="004E7D0F"/>
    <w:rsid w:val="004F0142"/>
    <w:rsid w:val="004F0291"/>
    <w:rsid w:val="004F0490"/>
    <w:rsid w:val="004F069E"/>
    <w:rsid w:val="004F21C3"/>
    <w:rsid w:val="004F2ADA"/>
    <w:rsid w:val="004F2B0C"/>
    <w:rsid w:val="004F2E19"/>
    <w:rsid w:val="004F3052"/>
    <w:rsid w:val="004F309C"/>
    <w:rsid w:val="004F3C4E"/>
    <w:rsid w:val="004F3E95"/>
    <w:rsid w:val="004F3F85"/>
    <w:rsid w:val="004F73CC"/>
    <w:rsid w:val="004F7532"/>
    <w:rsid w:val="004F7AA1"/>
    <w:rsid w:val="004F7C87"/>
    <w:rsid w:val="00500490"/>
    <w:rsid w:val="005010AB"/>
    <w:rsid w:val="0050171E"/>
    <w:rsid w:val="00501E01"/>
    <w:rsid w:val="0050290F"/>
    <w:rsid w:val="00503900"/>
    <w:rsid w:val="00504606"/>
    <w:rsid w:val="005046D3"/>
    <w:rsid w:val="00505814"/>
    <w:rsid w:val="00506A3F"/>
    <w:rsid w:val="00506F29"/>
    <w:rsid w:val="0050751F"/>
    <w:rsid w:val="0050782E"/>
    <w:rsid w:val="005101F4"/>
    <w:rsid w:val="00510208"/>
    <w:rsid w:val="005108CD"/>
    <w:rsid w:val="00510AF2"/>
    <w:rsid w:val="00510EEE"/>
    <w:rsid w:val="005114BF"/>
    <w:rsid w:val="00511650"/>
    <w:rsid w:val="005118B4"/>
    <w:rsid w:val="00512205"/>
    <w:rsid w:val="005128BC"/>
    <w:rsid w:val="00513381"/>
    <w:rsid w:val="00513D2D"/>
    <w:rsid w:val="00513E60"/>
    <w:rsid w:val="00513FD6"/>
    <w:rsid w:val="0051407D"/>
    <w:rsid w:val="00514121"/>
    <w:rsid w:val="00514F00"/>
    <w:rsid w:val="005150BE"/>
    <w:rsid w:val="0051517B"/>
    <w:rsid w:val="00515D6D"/>
    <w:rsid w:val="00517082"/>
    <w:rsid w:val="00517AA9"/>
    <w:rsid w:val="00520760"/>
    <w:rsid w:val="005207D1"/>
    <w:rsid w:val="00520E79"/>
    <w:rsid w:val="00521064"/>
    <w:rsid w:val="0052145A"/>
    <w:rsid w:val="0052226A"/>
    <w:rsid w:val="00523B04"/>
    <w:rsid w:val="00523C19"/>
    <w:rsid w:val="00523DD8"/>
    <w:rsid w:val="00523E47"/>
    <w:rsid w:val="005264FF"/>
    <w:rsid w:val="005265BB"/>
    <w:rsid w:val="005305FF"/>
    <w:rsid w:val="005317F5"/>
    <w:rsid w:val="00531EDE"/>
    <w:rsid w:val="00532487"/>
    <w:rsid w:val="005325BB"/>
    <w:rsid w:val="00532B2A"/>
    <w:rsid w:val="00532EF7"/>
    <w:rsid w:val="00533169"/>
    <w:rsid w:val="005339F2"/>
    <w:rsid w:val="00533CBB"/>
    <w:rsid w:val="00533EB1"/>
    <w:rsid w:val="005347D9"/>
    <w:rsid w:val="00534E89"/>
    <w:rsid w:val="00535607"/>
    <w:rsid w:val="00535BE0"/>
    <w:rsid w:val="00535C0E"/>
    <w:rsid w:val="00536163"/>
    <w:rsid w:val="005369FA"/>
    <w:rsid w:val="00536A82"/>
    <w:rsid w:val="005374E4"/>
    <w:rsid w:val="0054042C"/>
    <w:rsid w:val="00540B2D"/>
    <w:rsid w:val="00541335"/>
    <w:rsid w:val="005413FF"/>
    <w:rsid w:val="00541CE7"/>
    <w:rsid w:val="005427BD"/>
    <w:rsid w:val="005435ED"/>
    <w:rsid w:val="005435FE"/>
    <w:rsid w:val="00543C00"/>
    <w:rsid w:val="0054430A"/>
    <w:rsid w:val="005448EE"/>
    <w:rsid w:val="00544B10"/>
    <w:rsid w:val="00544C65"/>
    <w:rsid w:val="00544FED"/>
    <w:rsid w:val="005457E7"/>
    <w:rsid w:val="0054625B"/>
    <w:rsid w:val="00546ECE"/>
    <w:rsid w:val="005473F8"/>
    <w:rsid w:val="0055051D"/>
    <w:rsid w:val="005507B1"/>
    <w:rsid w:val="00550B20"/>
    <w:rsid w:val="00551428"/>
    <w:rsid w:val="00552834"/>
    <w:rsid w:val="00552E4D"/>
    <w:rsid w:val="00553110"/>
    <w:rsid w:val="00553199"/>
    <w:rsid w:val="005538A9"/>
    <w:rsid w:val="00554259"/>
    <w:rsid w:val="00554347"/>
    <w:rsid w:val="00554879"/>
    <w:rsid w:val="00554CC2"/>
    <w:rsid w:val="00555198"/>
    <w:rsid w:val="00555992"/>
    <w:rsid w:val="00555DE9"/>
    <w:rsid w:val="005565BD"/>
    <w:rsid w:val="005567D2"/>
    <w:rsid w:val="005567E8"/>
    <w:rsid w:val="00557DAE"/>
    <w:rsid w:val="00560ADA"/>
    <w:rsid w:val="00560DFE"/>
    <w:rsid w:val="00561437"/>
    <w:rsid w:val="00561E90"/>
    <w:rsid w:val="00562289"/>
    <w:rsid w:val="005622E3"/>
    <w:rsid w:val="005636EF"/>
    <w:rsid w:val="00563B2E"/>
    <w:rsid w:val="00564B6B"/>
    <w:rsid w:val="00564DF4"/>
    <w:rsid w:val="005653FD"/>
    <w:rsid w:val="00565636"/>
    <w:rsid w:val="005659BE"/>
    <w:rsid w:val="00566412"/>
    <w:rsid w:val="00566A48"/>
    <w:rsid w:val="00566B5F"/>
    <w:rsid w:val="00566EC5"/>
    <w:rsid w:val="00566F07"/>
    <w:rsid w:val="00570835"/>
    <w:rsid w:val="00571046"/>
    <w:rsid w:val="00571077"/>
    <w:rsid w:val="00571145"/>
    <w:rsid w:val="00571CED"/>
    <w:rsid w:val="00571D8F"/>
    <w:rsid w:val="00572005"/>
    <w:rsid w:val="0057373B"/>
    <w:rsid w:val="00574256"/>
    <w:rsid w:val="005753F8"/>
    <w:rsid w:val="00575C11"/>
    <w:rsid w:val="005763F6"/>
    <w:rsid w:val="005767DD"/>
    <w:rsid w:val="00576C6F"/>
    <w:rsid w:val="00577293"/>
    <w:rsid w:val="00577E1E"/>
    <w:rsid w:val="00580B63"/>
    <w:rsid w:val="0058113A"/>
    <w:rsid w:val="005826E6"/>
    <w:rsid w:val="0058297F"/>
    <w:rsid w:val="00582F23"/>
    <w:rsid w:val="005833DE"/>
    <w:rsid w:val="00584D9D"/>
    <w:rsid w:val="00586202"/>
    <w:rsid w:val="005863F2"/>
    <w:rsid w:val="005865A0"/>
    <w:rsid w:val="005879EB"/>
    <w:rsid w:val="005903E5"/>
    <w:rsid w:val="0059066D"/>
    <w:rsid w:val="00590845"/>
    <w:rsid w:val="00590BFB"/>
    <w:rsid w:val="00591051"/>
    <w:rsid w:val="00591990"/>
    <w:rsid w:val="005920DE"/>
    <w:rsid w:val="00594C24"/>
    <w:rsid w:val="005956A3"/>
    <w:rsid w:val="00596ACE"/>
    <w:rsid w:val="0059731A"/>
    <w:rsid w:val="005974DF"/>
    <w:rsid w:val="005A0E0D"/>
    <w:rsid w:val="005A102C"/>
    <w:rsid w:val="005A1713"/>
    <w:rsid w:val="005A1F87"/>
    <w:rsid w:val="005A2557"/>
    <w:rsid w:val="005A2E89"/>
    <w:rsid w:val="005A2EF4"/>
    <w:rsid w:val="005A42CA"/>
    <w:rsid w:val="005A455A"/>
    <w:rsid w:val="005A5382"/>
    <w:rsid w:val="005A623E"/>
    <w:rsid w:val="005A7275"/>
    <w:rsid w:val="005B023B"/>
    <w:rsid w:val="005B0924"/>
    <w:rsid w:val="005B119D"/>
    <w:rsid w:val="005B18D6"/>
    <w:rsid w:val="005B19B8"/>
    <w:rsid w:val="005B1B8F"/>
    <w:rsid w:val="005B1CC1"/>
    <w:rsid w:val="005B1EB8"/>
    <w:rsid w:val="005B2B89"/>
    <w:rsid w:val="005B3168"/>
    <w:rsid w:val="005B3567"/>
    <w:rsid w:val="005B41D0"/>
    <w:rsid w:val="005B451E"/>
    <w:rsid w:val="005B4546"/>
    <w:rsid w:val="005B4837"/>
    <w:rsid w:val="005B519E"/>
    <w:rsid w:val="005B56CB"/>
    <w:rsid w:val="005B6575"/>
    <w:rsid w:val="005B746D"/>
    <w:rsid w:val="005B7532"/>
    <w:rsid w:val="005B7A4E"/>
    <w:rsid w:val="005C03AE"/>
    <w:rsid w:val="005C083F"/>
    <w:rsid w:val="005C09B8"/>
    <w:rsid w:val="005C19D7"/>
    <w:rsid w:val="005C29AD"/>
    <w:rsid w:val="005C308E"/>
    <w:rsid w:val="005C3A4E"/>
    <w:rsid w:val="005C4E1F"/>
    <w:rsid w:val="005C595F"/>
    <w:rsid w:val="005C5EB6"/>
    <w:rsid w:val="005C6768"/>
    <w:rsid w:val="005C6BAF"/>
    <w:rsid w:val="005C6D1D"/>
    <w:rsid w:val="005D017F"/>
    <w:rsid w:val="005D4628"/>
    <w:rsid w:val="005D495D"/>
    <w:rsid w:val="005D4D3A"/>
    <w:rsid w:val="005D52B8"/>
    <w:rsid w:val="005D55CB"/>
    <w:rsid w:val="005D5A6D"/>
    <w:rsid w:val="005D6826"/>
    <w:rsid w:val="005D7B6D"/>
    <w:rsid w:val="005E07D6"/>
    <w:rsid w:val="005E0B0D"/>
    <w:rsid w:val="005E119D"/>
    <w:rsid w:val="005E146C"/>
    <w:rsid w:val="005E1A1A"/>
    <w:rsid w:val="005E2CA0"/>
    <w:rsid w:val="005E44A0"/>
    <w:rsid w:val="005E4802"/>
    <w:rsid w:val="005E4F6A"/>
    <w:rsid w:val="005E5068"/>
    <w:rsid w:val="005E525A"/>
    <w:rsid w:val="005E5FF1"/>
    <w:rsid w:val="005E6426"/>
    <w:rsid w:val="005E6CD3"/>
    <w:rsid w:val="005E7B9E"/>
    <w:rsid w:val="005E7FF1"/>
    <w:rsid w:val="005F0451"/>
    <w:rsid w:val="005F093C"/>
    <w:rsid w:val="005F120C"/>
    <w:rsid w:val="005F1C5C"/>
    <w:rsid w:val="005F25A3"/>
    <w:rsid w:val="005F2777"/>
    <w:rsid w:val="005F33EC"/>
    <w:rsid w:val="005F421F"/>
    <w:rsid w:val="005F447A"/>
    <w:rsid w:val="005F45EB"/>
    <w:rsid w:val="005F551F"/>
    <w:rsid w:val="005F5548"/>
    <w:rsid w:val="005F67B0"/>
    <w:rsid w:val="005F73C7"/>
    <w:rsid w:val="005F7594"/>
    <w:rsid w:val="005F7917"/>
    <w:rsid w:val="006001EB"/>
    <w:rsid w:val="00602514"/>
    <w:rsid w:val="00603D28"/>
    <w:rsid w:val="00603E8D"/>
    <w:rsid w:val="0060401E"/>
    <w:rsid w:val="0060449E"/>
    <w:rsid w:val="00604B0D"/>
    <w:rsid w:val="00604CA5"/>
    <w:rsid w:val="00604F27"/>
    <w:rsid w:val="00605008"/>
    <w:rsid w:val="0060549F"/>
    <w:rsid w:val="006068C1"/>
    <w:rsid w:val="00606EED"/>
    <w:rsid w:val="00607A01"/>
    <w:rsid w:val="00607B8F"/>
    <w:rsid w:val="00607CA7"/>
    <w:rsid w:val="00607E05"/>
    <w:rsid w:val="0061039C"/>
    <w:rsid w:val="0061065E"/>
    <w:rsid w:val="00610D76"/>
    <w:rsid w:val="00610ED0"/>
    <w:rsid w:val="00611B1E"/>
    <w:rsid w:val="00611CBA"/>
    <w:rsid w:val="00611E50"/>
    <w:rsid w:val="00612726"/>
    <w:rsid w:val="00612BA6"/>
    <w:rsid w:val="00612F8D"/>
    <w:rsid w:val="00612FB5"/>
    <w:rsid w:val="00613A33"/>
    <w:rsid w:val="00613ED2"/>
    <w:rsid w:val="00615269"/>
    <w:rsid w:val="006165FE"/>
    <w:rsid w:val="00616665"/>
    <w:rsid w:val="00616AC8"/>
    <w:rsid w:val="00616C45"/>
    <w:rsid w:val="0061708F"/>
    <w:rsid w:val="006171D9"/>
    <w:rsid w:val="006173F2"/>
    <w:rsid w:val="00617442"/>
    <w:rsid w:val="00617AA8"/>
    <w:rsid w:val="0062117C"/>
    <w:rsid w:val="00621338"/>
    <w:rsid w:val="00621375"/>
    <w:rsid w:val="006218FC"/>
    <w:rsid w:val="00621C6D"/>
    <w:rsid w:val="00622746"/>
    <w:rsid w:val="00624145"/>
    <w:rsid w:val="006241D3"/>
    <w:rsid w:val="006248E0"/>
    <w:rsid w:val="00624DE3"/>
    <w:rsid w:val="00624E38"/>
    <w:rsid w:val="00626ACD"/>
    <w:rsid w:val="00626B74"/>
    <w:rsid w:val="00626F96"/>
    <w:rsid w:val="00630239"/>
    <w:rsid w:val="00630A40"/>
    <w:rsid w:val="00630A90"/>
    <w:rsid w:val="00631039"/>
    <w:rsid w:val="006314DA"/>
    <w:rsid w:val="00631742"/>
    <w:rsid w:val="00631CE7"/>
    <w:rsid w:val="00631D09"/>
    <w:rsid w:val="00631D58"/>
    <w:rsid w:val="00632560"/>
    <w:rsid w:val="00632C4C"/>
    <w:rsid w:val="006331FE"/>
    <w:rsid w:val="0063338A"/>
    <w:rsid w:val="006336C8"/>
    <w:rsid w:val="00633B7F"/>
    <w:rsid w:val="00633EEF"/>
    <w:rsid w:val="0063406A"/>
    <w:rsid w:val="006352A5"/>
    <w:rsid w:val="006356CD"/>
    <w:rsid w:val="006358B1"/>
    <w:rsid w:val="00635F4F"/>
    <w:rsid w:val="00636225"/>
    <w:rsid w:val="0063650E"/>
    <w:rsid w:val="00636B67"/>
    <w:rsid w:val="00637180"/>
    <w:rsid w:val="00641693"/>
    <w:rsid w:val="006425F7"/>
    <w:rsid w:val="0064322F"/>
    <w:rsid w:val="006433BA"/>
    <w:rsid w:val="006433CB"/>
    <w:rsid w:val="0064386C"/>
    <w:rsid w:val="006443D4"/>
    <w:rsid w:val="006443E7"/>
    <w:rsid w:val="00644847"/>
    <w:rsid w:val="0064619A"/>
    <w:rsid w:val="00646C64"/>
    <w:rsid w:val="0064771F"/>
    <w:rsid w:val="0064781A"/>
    <w:rsid w:val="006504A6"/>
    <w:rsid w:val="00650B7D"/>
    <w:rsid w:val="00650BF6"/>
    <w:rsid w:val="00651DD0"/>
    <w:rsid w:val="00651E7E"/>
    <w:rsid w:val="00651EEE"/>
    <w:rsid w:val="00652A74"/>
    <w:rsid w:val="00653E47"/>
    <w:rsid w:val="0065545B"/>
    <w:rsid w:val="006558B3"/>
    <w:rsid w:val="0065593E"/>
    <w:rsid w:val="00655DB5"/>
    <w:rsid w:val="00655F8C"/>
    <w:rsid w:val="00656A36"/>
    <w:rsid w:val="00657080"/>
    <w:rsid w:val="00657E89"/>
    <w:rsid w:val="00660C4B"/>
    <w:rsid w:val="0066190F"/>
    <w:rsid w:val="00661C18"/>
    <w:rsid w:val="00664B4E"/>
    <w:rsid w:val="00665B27"/>
    <w:rsid w:val="0066691D"/>
    <w:rsid w:val="006677EA"/>
    <w:rsid w:val="00670C04"/>
    <w:rsid w:val="00671B8E"/>
    <w:rsid w:val="006737F0"/>
    <w:rsid w:val="00673AE2"/>
    <w:rsid w:val="00673F15"/>
    <w:rsid w:val="00674B95"/>
    <w:rsid w:val="00674C80"/>
    <w:rsid w:val="00676344"/>
    <w:rsid w:val="006773CA"/>
    <w:rsid w:val="00677728"/>
    <w:rsid w:val="0067799F"/>
    <w:rsid w:val="00677AB6"/>
    <w:rsid w:val="00677D8A"/>
    <w:rsid w:val="006804A6"/>
    <w:rsid w:val="00680E57"/>
    <w:rsid w:val="006816E3"/>
    <w:rsid w:val="00681AA0"/>
    <w:rsid w:val="00681C00"/>
    <w:rsid w:val="006831FB"/>
    <w:rsid w:val="0068352C"/>
    <w:rsid w:val="00683784"/>
    <w:rsid w:val="00683C5A"/>
    <w:rsid w:val="006841E6"/>
    <w:rsid w:val="00684662"/>
    <w:rsid w:val="00684D44"/>
    <w:rsid w:val="006859B9"/>
    <w:rsid w:val="00686311"/>
    <w:rsid w:val="006866C4"/>
    <w:rsid w:val="00686CF4"/>
    <w:rsid w:val="006872A4"/>
    <w:rsid w:val="00687311"/>
    <w:rsid w:val="006903E9"/>
    <w:rsid w:val="006913BA"/>
    <w:rsid w:val="00692789"/>
    <w:rsid w:val="00692CBA"/>
    <w:rsid w:val="00692D4B"/>
    <w:rsid w:val="006933DD"/>
    <w:rsid w:val="006939D5"/>
    <w:rsid w:val="00694B2A"/>
    <w:rsid w:val="00694E84"/>
    <w:rsid w:val="0069503E"/>
    <w:rsid w:val="00695418"/>
    <w:rsid w:val="00695504"/>
    <w:rsid w:val="00695C7F"/>
    <w:rsid w:val="006965DD"/>
    <w:rsid w:val="00696A15"/>
    <w:rsid w:val="006978FA"/>
    <w:rsid w:val="00697F33"/>
    <w:rsid w:val="006A096D"/>
    <w:rsid w:val="006A0CED"/>
    <w:rsid w:val="006A19E4"/>
    <w:rsid w:val="006A376B"/>
    <w:rsid w:val="006A3776"/>
    <w:rsid w:val="006A3859"/>
    <w:rsid w:val="006A3B3E"/>
    <w:rsid w:val="006A4CED"/>
    <w:rsid w:val="006A4E9A"/>
    <w:rsid w:val="006A4F7E"/>
    <w:rsid w:val="006A5CA7"/>
    <w:rsid w:val="006A5CC0"/>
    <w:rsid w:val="006A67EE"/>
    <w:rsid w:val="006A6862"/>
    <w:rsid w:val="006A6979"/>
    <w:rsid w:val="006A7250"/>
    <w:rsid w:val="006A73AF"/>
    <w:rsid w:val="006A752D"/>
    <w:rsid w:val="006A7945"/>
    <w:rsid w:val="006B2BD8"/>
    <w:rsid w:val="006B3D25"/>
    <w:rsid w:val="006B4AB9"/>
    <w:rsid w:val="006B5064"/>
    <w:rsid w:val="006B563D"/>
    <w:rsid w:val="006B5DE6"/>
    <w:rsid w:val="006B653A"/>
    <w:rsid w:val="006B6BA1"/>
    <w:rsid w:val="006B7136"/>
    <w:rsid w:val="006B7798"/>
    <w:rsid w:val="006B7EAB"/>
    <w:rsid w:val="006C0315"/>
    <w:rsid w:val="006C18CA"/>
    <w:rsid w:val="006C2142"/>
    <w:rsid w:val="006C225A"/>
    <w:rsid w:val="006C2689"/>
    <w:rsid w:val="006C299C"/>
    <w:rsid w:val="006C308F"/>
    <w:rsid w:val="006C337B"/>
    <w:rsid w:val="006C40EB"/>
    <w:rsid w:val="006C4A3E"/>
    <w:rsid w:val="006C66B6"/>
    <w:rsid w:val="006C6AFC"/>
    <w:rsid w:val="006C76BC"/>
    <w:rsid w:val="006D094C"/>
    <w:rsid w:val="006D0EB0"/>
    <w:rsid w:val="006D0FDB"/>
    <w:rsid w:val="006D3026"/>
    <w:rsid w:val="006D4DA3"/>
    <w:rsid w:val="006D575C"/>
    <w:rsid w:val="006D5BCA"/>
    <w:rsid w:val="006D6C67"/>
    <w:rsid w:val="006D6F75"/>
    <w:rsid w:val="006D79F8"/>
    <w:rsid w:val="006D7B9E"/>
    <w:rsid w:val="006D7F2A"/>
    <w:rsid w:val="006E048E"/>
    <w:rsid w:val="006E194B"/>
    <w:rsid w:val="006E19E6"/>
    <w:rsid w:val="006E28EA"/>
    <w:rsid w:val="006E40A0"/>
    <w:rsid w:val="006E4B24"/>
    <w:rsid w:val="006E4F78"/>
    <w:rsid w:val="006E566A"/>
    <w:rsid w:val="006E56EA"/>
    <w:rsid w:val="006E5E09"/>
    <w:rsid w:val="006E6607"/>
    <w:rsid w:val="006E765A"/>
    <w:rsid w:val="006F09CE"/>
    <w:rsid w:val="006F1646"/>
    <w:rsid w:val="006F4AED"/>
    <w:rsid w:val="006F4C7F"/>
    <w:rsid w:val="006F4D50"/>
    <w:rsid w:val="006F5E02"/>
    <w:rsid w:val="006F61A3"/>
    <w:rsid w:val="006F6A38"/>
    <w:rsid w:val="006F6ACE"/>
    <w:rsid w:val="006F7C08"/>
    <w:rsid w:val="00700EA5"/>
    <w:rsid w:val="00700F27"/>
    <w:rsid w:val="007012DB"/>
    <w:rsid w:val="00701412"/>
    <w:rsid w:val="00701EDD"/>
    <w:rsid w:val="00702359"/>
    <w:rsid w:val="00703F87"/>
    <w:rsid w:val="0070723C"/>
    <w:rsid w:val="00707A79"/>
    <w:rsid w:val="00707C66"/>
    <w:rsid w:val="00707EDA"/>
    <w:rsid w:val="00710174"/>
    <w:rsid w:val="00710BDB"/>
    <w:rsid w:val="00710EE5"/>
    <w:rsid w:val="00710F94"/>
    <w:rsid w:val="007113AC"/>
    <w:rsid w:val="00711AC4"/>
    <w:rsid w:val="00711F3B"/>
    <w:rsid w:val="007121CD"/>
    <w:rsid w:val="007122C4"/>
    <w:rsid w:val="007132AC"/>
    <w:rsid w:val="007137A1"/>
    <w:rsid w:val="00714A67"/>
    <w:rsid w:val="0071520B"/>
    <w:rsid w:val="00715737"/>
    <w:rsid w:val="0071591E"/>
    <w:rsid w:val="00715DF5"/>
    <w:rsid w:val="0071629D"/>
    <w:rsid w:val="00716361"/>
    <w:rsid w:val="007165B1"/>
    <w:rsid w:val="00717888"/>
    <w:rsid w:val="00717A64"/>
    <w:rsid w:val="00720786"/>
    <w:rsid w:val="00721188"/>
    <w:rsid w:val="007229C7"/>
    <w:rsid w:val="00723229"/>
    <w:rsid w:val="0072347F"/>
    <w:rsid w:val="00723A53"/>
    <w:rsid w:val="00724B5C"/>
    <w:rsid w:val="00724D72"/>
    <w:rsid w:val="00724E54"/>
    <w:rsid w:val="00725109"/>
    <w:rsid w:val="00725D5F"/>
    <w:rsid w:val="007266D7"/>
    <w:rsid w:val="00726B93"/>
    <w:rsid w:val="00731430"/>
    <w:rsid w:val="00731622"/>
    <w:rsid w:val="00731BD1"/>
    <w:rsid w:val="00731C3E"/>
    <w:rsid w:val="00732518"/>
    <w:rsid w:val="00732A80"/>
    <w:rsid w:val="00732F61"/>
    <w:rsid w:val="00733095"/>
    <w:rsid w:val="00733B0C"/>
    <w:rsid w:val="00734DC1"/>
    <w:rsid w:val="0073695B"/>
    <w:rsid w:val="00736FEE"/>
    <w:rsid w:val="00737405"/>
    <w:rsid w:val="00740705"/>
    <w:rsid w:val="007409B9"/>
    <w:rsid w:val="007419CC"/>
    <w:rsid w:val="00742613"/>
    <w:rsid w:val="0074288F"/>
    <w:rsid w:val="00742991"/>
    <w:rsid w:val="00743173"/>
    <w:rsid w:val="00743439"/>
    <w:rsid w:val="007438BE"/>
    <w:rsid w:val="007446BC"/>
    <w:rsid w:val="00744723"/>
    <w:rsid w:val="00744A65"/>
    <w:rsid w:val="007451E1"/>
    <w:rsid w:val="0074625D"/>
    <w:rsid w:val="00746D3D"/>
    <w:rsid w:val="007476EC"/>
    <w:rsid w:val="00747B7C"/>
    <w:rsid w:val="00750547"/>
    <w:rsid w:val="00750FBF"/>
    <w:rsid w:val="00751A8C"/>
    <w:rsid w:val="007530FF"/>
    <w:rsid w:val="00753687"/>
    <w:rsid w:val="00753B09"/>
    <w:rsid w:val="00754E7B"/>
    <w:rsid w:val="007560D8"/>
    <w:rsid w:val="00756800"/>
    <w:rsid w:val="00756982"/>
    <w:rsid w:val="00756A72"/>
    <w:rsid w:val="007571ED"/>
    <w:rsid w:val="00757326"/>
    <w:rsid w:val="00757517"/>
    <w:rsid w:val="0075788A"/>
    <w:rsid w:val="00757A19"/>
    <w:rsid w:val="0076034E"/>
    <w:rsid w:val="00761455"/>
    <w:rsid w:val="007614C2"/>
    <w:rsid w:val="007628D9"/>
    <w:rsid w:val="00764145"/>
    <w:rsid w:val="007647FD"/>
    <w:rsid w:val="0076507B"/>
    <w:rsid w:val="00765476"/>
    <w:rsid w:val="007659BA"/>
    <w:rsid w:val="00765E23"/>
    <w:rsid w:val="00765E49"/>
    <w:rsid w:val="007663CA"/>
    <w:rsid w:val="007669F2"/>
    <w:rsid w:val="007672E7"/>
    <w:rsid w:val="00767D6D"/>
    <w:rsid w:val="00770A26"/>
    <w:rsid w:val="00770B0C"/>
    <w:rsid w:val="00770B76"/>
    <w:rsid w:val="00770CFB"/>
    <w:rsid w:val="00771A23"/>
    <w:rsid w:val="0077223D"/>
    <w:rsid w:val="007743ED"/>
    <w:rsid w:val="007744B7"/>
    <w:rsid w:val="00774760"/>
    <w:rsid w:val="00774AC3"/>
    <w:rsid w:val="00774D7B"/>
    <w:rsid w:val="00775D5D"/>
    <w:rsid w:val="00775DB3"/>
    <w:rsid w:val="00775FF7"/>
    <w:rsid w:val="00776393"/>
    <w:rsid w:val="0077655D"/>
    <w:rsid w:val="00776771"/>
    <w:rsid w:val="007774D8"/>
    <w:rsid w:val="007776E5"/>
    <w:rsid w:val="00777875"/>
    <w:rsid w:val="0078035A"/>
    <w:rsid w:val="00781D93"/>
    <w:rsid w:val="007825BF"/>
    <w:rsid w:val="00783021"/>
    <w:rsid w:val="00783159"/>
    <w:rsid w:val="00783251"/>
    <w:rsid w:val="0078423C"/>
    <w:rsid w:val="0078451D"/>
    <w:rsid w:val="00787EF6"/>
    <w:rsid w:val="007902B5"/>
    <w:rsid w:val="007909B0"/>
    <w:rsid w:val="0079109D"/>
    <w:rsid w:val="00791764"/>
    <w:rsid w:val="00791821"/>
    <w:rsid w:val="00791F1B"/>
    <w:rsid w:val="00791FAE"/>
    <w:rsid w:val="00791FE3"/>
    <w:rsid w:val="00792666"/>
    <w:rsid w:val="007941B8"/>
    <w:rsid w:val="00794259"/>
    <w:rsid w:val="00794B7E"/>
    <w:rsid w:val="0079530E"/>
    <w:rsid w:val="0079541C"/>
    <w:rsid w:val="0079579D"/>
    <w:rsid w:val="007960D7"/>
    <w:rsid w:val="00796177"/>
    <w:rsid w:val="00796C8C"/>
    <w:rsid w:val="007A0596"/>
    <w:rsid w:val="007A0A53"/>
    <w:rsid w:val="007A0AF3"/>
    <w:rsid w:val="007A0B4B"/>
    <w:rsid w:val="007A0DB4"/>
    <w:rsid w:val="007A1647"/>
    <w:rsid w:val="007A18AE"/>
    <w:rsid w:val="007A232D"/>
    <w:rsid w:val="007A2439"/>
    <w:rsid w:val="007A2583"/>
    <w:rsid w:val="007A36ED"/>
    <w:rsid w:val="007A3B97"/>
    <w:rsid w:val="007A4212"/>
    <w:rsid w:val="007A473A"/>
    <w:rsid w:val="007A4B19"/>
    <w:rsid w:val="007A4D2B"/>
    <w:rsid w:val="007A6107"/>
    <w:rsid w:val="007A75B9"/>
    <w:rsid w:val="007A77BC"/>
    <w:rsid w:val="007A78B2"/>
    <w:rsid w:val="007A7A6A"/>
    <w:rsid w:val="007B0ACB"/>
    <w:rsid w:val="007B0F6D"/>
    <w:rsid w:val="007B14FA"/>
    <w:rsid w:val="007B17A0"/>
    <w:rsid w:val="007B1E5F"/>
    <w:rsid w:val="007B1FC7"/>
    <w:rsid w:val="007B2788"/>
    <w:rsid w:val="007B2B15"/>
    <w:rsid w:val="007B2E09"/>
    <w:rsid w:val="007B2E8C"/>
    <w:rsid w:val="007B314D"/>
    <w:rsid w:val="007B32D8"/>
    <w:rsid w:val="007B35B2"/>
    <w:rsid w:val="007B4A85"/>
    <w:rsid w:val="007B5720"/>
    <w:rsid w:val="007B6CC9"/>
    <w:rsid w:val="007B6E45"/>
    <w:rsid w:val="007B7D0C"/>
    <w:rsid w:val="007B7F01"/>
    <w:rsid w:val="007C025B"/>
    <w:rsid w:val="007C2388"/>
    <w:rsid w:val="007C2A94"/>
    <w:rsid w:val="007C2D24"/>
    <w:rsid w:val="007C2D47"/>
    <w:rsid w:val="007C2D5C"/>
    <w:rsid w:val="007C4162"/>
    <w:rsid w:val="007C4E8A"/>
    <w:rsid w:val="007C4FDE"/>
    <w:rsid w:val="007C5035"/>
    <w:rsid w:val="007C5083"/>
    <w:rsid w:val="007C523E"/>
    <w:rsid w:val="007C544C"/>
    <w:rsid w:val="007C557B"/>
    <w:rsid w:val="007C5C46"/>
    <w:rsid w:val="007C620C"/>
    <w:rsid w:val="007C64D6"/>
    <w:rsid w:val="007C6CDC"/>
    <w:rsid w:val="007C7013"/>
    <w:rsid w:val="007C7284"/>
    <w:rsid w:val="007C7F99"/>
    <w:rsid w:val="007D2534"/>
    <w:rsid w:val="007D2AC1"/>
    <w:rsid w:val="007D2BC5"/>
    <w:rsid w:val="007D2C77"/>
    <w:rsid w:val="007D3CDB"/>
    <w:rsid w:val="007D3E74"/>
    <w:rsid w:val="007D5AAD"/>
    <w:rsid w:val="007D5D27"/>
    <w:rsid w:val="007D724D"/>
    <w:rsid w:val="007D799E"/>
    <w:rsid w:val="007E0667"/>
    <w:rsid w:val="007E0B9C"/>
    <w:rsid w:val="007E192E"/>
    <w:rsid w:val="007E194A"/>
    <w:rsid w:val="007E1BAF"/>
    <w:rsid w:val="007E1BB6"/>
    <w:rsid w:val="007E1F6E"/>
    <w:rsid w:val="007E3389"/>
    <w:rsid w:val="007E3449"/>
    <w:rsid w:val="007E3F79"/>
    <w:rsid w:val="007E3FAB"/>
    <w:rsid w:val="007E40F8"/>
    <w:rsid w:val="007E453D"/>
    <w:rsid w:val="007E45FE"/>
    <w:rsid w:val="007E4EC2"/>
    <w:rsid w:val="007E527D"/>
    <w:rsid w:val="007E6489"/>
    <w:rsid w:val="007E6782"/>
    <w:rsid w:val="007E6841"/>
    <w:rsid w:val="007E6C24"/>
    <w:rsid w:val="007F0357"/>
    <w:rsid w:val="007F03DF"/>
    <w:rsid w:val="007F16D9"/>
    <w:rsid w:val="007F1C8F"/>
    <w:rsid w:val="007F312A"/>
    <w:rsid w:val="007F32D2"/>
    <w:rsid w:val="007F3403"/>
    <w:rsid w:val="007F378F"/>
    <w:rsid w:val="007F78DA"/>
    <w:rsid w:val="007F7DFD"/>
    <w:rsid w:val="007F7EF6"/>
    <w:rsid w:val="00801207"/>
    <w:rsid w:val="0080157E"/>
    <w:rsid w:val="00801657"/>
    <w:rsid w:val="008018D0"/>
    <w:rsid w:val="008021B2"/>
    <w:rsid w:val="008025C7"/>
    <w:rsid w:val="00802B88"/>
    <w:rsid w:val="00802BA2"/>
    <w:rsid w:val="00802ECD"/>
    <w:rsid w:val="008031C8"/>
    <w:rsid w:val="00803380"/>
    <w:rsid w:val="0080478A"/>
    <w:rsid w:val="0080480E"/>
    <w:rsid w:val="008062D7"/>
    <w:rsid w:val="00806692"/>
    <w:rsid w:val="008069C9"/>
    <w:rsid w:val="00807720"/>
    <w:rsid w:val="0081051A"/>
    <w:rsid w:val="008108C9"/>
    <w:rsid w:val="00810A3B"/>
    <w:rsid w:val="00811311"/>
    <w:rsid w:val="00811886"/>
    <w:rsid w:val="00811EF0"/>
    <w:rsid w:val="00811F22"/>
    <w:rsid w:val="00812DCE"/>
    <w:rsid w:val="00813012"/>
    <w:rsid w:val="00813161"/>
    <w:rsid w:val="0081471C"/>
    <w:rsid w:val="008150F1"/>
    <w:rsid w:val="00815ECB"/>
    <w:rsid w:val="00820EAD"/>
    <w:rsid w:val="0082267A"/>
    <w:rsid w:val="0082329E"/>
    <w:rsid w:val="0082489A"/>
    <w:rsid w:val="00824B2F"/>
    <w:rsid w:val="008254B7"/>
    <w:rsid w:val="008258C1"/>
    <w:rsid w:val="00825CEF"/>
    <w:rsid w:val="008265A9"/>
    <w:rsid w:val="0082679E"/>
    <w:rsid w:val="00827B15"/>
    <w:rsid w:val="00831C41"/>
    <w:rsid w:val="00831F1E"/>
    <w:rsid w:val="008325DB"/>
    <w:rsid w:val="00833756"/>
    <w:rsid w:val="008338E8"/>
    <w:rsid w:val="008339E8"/>
    <w:rsid w:val="00833DE1"/>
    <w:rsid w:val="00833EB9"/>
    <w:rsid w:val="008342B4"/>
    <w:rsid w:val="0083437A"/>
    <w:rsid w:val="00834576"/>
    <w:rsid w:val="008348DC"/>
    <w:rsid w:val="008352AE"/>
    <w:rsid w:val="008357C4"/>
    <w:rsid w:val="00835F16"/>
    <w:rsid w:val="00836085"/>
    <w:rsid w:val="008367A8"/>
    <w:rsid w:val="008374D7"/>
    <w:rsid w:val="00837D31"/>
    <w:rsid w:val="008407E6"/>
    <w:rsid w:val="00841281"/>
    <w:rsid w:val="00841DBC"/>
    <w:rsid w:val="00843B26"/>
    <w:rsid w:val="00843D5C"/>
    <w:rsid w:val="00844032"/>
    <w:rsid w:val="00844258"/>
    <w:rsid w:val="008445F5"/>
    <w:rsid w:val="00844EC1"/>
    <w:rsid w:val="00845044"/>
    <w:rsid w:val="00845757"/>
    <w:rsid w:val="00845874"/>
    <w:rsid w:val="008458BB"/>
    <w:rsid w:val="008471E5"/>
    <w:rsid w:val="00847834"/>
    <w:rsid w:val="00847A6A"/>
    <w:rsid w:val="00851EAD"/>
    <w:rsid w:val="00851FF9"/>
    <w:rsid w:val="00853191"/>
    <w:rsid w:val="00853C50"/>
    <w:rsid w:val="008541CD"/>
    <w:rsid w:val="00854358"/>
    <w:rsid w:val="00854E62"/>
    <w:rsid w:val="008552FD"/>
    <w:rsid w:val="00855CDA"/>
    <w:rsid w:val="00855E41"/>
    <w:rsid w:val="00856DEC"/>
    <w:rsid w:val="00862843"/>
    <w:rsid w:val="00863DE1"/>
    <w:rsid w:val="00863E66"/>
    <w:rsid w:val="00864131"/>
    <w:rsid w:val="00864669"/>
    <w:rsid w:val="00864B27"/>
    <w:rsid w:val="008656A9"/>
    <w:rsid w:val="0086624A"/>
    <w:rsid w:val="00866312"/>
    <w:rsid w:val="008664DC"/>
    <w:rsid w:val="0086657F"/>
    <w:rsid w:val="00870208"/>
    <w:rsid w:val="00870DBB"/>
    <w:rsid w:val="00871670"/>
    <w:rsid w:val="00871AA0"/>
    <w:rsid w:val="00871C3E"/>
    <w:rsid w:val="00871E6E"/>
    <w:rsid w:val="00874F10"/>
    <w:rsid w:val="00876F85"/>
    <w:rsid w:val="00877031"/>
    <w:rsid w:val="0087782E"/>
    <w:rsid w:val="008801C0"/>
    <w:rsid w:val="00880B15"/>
    <w:rsid w:val="00880D51"/>
    <w:rsid w:val="00880EBF"/>
    <w:rsid w:val="0088112E"/>
    <w:rsid w:val="00881289"/>
    <w:rsid w:val="0088140F"/>
    <w:rsid w:val="0088243E"/>
    <w:rsid w:val="00882EDE"/>
    <w:rsid w:val="0088317A"/>
    <w:rsid w:val="00883481"/>
    <w:rsid w:val="008838EA"/>
    <w:rsid w:val="00884050"/>
    <w:rsid w:val="0088473E"/>
    <w:rsid w:val="00884AD6"/>
    <w:rsid w:val="0088525E"/>
    <w:rsid w:val="0088612D"/>
    <w:rsid w:val="00886B19"/>
    <w:rsid w:val="008871C8"/>
    <w:rsid w:val="008905BF"/>
    <w:rsid w:val="00891559"/>
    <w:rsid w:val="00891A7C"/>
    <w:rsid w:val="00891BC1"/>
    <w:rsid w:val="00893475"/>
    <w:rsid w:val="0089373E"/>
    <w:rsid w:val="00894325"/>
    <w:rsid w:val="008943C7"/>
    <w:rsid w:val="00894418"/>
    <w:rsid w:val="0089442E"/>
    <w:rsid w:val="00894B8B"/>
    <w:rsid w:val="00894F4D"/>
    <w:rsid w:val="00895716"/>
    <w:rsid w:val="008967BB"/>
    <w:rsid w:val="008971A9"/>
    <w:rsid w:val="00897DC8"/>
    <w:rsid w:val="008A0243"/>
    <w:rsid w:val="008A2A5B"/>
    <w:rsid w:val="008A2BD2"/>
    <w:rsid w:val="008A3D02"/>
    <w:rsid w:val="008A4399"/>
    <w:rsid w:val="008A46F8"/>
    <w:rsid w:val="008A49C1"/>
    <w:rsid w:val="008A4CFC"/>
    <w:rsid w:val="008A5762"/>
    <w:rsid w:val="008A582D"/>
    <w:rsid w:val="008A5A8A"/>
    <w:rsid w:val="008A669B"/>
    <w:rsid w:val="008A6B41"/>
    <w:rsid w:val="008A721C"/>
    <w:rsid w:val="008A7B73"/>
    <w:rsid w:val="008B0BBB"/>
    <w:rsid w:val="008B0C9A"/>
    <w:rsid w:val="008B0D1A"/>
    <w:rsid w:val="008B0E3B"/>
    <w:rsid w:val="008B1305"/>
    <w:rsid w:val="008B22E5"/>
    <w:rsid w:val="008B22ED"/>
    <w:rsid w:val="008B3C73"/>
    <w:rsid w:val="008B432E"/>
    <w:rsid w:val="008B452A"/>
    <w:rsid w:val="008B5619"/>
    <w:rsid w:val="008B5B45"/>
    <w:rsid w:val="008B5CED"/>
    <w:rsid w:val="008B5EF0"/>
    <w:rsid w:val="008B7C4C"/>
    <w:rsid w:val="008C042A"/>
    <w:rsid w:val="008C0561"/>
    <w:rsid w:val="008C12D2"/>
    <w:rsid w:val="008C15B0"/>
    <w:rsid w:val="008C18CC"/>
    <w:rsid w:val="008C1C8D"/>
    <w:rsid w:val="008C2367"/>
    <w:rsid w:val="008C2CDE"/>
    <w:rsid w:val="008C37EA"/>
    <w:rsid w:val="008C6DBE"/>
    <w:rsid w:val="008C7851"/>
    <w:rsid w:val="008C7F7D"/>
    <w:rsid w:val="008D0403"/>
    <w:rsid w:val="008D0799"/>
    <w:rsid w:val="008D1B38"/>
    <w:rsid w:val="008D1DC7"/>
    <w:rsid w:val="008D26C5"/>
    <w:rsid w:val="008D2EAB"/>
    <w:rsid w:val="008D3384"/>
    <w:rsid w:val="008D34A1"/>
    <w:rsid w:val="008D4376"/>
    <w:rsid w:val="008D4390"/>
    <w:rsid w:val="008D5829"/>
    <w:rsid w:val="008D6D0F"/>
    <w:rsid w:val="008D7D3A"/>
    <w:rsid w:val="008D7EA9"/>
    <w:rsid w:val="008E04DF"/>
    <w:rsid w:val="008E0C37"/>
    <w:rsid w:val="008E17B6"/>
    <w:rsid w:val="008E18A9"/>
    <w:rsid w:val="008E1F59"/>
    <w:rsid w:val="008E3283"/>
    <w:rsid w:val="008E3593"/>
    <w:rsid w:val="008E4148"/>
    <w:rsid w:val="008E41E7"/>
    <w:rsid w:val="008E42BB"/>
    <w:rsid w:val="008E4625"/>
    <w:rsid w:val="008E47BB"/>
    <w:rsid w:val="008E4890"/>
    <w:rsid w:val="008E4BE0"/>
    <w:rsid w:val="008E52B8"/>
    <w:rsid w:val="008E53CC"/>
    <w:rsid w:val="008E5647"/>
    <w:rsid w:val="008E64C9"/>
    <w:rsid w:val="008E6532"/>
    <w:rsid w:val="008E6D19"/>
    <w:rsid w:val="008E734E"/>
    <w:rsid w:val="008F0B8B"/>
    <w:rsid w:val="008F1582"/>
    <w:rsid w:val="008F164D"/>
    <w:rsid w:val="008F1A84"/>
    <w:rsid w:val="008F24FA"/>
    <w:rsid w:val="008F3603"/>
    <w:rsid w:val="008F3A34"/>
    <w:rsid w:val="008F444A"/>
    <w:rsid w:val="008F4D87"/>
    <w:rsid w:val="008F6622"/>
    <w:rsid w:val="008F67FC"/>
    <w:rsid w:val="008F7072"/>
    <w:rsid w:val="008F77F7"/>
    <w:rsid w:val="0090041B"/>
    <w:rsid w:val="00900EB7"/>
    <w:rsid w:val="00902723"/>
    <w:rsid w:val="0090309A"/>
    <w:rsid w:val="00903114"/>
    <w:rsid w:val="00903117"/>
    <w:rsid w:val="0090311C"/>
    <w:rsid w:val="0090332F"/>
    <w:rsid w:val="00904097"/>
    <w:rsid w:val="0090458D"/>
    <w:rsid w:val="00904787"/>
    <w:rsid w:val="00905343"/>
    <w:rsid w:val="0090571B"/>
    <w:rsid w:val="00906D27"/>
    <w:rsid w:val="00906DEB"/>
    <w:rsid w:val="009071C3"/>
    <w:rsid w:val="00907698"/>
    <w:rsid w:val="00907F14"/>
    <w:rsid w:val="00910170"/>
    <w:rsid w:val="009109DA"/>
    <w:rsid w:val="009114A1"/>
    <w:rsid w:val="00911534"/>
    <w:rsid w:val="00911EF6"/>
    <w:rsid w:val="0091320B"/>
    <w:rsid w:val="0091374B"/>
    <w:rsid w:val="009145EA"/>
    <w:rsid w:val="00914885"/>
    <w:rsid w:val="00915807"/>
    <w:rsid w:val="00916912"/>
    <w:rsid w:val="00917351"/>
    <w:rsid w:val="00917F8F"/>
    <w:rsid w:val="00920221"/>
    <w:rsid w:val="009202B0"/>
    <w:rsid w:val="0092123F"/>
    <w:rsid w:val="00921585"/>
    <w:rsid w:val="00921632"/>
    <w:rsid w:val="00921B51"/>
    <w:rsid w:val="00921CA9"/>
    <w:rsid w:val="009225D3"/>
    <w:rsid w:val="009228C5"/>
    <w:rsid w:val="00923111"/>
    <w:rsid w:val="0092348B"/>
    <w:rsid w:val="009234BF"/>
    <w:rsid w:val="0092380E"/>
    <w:rsid w:val="009238A8"/>
    <w:rsid w:val="00923E9D"/>
    <w:rsid w:val="00923EBC"/>
    <w:rsid w:val="00924628"/>
    <w:rsid w:val="00924975"/>
    <w:rsid w:val="00924E16"/>
    <w:rsid w:val="00925155"/>
    <w:rsid w:val="00926167"/>
    <w:rsid w:val="00926C0E"/>
    <w:rsid w:val="00927F77"/>
    <w:rsid w:val="00927FCA"/>
    <w:rsid w:val="00930A0B"/>
    <w:rsid w:val="00930C02"/>
    <w:rsid w:val="00931B0F"/>
    <w:rsid w:val="00933EEB"/>
    <w:rsid w:val="00934C49"/>
    <w:rsid w:val="00934E6E"/>
    <w:rsid w:val="009362CA"/>
    <w:rsid w:val="009366D8"/>
    <w:rsid w:val="00937957"/>
    <w:rsid w:val="00937A65"/>
    <w:rsid w:val="009402C7"/>
    <w:rsid w:val="00940F65"/>
    <w:rsid w:val="00940F7F"/>
    <w:rsid w:val="00941231"/>
    <w:rsid w:val="00941657"/>
    <w:rsid w:val="009417DF"/>
    <w:rsid w:val="00942B12"/>
    <w:rsid w:val="009433B0"/>
    <w:rsid w:val="00943755"/>
    <w:rsid w:val="009437F3"/>
    <w:rsid w:val="00944008"/>
    <w:rsid w:val="009440F6"/>
    <w:rsid w:val="009459C8"/>
    <w:rsid w:val="00945C97"/>
    <w:rsid w:val="00946037"/>
    <w:rsid w:val="009465C5"/>
    <w:rsid w:val="00946E13"/>
    <w:rsid w:val="00947AAF"/>
    <w:rsid w:val="00947C02"/>
    <w:rsid w:val="009500FD"/>
    <w:rsid w:val="00950172"/>
    <w:rsid w:val="00950261"/>
    <w:rsid w:val="00950275"/>
    <w:rsid w:val="00950477"/>
    <w:rsid w:val="00950BF9"/>
    <w:rsid w:val="00951AD4"/>
    <w:rsid w:val="00952476"/>
    <w:rsid w:val="00952488"/>
    <w:rsid w:val="00952FE8"/>
    <w:rsid w:val="0095378B"/>
    <w:rsid w:val="009538E3"/>
    <w:rsid w:val="009540D0"/>
    <w:rsid w:val="00954C3E"/>
    <w:rsid w:val="009551D9"/>
    <w:rsid w:val="00955239"/>
    <w:rsid w:val="00955C2B"/>
    <w:rsid w:val="00956756"/>
    <w:rsid w:val="0095722D"/>
    <w:rsid w:val="009604DC"/>
    <w:rsid w:val="00960B5D"/>
    <w:rsid w:val="00960B98"/>
    <w:rsid w:val="009612AC"/>
    <w:rsid w:val="009612FA"/>
    <w:rsid w:val="00961729"/>
    <w:rsid w:val="0096172F"/>
    <w:rsid w:val="009619CB"/>
    <w:rsid w:val="0096219C"/>
    <w:rsid w:val="00963C6A"/>
    <w:rsid w:val="00964022"/>
    <w:rsid w:val="00964D40"/>
    <w:rsid w:val="00964F93"/>
    <w:rsid w:val="00965111"/>
    <w:rsid w:val="0096659C"/>
    <w:rsid w:val="00966992"/>
    <w:rsid w:val="00966BAF"/>
    <w:rsid w:val="00967601"/>
    <w:rsid w:val="0097051E"/>
    <w:rsid w:val="00971D7A"/>
    <w:rsid w:val="009722F6"/>
    <w:rsid w:val="0097388D"/>
    <w:rsid w:val="00973A3B"/>
    <w:rsid w:val="009742DC"/>
    <w:rsid w:val="009745FC"/>
    <w:rsid w:val="00974756"/>
    <w:rsid w:val="00974830"/>
    <w:rsid w:val="00974945"/>
    <w:rsid w:val="00974C81"/>
    <w:rsid w:val="00974EFC"/>
    <w:rsid w:val="00975C6D"/>
    <w:rsid w:val="00975C9B"/>
    <w:rsid w:val="00977219"/>
    <w:rsid w:val="009807F7"/>
    <w:rsid w:val="009808E8"/>
    <w:rsid w:val="009809B6"/>
    <w:rsid w:val="00980D76"/>
    <w:rsid w:val="00980E67"/>
    <w:rsid w:val="00981701"/>
    <w:rsid w:val="00981DAB"/>
    <w:rsid w:val="00981FB5"/>
    <w:rsid w:val="0098246C"/>
    <w:rsid w:val="00984AD1"/>
    <w:rsid w:val="00985F65"/>
    <w:rsid w:val="00990151"/>
    <w:rsid w:val="00990277"/>
    <w:rsid w:val="009906FD"/>
    <w:rsid w:val="0099171E"/>
    <w:rsid w:val="00991E2E"/>
    <w:rsid w:val="0099291B"/>
    <w:rsid w:val="009929DD"/>
    <w:rsid w:val="00994A58"/>
    <w:rsid w:val="00994AA7"/>
    <w:rsid w:val="00994F30"/>
    <w:rsid w:val="009951D2"/>
    <w:rsid w:val="009955B2"/>
    <w:rsid w:val="009956D6"/>
    <w:rsid w:val="00995E04"/>
    <w:rsid w:val="00995E82"/>
    <w:rsid w:val="00995E95"/>
    <w:rsid w:val="009962DA"/>
    <w:rsid w:val="0099784D"/>
    <w:rsid w:val="009A143B"/>
    <w:rsid w:val="009A1614"/>
    <w:rsid w:val="009A1A86"/>
    <w:rsid w:val="009A2183"/>
    <w:rsid w:val="009A2543"/>
    <w:rsid w:val="009A2741"/>
    <w:rsid w:val="009A28DA"/>
    <w:rsid w:val="009A3D73"/>
    <w:rsid w:val="009A4271"/>
    <w:rsid w:val="009A5207"/>
    <w:rsid w:val="009A550D"/>
    <w:rsid w:val="009A6CC1"/>
    <w:rsid w:val="009A7DF1"/>
    <w:rsid w:val="009B0703"/>
    <w:rsid w:val="009B07DE"/>
    <w:rsid w:val="009B0CBF"/>
    <w:rsid w:val="009B1827"/>
    <w:rsid w:val="009B1904"/>
    <w:rsid w:val="009B1D0C"/>
    <w:rsid w:val="009B1D95"/>
    <w:rsid w:val="009B27EF"/>
    <w:rsid w:val="009B2B91"/>
    <w:rsid w:val="009B315D"/>
    <w:rsid w:val="009B4082"/>
    <w:rsid w:val="009B442C"/>
    <w:rsid w:val="009B475F"/>
    <w:rsid w:val="009B5085"/>
    <w:rsid w:val="009B5662"/>
    <w:rsid w:val="009B57A7"/>
    <w:rsid w:val="009B679E"/>
    <w:rsid w:val="009B7115"/>
    <w:rsid w:val="009B7E80"/>
    <w:rsid w:val="009C043E"/>
    <w:rsid w:val="009C0F8F"/>
    <w:rsid w:val="009C1975"/>
    <w:rsid w:val="009C1D27"/>
    <w:rsid w:val="009C24A3"/>
    <w:rsid w:val="009C2FCB"/>
    <w:rsid w:val="009C402F"/>
    <w:rsid w:val="009C41F2"/>
    <w:rsid w:val="009C4D0F"/>
    <w:rsid w:val="009C5084"/>
    <w:rsid w:val="009C57F6"/>
    <w:rsid w:val="009C57FB"/>
    <w:rsid w:val="009C5DD7"/>
    <w:rsid w:val="009C662A"/>
    <w:rsid w:val="009C7264"/>
    <w:rsid w:val="009C74FD"/>
    <w:rsid w:val="009C76FB"/>
    <w:rsid w:val="009C78F2"/>
    <w:rsid w:val="009C7A93"/>
    <w:rsid w:val="009C7FB1"/>
    <w:rsid w:val="009D038E"/>
    <w:rsid w:val="009D08EA"/>
    <w:rsid w:val="009D1188"/>
    <w:rsid w:val="009D1390"/>
    <w:rsid w:val="009D1829"/>
    <w:rsid w:val="009D200A"/>
    <w:rsid w:val="009D20D5"/>
    <w:rsid w:val="009D25A7"/>
    <w:rsid w:val="009D26F1"/>
    <w:rsid w:val="009D26FF"/>
    <w:rsid w:val="009D27D5"/>
    <w:rsid w:val="009D2C78"/>
    <w:rsid w:val="009D330B"/>
    <w:rsid w:val="009D38E1"/>
    <w:rsid w:val="009D3BB7"/>
    <w:rsid w:val="009D6C2A"/>
    <w:rsid w:val="009D7103"/>
    <w:rsid w:val="009D7BBF"/>
    <w:rsid w:val="009E0297"/>
    <w:rsid w:val="009E16E2"/>
    <w:rsid w:val="009E211E"/>
    <w:rsid w:val="009E28FF"/>
    <w:rsid w:val="009E3114"/>
    <w:rsid w:val="009E3250"/>
    <w:rsid w:val="009E3840"/>
    <w:rsid w:val="009E4160"/>
    <w:rsid w:val="009E4957"/>
    <w:rsid w:val="009E4A65"/>
    <w:rsid w:val="009E5192"/>
    <w:rsid w:val="009E5300"/>
    <w:rsid w:val="009E57BD"/>
    <w:rsid w:val="009E5944"/>
    <w:rsid w:val="009E5FF3"/>
    <w:rsid w:val="009E607C"/>
    <w:rsid w:val="009E6477"/>
    <w:rsid w:val="009E6B0F"/>
    <w:rsid w:val="009E6F85"/>
    <w:rsid w:val="009E734E"/>
    <w:rsid w:val="009F07D3"/>
    <w:rsid w:val="009F0806"/>
    <w:rsid w:val="009F0C02"/>
    <w:rsid w:val="009F0D68"/>
    <w:rsid w:val="009F1194"/>
    <w:rsid w:val="009F2859"/>
    <w:rsid w:val="009F2C89"/>
    <w:rsid w:val="009F2FB3"/>
    <w:rsid w:val="009F39D0"/>
    <w:rsid w:val="009F3ACB"/>
    <w:rsid w:val="009F420A"/>
    <w:rsid w:val="009F46CB"/>
    <w:rsid w:val="009F52C6"/>
    <w:rsid w:val="009F54B0"/>
    <w:rsid w:val="009F5F31"/>
    <w:rsid w:val="009F6065"/>
    <w:rsid w:val="009F7693"/>
    <w:rsid w:val="009F7E1E"/>
    <w:rsid w:val="00A00D5C"/>
    <w:rsid w:val="00A01074"/>
    <w:rsid w:val="00A01397"/>
    <w:rsid w:val="00A0144D"/>
    <w:rsid w:val="00A01500"/>
    <w:rsid w:val="00A01853"/>
    <w:rsid w:val="00A01FDF"/>
    <w:rsid w:val="00A02460"/>
    <w:rsid w:val="00A02E24"/>
    <w:rsid w:val="00A03927"/>
    <w:rsid w:val="00A04257"/>
    <w:rsid w:val="00A04387"/>
    <w:rsid w:val="00A0478F"/>
    <w:rsid w:val="00A04F53"/>
    <w:rsid w:val="00A053FB"/>
    <w:rsid w:val="00A05AB5"/>
    <w:rsid w:val="00A0667B"/>
    <w:rsid w:val="00A07A6F"/>
    <w:rsid w:val="00A103AB"/>
    <w:rsid w:val="00A10624"/>
    <w:rsid w:val="00A10F0C"/>
    <w:rsid w:val="00A10F5A"/>
    <w:rsid w:val="00A114ED"/>
    <w:rsid w:val="00A1262F"/>
    <w:rsid w:val="00A13883"/>
    <w:rsid w:val="00A14323"/>
    <w:rsid w:val="00A14332"/>
    <w:rsid w:val="00A15224"/>
    <w:rsid w:val="00A152A1"/>
    <w:rsid w:val="00A154CE"/>
    <w:rsid w:val="00A15924"/>
    <w:rsid w:val="00A15B68"/>
    <w:rsid w:val="00A1650B"/>
    <w:rsid w:val="00A16EAF"/>
    <w:rsid w:val="00A16FBF"/>
    <w:rsid w:val="00A172F7"/>
    <w:rsid w:val="00A17C6B"/>
    <w:rsid w:val="00A17D35"/>
    <w:rsid w:val="00A204CB"/>
    <w:rsid w:val="00A20DC2"/>
    <w:rsid w:val="00A20F55"/>
    <w:rsid w:val="00A21CAE"/>
    <w:rsid w:val="00A220AA"/>
    <w:rsid w:val="00A220DB"/>
    <w:rsid w:val="00A22AB2"/>
    <w:rsid w:val="00A22DE6"/>
    <w:rsid w:val="00A23840"/>
    <w:rsid w:val="00A24627"/>
    <w:rsid w:val="00A24B9D"/>
    <w:rsid w:val="00A24F66"/>
    <w:rsid w:val="00A24FB1"/>
    <w:rsid w:val="00A260DF"/>
    <w:rsid w:val="00A260F4"/>
    <w:rsid w:val="00A2621C"/>
    <w:rsid w:val="00A262C9"/>
    <w:rsid w:val="00A26574"/>
    <w:rsid w:val="00A26D1C"/>
    <w:rsid w:val="00A27E8A"/>
    <w:rsid w:val="00A305D0"/>
    <w:rsid w:val="00A31836"/>
    <w:rsid w:val="00A3258D"/>
    <w:rsid w:val="00A3288B"/>
    <w:rsid w:val="00A32A94"/>
    <w:rsid w:val="00A33DB9"/>
    <w:rsid w:val="00A348D4"/>
    <w:rsid w:val="00A359FC"/>
    <w:rsid w:val="00A3601D"/>
    <w:rsid w:val="00A36B17"/>
    <w:rsid w:val="00A36E84"/>
    <w:rsid w:val="00A37011"/>
    <w:rsid w:val="00A37645"/>
    <w:rsid w:val="00A3775F"/>
    <w:rsid w:val="00A379DE"/>
    <w:rsid w:val="00A40380"/>
    <w:rsid w:val="00A40C08"/>
    <w:rsid w:val="00A4106B"/>
    <w:rsid w:val="00A410E2"/>
    <w:rsid w:val="00A41A36"/>
    <w:rsid w:val="00A41CFC"/>
    <w:rsid w:val="00A42F78"/>
    <w:rsid w:val="00A4397B"/>
    <w:rsid w:val="00A44050"/>
    <w:rsid w:val="00A450AD"/>
    <w:rsid w:val="00A45C0C"/>
    <w:rsid w:val="00A460F8"/>
    <w:rsid w:val="00A46773"/>
    <w:rsid w:val="00A46D09"/>
    <w:rsid w:val="00A47621"/>
    <w:rsid w:val="00A47E6D"/>
    <w:rsid w:val="00A50009"/>
    <w:rsid w:val="00A50A10"/>
    <w:rsid w:val="00A51353"/>
    <w:rsid w:val="00A52D74"/>
    <w:rsid w:val="00A53FB8"/>
    <w:rsid w:val="00A53FC5"/>
    <w:rsid w:val="00A54211"/>
    <w:rsid w:val="00A54283"/>
    <w:rsid w:val="00A54415"/>
    <w:rsid w:val="00A545B3"/>
    <w:rsid w:val="00A5474E"/>
    <w:rsid w:val="00A553FC"/>
    <w:rsid w:val="00A55CF0"/>
    <w:rsid w:val="00A56D4C"/>
    <w:rsid w:val="00A56D99"/>
    <w:rsid w:val="00A5712E"/>
    <w:rsid w:val="00A57938"/>
    <w:rsid w:val="00A605C1"/>
    <w:rsid w:val="00A615BB"/>
    <w:rsid w:val="00A61D31"/>
    <w:rsid w:val="00A61E88"/>
    <w:rsid w:val="00A62350"/>
    <w:rsid w:val="00A632AD"/>
    <w:rsid w:val="00A63E15"/>
    <w:rsid w:val="00A64437"/>
    <w:rsid w:val="00A64E4F"/>
    <w:rsid w:val="00A650B1"/>
    <w:rsid w:val="00A65387"/>
    <w:rsid w:val="00A662C6"/>
    <w:rsid w:val="00A663F1"/>
    <w:rsid w:val="00A66F55"/>
    <w:rsid w:val="00A67471"/>
    <w:rsid w:val="00A6788D"/>
    <w:rsid w:val="00A67A02"/>
    <w:rsid w:val="00A67F33"/>
    <w:rsid w:val="00A70820"/>
    <w:rsid w:val="00A70924"/>
    <w:rsid w:val="00A715BB"/>
    <w:rsid w:val="00A71E50"/>
    <w:rsid w:val="00A71EEC"/>
    <w:rsid w:val="00A71EF1"/>
    <w:rsid w:val="00A7329E"/>
    <w:rsid w:val="00A732C5"/>
    <w:rsid w:val="00A74459"/>
    <w:rsid w:val="00A749CC"/>
    <w:rsid w:val="00A74D9D"/>
    <w:rsid w:val="00A762C8"/>
    <w:rsid w:val="00A767BA"/>
    <w:rsid w:val="00A77046"/>
    <w:rsid w:val="00A775F0"/>
    <w:rsid w:val="00A778AA"/>
    <w:rsid w:val="00A77E52"/>
    <w:rsid w:val="00A804AF"/>
    <w:rsid w:val="00A8081F"/>
    <w:rsid w:val="00A80A09"/>
    <w:rsid w:val="00A80B51"/>
    <w:rsid w:val="00A81248"/>
    <w:rsid w:val="00A81368"/>
    <w:rsid w:val="00A81A30"/>
    <w:rsid w:val="00A81EAE"/>
    <w:rsid w:val="00A821B8"/>
    <w:rsid w:val="00A82321"/>
    <w:rsid w:val="00A82551"/>
    <w:rsid w:val="00A827FA"/>
    <w:rsid w:val="00A82A7F"/>
    <w:rsid w:val="00A835AB"/>
    <w:rsid w:val="00A8383A"/>
    <w:rsid w:val="00A8421A"/>
    <w:rsid w:val="00A844E5"/>
    <w:rsid w:val="00A847E4"/>
    <w:rsid w:val="00A849C0"/>
    <w:rsid w:val="00A84D43"/>
    <w:rsid w:val="00A84E63"/>
    <w:rsid w:val="00A8543F"/>
    <w:rsid w:val="00A85BE1"/>
    <w:rsid w:val="00A85E51"/>
    <w:rsid w:val="00A86034"/>
    <w:rsid w:val="00A87242"/>
    <w:rsid w:val="00A875BD"/>
    <w:rsid w:val="00A875ED"/>
    <w:rsid w:val="00A877CB"/>
    <w:rsid w:val="00A91671"/>
    <w:rsid w:val="00A9180B"/>
    <w:rsid w:val="00A91894"/>
    <w:rsid w:val="00A921D4"/>
    <w:rsid w:val="00A928FC"/>
    <w:rsid w:val="00A931E5"/>
    <w:rsid w:val="00A94435"/>
    <w:rsid w:val="00A94C4A"/>
    <w:rsid w:val="00A9556E"/>
    <w:rsid w:val="00A95F41"/>
    <w:rsid w:val="00A962FE"/>
    <w:rsid w:val="00A97777"/>
    <w:rsid w:val="00AA1A50"/>
    <w:rsid w:val="00AA2108"/>
    <w:rsid w:val="00AA2E1C"/>
    <w:rsid w:val="00AA39B8"/>
    <w:rsid w:val="00AA3D23"/>
    <w:rsid w:val="00AA438A"/>
    <w:rsid w:val="00AA521F"/>
    <w:rsid w:val="00AA5284"/>
    <w:rsid w:val="00AA58D8"/>
    <w:rsid w:val="00AA5A66"/>
    <w:rsid w:val="00AA6793"/>
    <w:rsid w:val="00AA6E5D"/>
    <w:rsid w:val="00AA761F"/>
    <w:rsid w:val="00AA7D7E"/>
    <w:rsid w:val="00AB0BED"/>
    <w:rsid w:val="00AB119F"/>
    <w:rsid w:val="00AB139F"/>
    <w:rsid w:val="00AB2E10"/>
    <w:rsid w:val="00AB3C77"/>
    <w:rsid w:val="00AB4288"/>
    <w:rsid w:val="00AB478D"/>
    <w:rsid w:val="00AB50A4"/>
    <w:rsid w:val="00AB5C6B"/>
    <w:rsid w:val="00AB6405"/>
    <w:rsid w:val="00AB6F54"/>
    <w:rsid w:val="00AB7D91"/>
    <w:rsid w:val="00AC013A"/>
    <w:rsid w:val="00AC0660"/>
    <w:rsid w:val="00AC0841"/>
    <w:rsid w:val="00AC2612"/>
    <w:rsid w:val="00AC2995"/>
    <w:rsid w:val="00AC2EF4"/>
    <w:rsid w:val="00AC367B"/>
    <w:rsid w:val="00AC3C74"/>
    <w:rsid w:val="00AC3EEF"/>
    <w:rsid w:val="00AC47D9"/>
    <w:rsid w:val="00AC53F6"/>
    <w:rsid w:val="00AC5E5A"/>
    <w:rsid w:val="00AC6B84"/>
    <w:rsid w:val="00AC6D12"/>
    <w:rsid w:val="00AC7443"/>
    <w:rsid w:val="00AC7851"/>
    <w:rsid w:val="00AC7930"/>
    <w:rsid w:val="00AC7F2F"/>
    <w:rsid w:val="00AD0D26"/>
    <w:rsid w:val="00AD21D3"/>
    <w:rsid w:val="00AD3D98"/>
    <w:rsid w:val="00AD4586"/>
    <w:rsid w:val="00AD4926"/>
    <w:rsid w:val="00AD5D20"/>
    <w:rsid w:val="00AD6624"/>
    <w:rsid w:val="00AD69D5"/>
    <w:rsid w:val="00AD6F0C"/>
    <w:rsid w:val="00AD74E6"/>
    <w:rsid w:val="00AE045D"/>
    <w:rsid w:val="00AE04F0"/>
    <w:rsid w:val="00AE0573"/>
    <w:rsid w:val="00AE06BC"/>
    <w:rsid w:val="00AE083B"/>
    <w:rsid w:val="00AE0A29"/>
    <w:rsid w:val="00AE1258"/>
    <w:rsid w:val="00AE2116"/>
    <w:rsid w:val="00AE21D4"/>
    <w:rsid w:val="00AE23D7"/>
    <w:rsid w:val="00AE244F"/>
    <w:rsid w:val="00AE28BD"/>
    <w:rsid w:val="00AE2DDE"/>
    <w:rsid w:val="00AE2EB4"/>
    <w:rsid w:val="00AE2F1E"/>
    <w:rsid w:val="00AE3D91"/>
    <w:rsid w:val="00AE45D2"/>
    <w:rsid w:val="00AE50D0"/>
    <w:rsid w:val="00AE523E"/>
    <w:rsid w:val="00AE54E9"/>
    <w:rsid w:val="00AE61E1"/>
    <w:rsid w:val="00AE6250"/>
    <w:rsid w:val="00AE62A2"/>
    <w:rsid w:val="00AE7643"/>
    <w:rsid w:val="00AE764D"/>
    <w:rsid w:val="00AF137F"/>
    <w:rsid w:val="00AF17AB"/>
    <w:rsid w:val="00AF1A47"/>
    <w:rsid w:val="00AF2F43"/>
    <w:rsid w:val="00AF2F6F"/>
    <w:rsid w:val="00AF3FC9"/>
    <w:rsid w:val="00AF5284"/>
    <w:rsid w:val="00AF55CD"/>
    <w:rsid w:val="00AF5D0D"/>
    <w:rsid w:val="00AF5FB8"/>
    <w:rsid w:val="00AF6894"/>
    <w:rsid w:val="00AF7C21"/>
    <w:rsid w:val="00B000FF"/>
    <w:rsid w:val="00B0129E"/>
    <w:rsid w:val="00B013B1"/>
    <w:rsid w:val="00B01535"/>
    <w:rsid w:val="00B02450"/>
    <w:rsid w:val="00B030DF"/>
    <w:rsid w:val="00B031B8"/>
    <w:rsid w:val="00B04CAC"/>
    <w:rsid w:val="00B054AE"/>
    <w:rsid w:val="00B05701"/>
    <w:rsid w:val="00B05A8A"/>
    <w:rsid w:val="00B060DB"/>
    <w:rsid w:val="00B06FC5"/>
    <w:rsid w:val="00B11410"/>
    <w:rsid w:val="00B11434"/>
    <w:rsid w:val="00B11784"/>
    <w:rsid w:val="00B132BD"/>
    <w:rsid w:val="00B1384E"/>
    <w:rsid w:val="00B150A3"/>
    <w:rsid w:val="00B15459"/>
    <w:rsid w:val="00B15DFF"/>
    <w:rsid w:val="00B15F4C"/>
    <w:rsid w:val="00B16223"/>
    <w:rsid w:val="00B16670"/>
    <w:rsid w:val="00B16C8A"/>
    <w:rsid w:val="00B16E3B"/>
    <w:rsid w:val="00B1716C"/>
    <w:rsid w:val="00B1737A"/>
    <w:rsid w:val="00B17928"/>
    <w:rsid w:val="00B20036"/>
    <w:rsid w:val="00B21245"/>
    <w:rsid w:val="00B221BD"/>
    <w:rsid w:val="00B23FE9"/>
    <w:rsid w:val="00B2496F"/>
    <w:rsid w:val="00B2544F"/>
    <w:rsid w:val="00B25966"/>
    <w:rsid w:val="00B26FC8"/>
    <w:rsid w:val="00B2720A"/>
    <w:rsid w:val="00B30381"/>
    <w:rsid w:val="00B30F9F"/>
    <w:rsid w:val="00B31238"/>
    <w:rsid w:val="00B31C4B"/>
    <w:rsid w:val="00B323E9"/>
    <w:rsid w:val="00B33101"/>
    <w:rsid w:val="00B3346A"/>
    <w:rsid w:val="00B33546"/>
    <w:rsid w:val="00B337D0"/>
    <w:rsid w:val="00B34287"/>
    <w:rsid w:val="00B34774"/>
    <w:rsid w:val="00B349C6"/>
    <w:rsid w:val="00B35486"/>
    <w:rsid w:val="00B35ABB"/>
    <w:rsid w:val="00B35F5E"/>
    <w:rsid w:val="00B3662D"/>
    <w:rsid w:val="00B36747"/>
    <w:rsid w:val="00B368C8"/>
    <w:rsid w:val="00B36989"/>
    <w:rsid w:val="00B36FB7"/>
    <w:rsid w:val="00B36FD7"/>
    <w:rsid w:val="00B37788"/>
    <w:rsid w:val="00B40647"/>
    <w:rsid w:val="00B4089A"/>
    <w:rsid w:val="00B41A7A"/>
    <w:rsid w:val="00B42161"/>
    <w:rsid w:val="00B42599"/>
    <w:rsid w:val="00B42A45"/>
    <w:rsid w:val="00B433BC"/>
    <w:rsid w:val="00B43991"/>
    <w:rsid w:val="00B43F56"/>
    <w:rsid w:val="00B444B2"/>
    <w:rsid w:val="00B44FBD"/>
    <w:rsid w:val="00B459E1"/>
    <w:rsid w:val="00B46371"/>
    <w:rsid w:val="00B46394"/>
    <w:rsid w:val="00B47615"/>
    <w:rsid w:val="00B47A4A"/>
    <w:rsid w:val="00B505EC"/>
    <w:rsid w:val="00B507DB"/>
    <w:rsid w:val="00B51273"/>
    <w:rsid w:val="00B52923"/>
    <w:rsid w:val="00B52E41"/>
    <w:rsid w:val="00B53508"/>
    <w:rsid w:val="00B53633"/>
    <w:rsid w:val="00B53E2A"/>
    <w:rsid w:val="00B53ED0"/>
    <w:rsid w:val="00B551BD"/>
    <w:rsid w:val="00B55400"/>
    <w:rsid w:val="00B557A6"/>
    <w:rsid w:val="00B56A5A"/>
    <w:rsid w:val="00B570F7"/>
    <w:rsid w:val="00B57171"/>
    <w:rsid w:val="00B602A0"/>
    <w:rsid w:val="00B60F86"/>
    <w:rsid w:val="00B62A3B"/>
    <w:rsid w:val="00B634A7"/>
    <w:rsid w:val="00B6384C"/>
    <w:rsid w:val="00B641E3"/>
    <w:rsid w:val="00B6469C"/>
    <w:rsid w:val="00B64867"/>
    <w:rsid w:val="00B64A69"/>
    <w:rsid w:val="00B66274"/>
    <w:rsid w:val="00B66953"/>
    <w:rsid w:val="00B66B78"/>
    <w:rsid w:val="00B66FF6"/>
    <w:rsid w:val="00B671CC"/>
    <w:rsid w:val="00B674C1"/>
    <w:rsid w:val="00B67B89"/>
    <w:rsid w:val="00B702C2"/>
    <w:rsid w:val="00B70C42"/>
    <w:rsid w:val="00B71273"/>
    <w:rsid w:val="00B71442"/>
    <w:rsid w:val="00B71A7D"/>
    <w:rsid w:val="00B72ADB"/>
    <w:rsid w:val="00B730D4"/>
    <w:rsid w:val="00B735AC"/>
    <w:rsid w:val="00B73E69"/>
    <w:rsid w:val="00B744D3"/>
    <w:rsid w:val="00B75534"/>
    <w:rsid w:val="00B76454"/>
    <w:rsid w:val="00B767E4"/>
    <w:rsid w:val="00B76CC5"/>
    <w:rsid w:val="00B76D8A"/>
    <w:rsid w:val="00B7795E"/>
    <w:rsid w:val="00B77CA1"/>
    <w:rsid w:val="00B80045"/>
    <w:rsid w:val="00B801B6"/>
    <w:rsid w:val="00B80C5F"/>
    <w:rsid w:val="00B8136E"/>
    <w:rsid w:val="00B81385"/>
    <w:rsid w:val="00B8173A"/>
    <w:rsid w:val="00B82603"/>
    <w:rsid w:val="00B82D9D"/>
    <w:rsid w:val="00B83DC5"/>
    <w:rsid w:val="00B841B9"/>
    <w:rsid w:val="00B85354"/>
    <w:rsid w:val="00B85447"/>
    <w:rsid w:val="00B86B1B"/>
    <w:rsid w:val="00B86BB8"/>
    <w:rsid w:val="00B86DBF"/>
    <w:rsid w:val="00B8745B"/>
    <w:rsid w:val="00B8754B"/>
    <w:rsid w:val="00B90046"/>
    <w:rsid w:val="00B9019A"/>
    <w:rsid w:val="00B9056C"/>
    <w:rsid w:val="00B9138A"/>
    <w:rsid w:val="00B9156D"/>
    <w:rsid w:val="00B91A70"/>
    <w:rsid w:val="00B939C8"/>
    <w:rsid w:val="00B94555"/>
    <w:rsid w:val="00B946F1"/>
    <w:rsid w:val="00B94BB1"/>
    <w:rsid w:val="00B959F0"/>
    <w:rsid w:val="00B961C4"/>
    <w:rsid w:val="00B97462"/>
    <w:rsid w:val="00B97534"/>
    <w:rsid w:val="00B97E3F"/>
    <w:rsid w:val="00BA26D2"/>
    <w:rsid w:val="00BA33D7"/>
    <w:rsid w:val="00BA369F"/>
    <w:rsid w:val="00BA436E"/>
    <w:rsid w:val="00BA4B3C"/>
    <w:rsid w:val="00BA5A49"/>
    <w:rsid w:val="00BA5B50"/>
    <w:rsid w:val="00BA5BAA"/>
    <w:rsid w:val="00BA5CD5"/>
    <w:rsid w:val="00BB06C6"/>
    <w:rsid w:val="00BB0C69"/>
    <w:rsid w:val="00BB1CB5"/>
    <w:rsid w:val="00BB1E8D"/>
    <w:rsid w:val="00BB1F8A"/>
    <w:rsid w:val="00BB2467"/>
    <w:rsid w:val="00BB2935"/>
    <w:rsid w:val="00BB36DC"/>
    <w:rsid w:val="00BB3D5B"/>
    <w:rsid w:val="00BB3D6A"/>
    <w:rsid w:val="00BB3E41"/>
    <w:rsid w:val="00BB4497"/>
    <w:rsid w:val="00BB4689"/>
    <w:rsid w:val="00BB61B5"/>
    <w:rsid w:val="00BB6707"/>
    <w:rsid w:val="00BB7408"/>
    <w:rsid w:val="00BB7BA9"/>
    <w:rsid w:val="00BC0406"/>
    <w:rsid w:val="00BC1BAD"/>
    <w:rsid w:val="00BC1F69"/>
    <w:rsid w:val="00BC1FF3"/>
    <w:rsid w:val="00BC41C3"/>
    <w:rsid w:val="00BC511B"/>
    <w:rsid w:val="00BC5220"/>
    <w:rsid w:val="00BC5477"/>
    <w:rsid w:val="00BC5D37"/>
    <w:rsid w:val="00BC6685"/>
    <w:rsid w:val="00BC6B9F"/>
    <w:rsid w:val="00BD02B1"/>
    <w:rsid w:val="00BD1A30"/>
    <w:rsid w:val="00BD22C1"/>
    <w:rsid w:val="00BD24BF"/>
    <w:rsid w:val="00BD2656"/>
    <w:rsid w:val="00BD2B63"/>
    <w:rsid w:val="00BD2ED8"/>
    <w:rsid w:val="00BD4718"/>
    <w:rsid w:val="00BD47ED"/>
    <w:rsid w:val="00BD4C5B"/>
    <w:rsid w:val="00BD61AD"/>
    <w:rsid w:val="00BD61F8"/>
    <w:rsid w:val="00BD63AF"/>
    <w:rsid w:val="00BD6953"/>
    <w:rsid w:val="00BD7127"/>
    <w:rsid w:val="00BE0B85"/>
    <w:rsid w:val="00BE0C0B"/>
    <w:rsid w:val="00BE1126"/>
    <w:rsid w:val="00BE1CA5"/>
    <w:rsid w:val="00BE1E28"/>
    <w:rsid w:val="00BE2668"/>
    <w:rsid w:val="00BE2803"/>
    <w:rsid w:val="00BE2BCF"/>
    <w:rsid w:val="00BE3075"/>
    <w:rsid w:val="00BE37B5"/>
    <w:rsid w:val="00BE4A40"/>
    <w:rsid w:val="00BE4D93"/>
    <w:rsid w:val="00BE4F6A"/>
    <w:rsid w:val="00BE73A7"/>
    <w:rsid w:val="00BF0411"/>
    <w:rsid w:val="00BF1344"/>
    <w:rsid w:val="00BF25AA"/>
    <w:rsid w:val="00BF26C0"/>
    <w:rsid w:val="00BF4D88"/>
    <w:rsid w:val="00BF641C"/>
    <w:rsid w:val="00BF770F"/>
    <w:rsid w:val="00BF7AC4"/>
    <w:rsid w:val="00BF7DB2"/>
    <w:rsid w:val="00C00724"/>
    <w:rsid w:val="00C00F2A"/>
    <w:rsid w:val="00C0232A"/>
    <w:rsid w:val="00C03437"/>
    <w:rsid w:val="00C0345A"/>
    <w:rsid w:val="00C03E20"/>
    <w:rsid w:val="00C03E70"/>
    <w:rsid w:val="00C04155"/>
    <w:rsid w:val="00C04415"/>
    <w:rsid w:val="00C053E9"/>
    <w:rsid w:val="00C06623"/>
    <w:rsid w:val="00C067CE"/>
    <w:rsid w:val="00C06C6F"/>
    <w:rsid w:val="00C0712F"/>
    <w:rsid w:val="00C07180"/>
    <w:rsid w:val="00C07B32"/>
    <w:rsid w:val="00C07C8B"/>
    <w:rsid w:val="00C07DC0"/>
    <w:rsid w:val="00C10020"/>
    <w:rsid w:val="00C10F1F"/>
    <w:rsid w:val="00C11080"/>
    <w:rsid w:val="00C11184"/>
    <w:rsid w:val="00C111C3"/>
    <w:rsid w:val="00C1187A"/>
    <w:rsid w:val="00C133D0"/>
    <w:rsid w:val="00C13D1D"/>
    <w:rsid w:val="00C141C8"/>
    <w:rsid w:val="00C14231"/>
    <w:rsid w:val="00C146D2"/>
    <w:rsid w:val="00C14758"/>
    <w:rsid w:val="00C14762"/>
    <w:rsid w:val="00C14A25"/>
    <w:rsid w:val="00C14AF2"/>
    <w:rsid w:val="00C15485"/>
    <w:rsid w:val="00C15FDD"/>
    <w:rsid w:val="00C16373"/>
    <w:rsid w:val="00C1748F"/>
    <w:rsid w:val="00C17AD7"/>
    <w:rsid w:val="00C17E1F"/>
    <w:rsid w:val="00C20F20"/>
    <w:rsid w:val="00C2109F"/>
    <w:rsid w:val="00C210F1"/>
    <w:rsid w:val="00C2132C"/>
    <w:rsid w:val="00C21B04"/>
    <w:rsid w:val="00C22289"/>
    <w:rsid w:val="00C22311"/>
    <w:rsid w:val="00C22AC7"/>
    <w:rsid w:val="00C237A2"/>
    <w:rsid w:val="00C24F0A"/>
    <w:rsid w:val="00C257E0"/>
    <w:rsid w:val="00C2706F"/>
    <w:rsid w:val="00C27964"/>
    <w:rsid w:val="00C27C2D"/>
    <w:rsid w:val="00C27E0E"/>
    <w:rsid w:val="00C30BAB"/>
    <w:rsid w:val="00C31B4B"/>
    <w:rsid w:val="00C31EC8"/>
    <w:rsid w:val="00C330E4"/>
    <w:rsid w:val="00C33674"/>
    <w:rsid w:val="00C33701"/>
    <w:rsid w:val="00C33B3D"/>
    <w:rsid w:val="00C33D7B"/>
    <w:rsid w:val="00C34C34"/>
    <w:rsid w:val="00C3529B"/>
    <w:rsid w:val="00C35BF9"/>
    <w:rsid w:val="00C35E83"/>
    <w:rsid w:val="00C362BF"/>
    <w:rsid w:val="00C36410"/>
    <w:rsid w:val="00C36F97"/>
    <w:rsid w:val="00C37A14"/>
    <w:rsid w:val="00C37FAD"/>
    <w:rsid w:val="00C4049A"/>
    <w:rsid w:val="00C41645"/>
    <w:rsid w:val="00C4167F"/>
    <w:rsid w:val="00C41853"/>
    <w:rsid w:val="00C418EC"/>
    <w:rsid w:val="00C41B51"/>
    <w:rsid w:val="00C41DBE"/>
    <w:rsid w:val="00C41ED0"/>
    <w:rsid w:val="00C42A1E"/>
    <w:rsid w:val="00C435C8"/>
    <w:rsid w:val="00C43859"/>
    <w:rsid w:val="00C44250"/>
    <w:rsid w:val="00C44343"/>
    <w:rsid w:val="00C443B9"/>
    <w:rsid w:val="00C465E2"/>
    <w:rsid w:val="00C46617"/>
    <w:rsid w:val="00C47611"/>
    <w:rsid w:val="00C47C4F"/>
    <w:rsid w:val="00C500B8"/>
    <w:rsid w:val="00C505E1"/>
    <w:rsid w:val="00C50D01"/>
    <w:rsid w:val="00C50DCC"/>
    <w:rsid w:val="00C5233C"/>
    <w:rsid w:val="00C523D1"/>
    <w:rsid w:val="00C525B3"/>
    <w:rsid w:val="00C52B7C"/>
    <w:rsid w:val="00C52E34"/>
    <w:rsid w:val="00C53B51"/>
    <w:rsid w:val="00C53FC6"/>
    <w:rsid w:val="00C54218"/>
    <w:rsid w:val="00C54674"/>
    <w:rsid w:val="00C54F9F"/>
    <w:rsid w:val="00C5544D"/>
    <w:rsid w:val="00C556B1"/>
    <w:rsid w:val="00C561E3"/>
    <w:rsid w:val="00C564D2"/>
    <w:rsid w:val="00C567F7"/>
    <w:rsid w:val="00C56B88"/>
    <w:rsid w:val="00C56E1C"/>
    <w:rsid w:val="00C604E7"/>
    <w:rsid w:val="00C60920"/>
    <w:rsid w:val="00C612D7"/>
    <w:rsid w:val="00C61F80"/>
    <w:rsid w:val="00C6275D"/>
    <w:rsid w:val="00C635DC"/>
    <w:rsid w:val="00C63CA0"/>
    <w:rsid w:val="00C63DAB"/>
    <w:rsid w:val="00C640DC"/>
    <w:rsid w:val="00C64AC6"/>
    <w:rsid w:val="00C656C6"/>
    <w:rsid w:val="00C65ABE"/>
    <w:rsid w:val="00C65B72"/>
    <w:rsid w:val="00C66D9D"/>
    <w:rsid w:val="00C67164"/>
    <w:rsid w:val="00C70315"/>
    <w:rsid w:val="00C708EC"/>
    <w:rsid w:val="00C720A7"/>
    <w:rsid w:val="00C72404"/>
    <w:rsid w:val="00C72474"/>
    <w:rsid w:val="00C72B6C"/>
    <w:rsid w:val="00C7330D"/>
    <w:rsid w:val="00C744CF"/>
    <w:rsid w:val="00C74FE5"/>
    <w:rsid w:val="00C750D0"/>
    <w:rsid w:val="00C7564B"/>
    <w:rsid w:val="00C75E74"/>
    <w:rsid w:val="00C75F75"/>
    <w:rsid w:val="00C76398"/>
    <w:rsid w:val="00C769AF"/>
    <w:rsid w:val="00C76D66"/>
    <w:rsid w:val="00C7795F"/>
    <w:rsid w:val="00C80124"/>
    <w:rsid w:val="00C80BEA"/>
    <w:rsid w:val="00C8218D"/>
    <w:rsid w:val="00C82290"/>
    <w:rsid w:val="00C8332D"/>
    <w:rsid w:val="00C83CB8"/>
    <w:rsid w:val="00C847BC"/>
    <w:rsid w:val="00C84815"/>
    <w:rsid w:val="00C84867"/>
    <w:rsid w:val="00C84AC4"/>
    <w:rsid w:val="00C84B5D"/>
    <w:rsid w:val="00C84D7D"/>
    <w:rsid w:val="00C85FC6"/>
    <w:rsid w:val="00C8665F"/>
    <w:rsid w:val="00C867CA"/>
    <w:rsid w:val="00C86B2F"/>
    <w:rsid w:val="00C86D6B"/>
    <w:rsid w:val="00C8726A"/>
    <w:rsid w:val="00C875C5"/>
    <w:rsid w:val="00C8795B"/>
    <w:rsid w:val="00C87B85"/>
    <w:rsid w:val="00C87C3B"/>
    <w:rsid w:val="00C87EED"/>
    <w:rsid w:val="00C908C5"/>
    <w:rsid w:val="00C90A30"/>
    <w:rsid w:val="00C91FCC"/>
    <w:rsid w:val="00C92334"/>
    <w:rsid w:val="00C9503C"/>
    <w:rsid w:val="00C96D72"/>
    <w:rsid w:val="00C970D1"/>
    <w:rsid w:val="00C97ED8"/>
    <w:rsid w:val="00C97FB0"/>
    <w:rsid w:val="00CA08A1"/>
    <w:rsid w:val="00CA10AE"/>
    <w:rsid w:val="00CA1332"/>
    <w:rsid w:val="00CA1CEC"/>
    <w:rsid w:val="00CA2283"/>
    <w:rsid w:val="00CA2894"/>
    <w:rsid w:val="00CA2BCD"/>
    <w:rsid w:val="00CA3DCF"/>
    <w:rsid w:val="00CA4762"/>
    <w:rsid w:val="00CA5CAC"/>
    <w:rsid w:val="00CA7041"/>
    <w:rsid w:val="00CA79FF"/>
    <w:rsid w:val="00CB164B"/>
    <w:rsid w:val="00CB2A2A"/>
    <w:rsid w:val="00CB3DDB"/>
    <w:rsid w:val="00CB4464"/>
    <w:rsid w:val="00CB4558"/>
    <w:rsid w:val="00CB60B5"/>
    <w:rsid w:val="00CB632B"/>
    <w:rsid w:val="00CB65FF"/>
    <w:rsid w:val="00CB663A"/>
    <w:rsid w:val="00CB6658"/>
    <w:rsid w:val="00CB7B55"/>
    <w:rsid w:val="00CC127F"/>
    <w:rsid w:val="00CC14BC"/>
    <w:rsid w:val="00CC2F9D"/>
    <w:rsid w:val="00CC3AE8"/>
    <w:rsid w:val="00CC3FEB"/>
    <w:rsid w:val="00CC4186"/>
    <w:rsid w:val="00CC4679"/>
    <w:rsid w:val="00CC46AA"/>
    <w:rsid w:val="00CC47D0"/>
    <w:rsid w:val="00CC4A61"/>
    <w:rsid w:val="00CC4E0A"/>
    <w:rsid w:val="00CC5804"/>
    <w:rsid w:val="00CD0EF3"/>
    <w:rsid w:val="00CD0FA8"/>
    <w:rsid w:val="00CD1559"/>
    <w:rsid w:val="00CD1E26"/>
    <w:rsid w:val="00CD246B"/>
    <w:rsid w:val="00CD27C0"/>
    <w:rsid w:val="00CD2D2A"/>
    <w:rsid w:val="00CD3814"/>
    <w:rsid w:val="00CD39F8"/>
    <w:rsid w:val="00CD4505"/>
    <w:rsid w:val="00CD45B0"/>
    <w:rsid w:val="00CD4A8D"/>
    <w:rsid w:val="00CD533D"/>
    <w:rsid w:val="00CD5B1D"/>
    <w:rsid w:val="00CD63DC"/>
    <w:rsid w:val="00CD764D"/>
    <w:rsid w:val="00CD774C"/>
    <w:rsid w:val="00CD7D4C"/>
    <w:rsid w:val="00CE097D"/>
    <w:rsid w:val="00CE0989"/>
    <w:rsid w:val="00CE0BCC"/>
    <w:rsid w:val="00CE0BFC"/>
    <w:rsid w:val="00CE0F77"/>
    <w:rsid w:val="00CE12C0"/>
    <w:rsid w:val="00CE3AC3"/>
    <w:rsid w:val="00CE3E82"/>
    <w:rsid w:val="00CE4EBF"/>
    <w:rsid w:val="00CE5EE0"/>
    <w:rsid w:val="00CE6D47"/>
    <w:rsid w:val="00CE74C2"/>
    <w:rsid w:val="00CE7959"/>
    <w:rsid w:val="00CF07FB"/>
    <w:rsid w:val="00CF0F7B"/>
    <w:rsid w:val="00CF1218"/>
    <w:rsid w:val="00CF206D"/>
    <w:rsid w:val="00CF216E"/>
    <w:rsid w:val="00CF21EB"/>
    <w:rsid w:val="00CF2480"/>
    <w:rsid w:val="00CF2A9A"/>
    <w:rsid w:val="00CF2DC2"/>
    <w:rsid w:val="00CF3096"/>
    <w:rsid w:val="00CF3D27"/>
    <w:rsid w:val="00CF3FCA"/>
    <w:rsid w:val="00CF5337"/>
    <w:rsid w:val="00CF55FE"/>
    <w:rsid w:val="00CF60FD"/>
    <w:rsid w:val="00D004FB"/>
    <w:rsid w:val="00D00964"/>
    <w:rsid w:val="00D009CA"/>
    <w:rsid w:val="00D0141C"/>
    <w:rsid w:val="00D02273"/>
    <w:rsid w:val="00D02F51"/>
    <w:rsid w:val="00D056F7"/>
    <w:rsid w:val="00D0696E"/>
    <w:rsid w:val="00D06DF2"/>
    <w:rsid w:val="00D06F5A"/>
    <w:rsid w:val="00D105FE"/>
    <w:rsid w:val="00D10F43"/>
    <w:rsid w:val="00D118D3"/>
    <w:rsid w:val="00D11C5D"/>
    <w:rsid w:val="00D12C02"/>
    <w:rsid w:val="00D1354E"/>
    <w:rsid w:val="00D150A3"/>
    <w:rsid w:val="00D1588D"/>
    <w:rsid w:val="00D1620F"/>
    <w:rsid w:val="00D16797"/>
    <w:rsid w:val="00D16C87"/>
    <w:rsid w:val="00D171FF"/>
    <w:rsid w:val="00D17432"/>
    <w:rsid w:val="00D17BD1"/>
    <w:rsid w:val="00D205E5"/>
    <w:rsid w:val="00D2098B"/>
    <w:rsid w:val="00D20CA0"/>
    <w:rsid w:val="00D226CB"/>
    <w:rsid w:val="00D226E5"/>
    <w:rsid w:val="00D22D2F"/>
    <w:rsid w:val="00D2337F"/>
    <w:rsid w:val="00D23594"/>
    <w:rsid w:val="00D236B1"/>
    <w:rsid w:val="00D24F6D"/>
    <w:rsid w:val="00D2563E"/>
    <w:rsid w:val="00D25AF3"/>
    <w:rsid w:val="00D262AC"/>
    <w:rsid w:val="00D2691C"/>
    <w:rsid w:val="00D27640"/>
    <w:rsid w:val="00D27C94"/>
    <w:rsid w:val="00D308B2"/>
    <w:rsid w:val="00D30B9E"/>
    <w:rsid w:val="00D319A1"/>
    <w:rsid w:val="00D31C43"/>
    <w:rsid w:val="00D31E45"/>
    <w:rsid w:val="00D31F4C"/>
    <w:rsid w:val="00D3303E"/>
    <w:rsid w:val="00D336B0"/>
    <w:rsid w:val="00D33DA0"/>
    <w:rsid w:val="00D34AA3"/>
    <w:rsid w:val="00D34D7A"/>
    <w:rsid w:val="00D35102"/>
    <w:rsid w:val="00D352FD"/>
    <w:rsid w:val="00D3567F"/>
    <w:rsid w:val="00D35CD8"/>
    <w:rsid w:val="00D35DC9"/>
    <w:rsid w:val="00D35F99"/>
    <w:rsid w:val="00D36478"/>
    <w:rsid w:val="00D36491"/>
    <w:rsid w:val="00D367AB"/>
    <w:rsid w:val="00D37591"/>
    <w:rsid w:val="00D375FA"/>
    <w:rsid w:val="00D37B61"/>
    <w:rsid w:val="00D407FE"/>
    <w:rsid w:val="00D41169"/>
    <w:rsid w:val="00D41263"/>
    <w:rsid w:val="00D414EC"/>
    <w:rsid w:val="00D417A3"/>
    <w:rsid w:val="00D4241A"/>
    <w:rsid w:val="00D4293B"/>
    <w:rsid w:val="00D4326C"/>
    <w:rsid w:val="00D43581"/>
    <w:rsid w:val="00D43ADD"/>
    <w:rsid w:val="00D44956"/>
    <w:rsid w:val="00D453BA"/>
    <w:rsid w:val="00D46176"/>
    <w:rsid w:val="00D46A31"/>
    <w:rsid w:val="00D47CAF"/>
    <w:rsid w:val="00D50DE2"/>
    <w:rsid w:val="00D5120C"/>
    <w:rsid w:val="00D51274"/>
    <w:rsid w:val="00D5268F"/>
    <w:rsid w:val="00D528A8"/>
    <w:rsid w:val="00D52FD5"/>
    <w:rsid w:val="00D535F8"/>
    <w:rsid w:val="00D53709"/>
    <w:rsid w:val="00D54AD8"/>
    <w:rsid w:val="00D54B26"/>
    <w:rsid w:val="00D550F4"/>
    <w:rsid w:val="00D558A4"/>
    <w:rsid w:val="00D56483"/>
    <w:rsid w:val="00D578AD"/>
    <w:rsid w:val="00D57F66"/>
    <w:rsid w:val="00D60061"/>
    <w:rsid w:val="00D60253"/>
    <w:rsid w:val="00D624EF"/>
    <w:rsid w:val="00D62BCA"/>
    <w:rsid w:val="00D63CA3"/>
    <w:rsid w:val="00D63EBC"/>
    <w:rsid w:val="00D642E0"/>
    <w:rsid w:val="00D6431E"/>
    <w:rsid w:val="00D650CE"/>
    <w:rsid w:val="00D66476"/>
    <w:rsid w:val="00D66B29"/>
    <w:rsid w:val="00D7032D"/>
    <w:rsid w:val="00D7069F"/>
    <w:rsid w:val="00D70BA0"/>
    <w:rsid w:val="00D70D62"/>
    <w:rsid w:val="00D716C5"/>
    <w:rsid w:val="00D72F09"/>
    <w:rsid w:val="00D73220"/>
    <w:rsid w:val="00D7417C"/>
    <w:rsid w:val="00D74349"/>
    <w:rsid w:val="00D7456E"/>
    <w:rsid w:val="00D75615"/>
    <w:rsid w:val="00D757A0"/>
    <w:rsid w:val="00D75B8B"/>
    <w:rsid w:val="00D760C4"/>
    <w:rsid w:val="00D76AE7"/>
    <w:rsid w:val="00D77670"/>
    <w:rsid w:val="00D80D0A"/>
    <w:rsid w:val="00D81810"/>
    <w:rsid w:val="00D81C44"/>
    <w:rsid w:val="00D8200C"/>
    <w:rsid w:val="00D82184"/>
    <w:rsid w:val="00D82910"/>
    <w:rsid w:val="00D833BC"/>
    <w:rsid w:val="00D83B79"/>
    <w:rsid w:val="00D83CDB"/>
    <w:rsid w:val="00D85C17"/>
    <w:rsid w:val="00D85D5A"/>
    <w:rsid w:val="00D85E87"/>
    <w:rsid w:val="00D863A6"/>
    <w:rsid w:val="00D865E4"/>
    <w:rsid w:val="00D866DF"/>
    <w:rsid w:val="00D867CA"/>
    <w:rsid w:val="00D8772B"/>
    <w:rsid w:val="00D8778F"/>
    <w:rsid w:val="00D90DE7"/>
    <w:rsid w:val="00D91357"/>
    <w:rsid w:val="00D92D6F"/>
    <w:rsid w:val="00D9335F"/>
    <w:rsid w:val="00D939C7"/>
    <w:rsid w:val="00D93A76"/>
    <w:rsid w:val="00D93C49"/>
    <w:rsid w:val="00D93D3A"/>
    <w:rsid w:val="00D93F20"/>
    <w:rsid w:val="00D95AE6"/>
    <w:rsid w:val="00D9699C"/>
    <w:rsid w:val="00D9775D"/>
    <w:rsid w:val="00D979B9"/>
    <w:rsid w:val="00D97B91"/>
    <w:rsid w:val="00DA0FD5"/>
    <w:rsid w:val="00DA1A67"/>
    <w:rsid w:val="00DA1BCC"/>
    <w:rsid w:val="00DA214E"/>
    <w:rsid w:val="00DA3165"/>
    <w:rsid w:val="00DA371F"/>
    <w:rsid w:val="00DA3B71"/>
    <w:rsid w:val="00DA3EB1"/>
    <w:rsid w:val="00DA6A9C"/>
    <w:rsid w:val="00DA7833"/>
    <w:rsid w:val="00DA7D49"/>
    <w:rsid w:val="00DB027C"/>
    <w:rsid w:val="00DB09C1"/>
    <w:rsid w:val="00DB0BDC"/>
    <w:rsid w:val="00DB1620"/>
    <w:rsid w:val="00DB1C92"/>
    <w:rsid w:val="00DB2614"/>
    <w:rsid w:val="00DB2631"/>
    <w:rsid w:val="00DB29CE"/>
    <w:rsid w:val="00DB2EFB"/>
    <w:rsid w:val="00DB309E"/>
    <w:rsid w:val="00DB375D"/>
    <w:rsid w:val="00DB38AC"/>
    <w:rsid w:val="00DB41C2"/>
    <w:rsid w:val="00DB427C"/>
    <w:rsid w:val="00DB44F6"/>
    <w:rsid w:val="00DB5601"/>
    <w:rsid w:val="00DB5A14"/>
    <w:rsid w:val="00DB5F63"/>
    <w:rsid w:val="00DB6450"/>
    <w:rsid w:val="00DB657D"/>
    <w:rsid w:val="00DB6F9E"/>
    <w:rsid w:val="00DB6FCA"/>
    <w:rsid w:val="00DB75B8"/>
    <w:rsid w:val="00DB7623"/>
    <w:rsid w:val="00DB791A"/>
    <w:rsid w:val="00DB7A8B"/>
    <w:rsid w:val="00DB7DA1"/>
    <w:rsid w:val="00DC0135"/>
    <w:rsid w:val="00DC04EF"/>
    <w:rsid w:val="00DC05F0"/>
    <w:rsid w:val="00DC0B91"/>
    <w:rsid w:val="00DC0C83"/>
    <w:rsid w:val="00DC30CE"/>
    <w:rsid w:val="00DC332C"/>
    <w:rsid w:val="00DC5C97"/>
    <w:rsid w:val="00DC678F"/>
    <w:rsid w:val="00DD045B"/>
    <w:rsid w:val="00DD0D01"/>
    <w:rsid w:val="00DD14A1"/>
    <w:rsid w:val="00DD1C65"/>
    <w:rsid w:val="00DD1E07"/>
    <w:rsid w:val="00DD25CE"/>
    <w:rsid w:val="00DD2A01"/>
    <w:rsid w:val="00DD2B50"/>
    <w:rsid w:val="00DD39DA"/>
    <w:rsid w:val="00DD3A66"/>
    <w:rsid w:val="00DD3DB3"/>
    <w:rsid w:val="00DD4134"/>
    <w:rsid w:val="00DD5B76"/>
    <w:rsid w:val="00DD5FD8"/>
    <w:rsid w:val="00DD66AA"/>
    <w:rsid w:val="00DD6B11"/>
    <w:rsid w:val="00DD6F87"/>
    <w:rsid w:val="00DD7637"/>
    <w:rsid w:val="00DD7BD2"/>
    <w:rsid w:val="00DD7EAC"/>
    <w:rsid w:val="00DE0C73"/>
    <w:rsid w:val="00DE0C79"/>
    <w:rsid w:val="00DE1757"/>
    <w:rsid w:val="00DE392F"/>
    <w:rsid w:val="00DE5177"/>
    <w:rsid w:val="00DE5857"/>
    <w:rsid w:val="00DE64D4"/>
    <w:rsid w:val="00DE68C7"/>
    <w:rsid w:val="00DE6A57"/>
    <w:rsid w:val="00DE6A6B"/>
    <w:rsid w:val="00DE6C97"/>
    <w:rsid w:val="00DE7931"/>
    <w:rsid w:val="00DF034F"/>
    <w:rsid w:val="00DF0C70"/>
    <w:rsid w:val="00DF1A89"/>
    <w:rsid w:val="00DF1E6B"/>
    <w:rsid w:val="00DF1EAA"/>
    <w:rsid w:val="00DF2513"/>
    <w:rsid w:val="00DF291E"/>
    <w:rsid w:val="00DF29B6"/>
    <w:rsid w:val="00DF3108"/>
    <w:rsid w:val="00DF3F00"/>
    <w:rsid w:val="00DF469F"/>
    <w:rsid w:val="00DF4E38"/>
    <w:rsid w:val="00DF51AA"/>
    <w:rsid w:val="00DF59AF"/>
    <w:rsid w:val="00DF5B50"/>
    <w:rsid w:val="00DF5C24"/>
    <w:rsid w:val="00DF6EC3"/>
    <w:rsid w:val="00DF7734"/>
    <w:rsid w:val="00E0038D"/>
    <w:rsid w:val="00E011E9"/>
    <w:rsid w:val="00E01754"/>
    <w:rsid w:val="00E018D9"/>
    <w:rsid w:val="00E022F6"/>
    <w:rsid w:val="00E02304"/>
    <w:rsid w:val="00E02F55"/>
    <w:rsid w:val="00E035E1"/>
    <w:rsid w:val="00E049EF"/>
    <w:rsid w:val="00E04CC2"/>
    <w:rsid w:val="00E04ECC"/>
    <w:rsid w:val="00E06860"/>
    <w:rsid w:val="00E06DE0"/>
    <w:rsid w:val="00E10857"/>
    <w:rsid w:val="00E10C00"/>
    <w:rsid w:val="00E10C26"/>
    <w:rsid w:val="00E1112E"/>
    <w:rsid w:val="00E1198E"/>
    <w:rsid w:val="00E12564"/>
    <w:rsid w:val="00E12AE5"/>
    <w:rsid w:val="00E132EE"/>
    <w:rsid w:val="00E1362C"/>
    <w:rsid w:val="00E13668"/>
    <w:rsid w:val="00E13DD9"/>
    <w:rsid w:val="00E13E3B"/>
    <w:rsid w:val="00E1510F"/>
    <w:rsid w:val="00E15919"/>
    <w:rsid w:val="00E15B63"/>
    <w:rsid w:val="00E15BFC"/>
    <w:rsid w:val="00E17238"/>
    <w:rsid w:val="00E17611"/>
    <w:rsid w:val="00E20350"/>
    <w:rsid w:val="00E20CD5"/>
    <w:rsid w:val="00E21229"/>
    <w:rsid w:val="00E21355"/>
    <w:rsid w:val="00E2163B"/>
    <w:rsid w:val="00E21EF4"/>
    <w:rsid w:val="00E2292B"/>
    <w:rsid w:val="00E2331E"/>
    <w:rsid w:val="00E238CE"/>
    <w:rsid w:val="00E23E71"/>
    <w:rsid w:val="00E23EF8"/>
    <w:rsid w:val="00E26573"/>
    <w:rsid w:val="00E26A64"/>
    <w:rsid w:val="00E275E7"/>
    <w:rsid w:val="00E309F9"/>
    <w:rsid w:val="00E30B38"/>
    <w:rsid w:val="00E30BD8"/>
    <w:rsid w:val="00E314F3"/>
    <w:rsid w:val="00E31A5C"/>
    <w:rsid w:val="00E31F87"/>
    <w:rsid w:val="00E32029"/>
    <w:rsid w:val="00E336E1"/>
    <w:rsid w:val="00E336EB"/>
    <w:rsid w:val="00E341F4"/>
    <w:rsid w:val="00E34255"/>
    <w:rsid w:val="00E344B2"/>
    <w:rsid w:val="00E34F6A"/>
    <w:rsid w:val="00E3520A"/>
    <w:rsid w:val="00E35239"/>
    <w:rsid w:val="00E3540C"/>
    <w:rsid w:val="00E360BA"/>
    <w:rsid w:val="00E371E8"/>
    <w:rsid w:val="00E37C25"/>
    <w:rsid w:val="00E409BF"/>
    <w:rsid w:val="00E40A24"/>
    <w:rsid w:val="00E41302"/>
    <w:rsid w:val="00E417AD"/>
    <w:rsid w:val="00E419D8"/>
    <w:rsid w:val="00E42480"/>
    <w:rsid w:val="00E43383"/>
    <w:rsid w:val="00E4419B"/>
    <w:rsid w:val="00E441D0"/>
    <w:rsid w:val="00E44D1D"/>
    <w:rsid w:val="00E455AA"/>
    <w:rsid w:val="00E45D6C"/>
    <w:rsid w:val="00E461F0"/>
    <w:rsid w:val="00E503EE"/>
    <w:rsid w:val="00E50486"/>
    <w:rsid w:val="00E51379"/>
    <w:rsid w:val="00E513F6"/>
    <w:rsid w:val="00E518D5"/>
    <w:rsid w:val="00E51E08"/>
    <w:rsid w:val="00E52D7E"/>
    <w:rsid w:val="00E53B2D"/>
    <w:rsid w:val="00E53FBE"/>
    <w:rsid w:val="00E54D5A"/>
    <w:rsid w:val="00E555ED"/>
    <w:rsid w:val="00E55DF7"/>
    <w:rsid w:val="00E56243"/>
    <w:rsid w:val="00E5756C"/>
    <w:rsid w:val="00E57842"/>
    <w:rsid w:val="00E6027C"/>
    <w:rsid w:val="00E60707"/>
    <w:rsid w:val="00E60E00"/>
    <w:rsid w:val="00E61ED6"/>
    <w:rsid w:val="00E620C7"/>
    <w:rsid w:val="00E63ED0"/>
    <w:rsid w:val="00E646EF"/>
    <w:rsid w:val="00E64B93"/>
    <w:rsid w:val="00E64C59"/>
    <w:rsid w:val="00E6552A"/>
    <w:rsid w:val="00E6679F"/>
    <w:rsid w:val="00E67095"/>
    <w:rsid w:val="00E672F2"/>
    <w:rsid w:val="00E675B8"/>
    <w:rsid w:val="00E67A07"/>
    <w:rsid w:val="00E67E5F"/>
    <w:rsid w:val="00E70205"/>
    <w:rsid w:val="00E703FB"/>
    <w:rsid w:val="00E70C91"/>
    <w:rsid w:val="00E70F38"/>
    <w:rsid w:val="00E7123D"/>
    <w:rsid w:val="00E71C6A"/>
    <w:rsid w:val="00E72797"/>
    <w:rsid w:val="00E72B2E"/>
    <w:rsid w:val="00E733E7"/>
    <w:rsid w:val="00E73578"/>
    <w:rsid w:val="00E73CF3"/>
    <w:rsid w:val="00E73EDE"/>
    <w:rsid w:val="00E74909"/>
    <w:rsid w:val="00E755C3"/>
    <w:rsid w:val="00E761AD"/>
    <w:rsid w:val="00E76703"/>
    <w:rsid w:val="00E769C5"/>
    <w:rsid w:val="00E77C6C"/>
    <w:rsid w:val="00E800AD"/>
    <w:rsid w:val="00E802D9"/>
    <w:rsid w:val="00E8096F"/>
    <w:rsid w:val="00E80C27"/>
    <w:rsid w:val="00E81656"/>
    <w:rsid w:val="00E81E0D"/>
    <w:rsid w:val="00E823D0"/>
    <w:rsid w:val="00E8247E"/>
    <w:rsid w:val="00E82578"/>
    <w:rsid w:val="00E836CF"/>
    <w:rsid w:val="00E83856"/>
    <w:rsid w:val="00E83CED"/>
    <w:rsid w:val="00E83DFE"/>
    <w:rsid w:val="00E84874"/>
    <w:rsid w:val="00E84933"/>
    <w:rsid w:val="00E84CB5"/>
    <w:rsid w:val="00E84D33"/>
    <w:rsid w:val="00E85164"/>
    <w:rsid w:val="00E85417"/>
    <w:rsid w:val="00E85F35"/>
    <w:rsid w:val="00E86441"/>
    <w:rsid w:val="00E864F8"/>
    <w:rsid w:val="00E86CED"/>
    <w:rsid w:val="00E87463"/>
    <w:rsid w:val="00E87A5D"/>
    <w:rsid w:val="00E908A9"/>
    <w:rsid w:val="00E90FC3"/>
    <w:rsid w:val="00E91428"/>
    <w:rsid w:val="00E9177F"/>
    <w:rsid w:val="00E91F2C"/>
    <w:rsid w:val="00E9257A"/>
    <w:rsid w:val="00E93B78"/>
    <w:rsid w:val="00E94107"/>
    <w:rsid w:val="00E9412F"/>
    <w:rsid w:val="00E94301"/>
    <w:rsid w:val="00E94554"/>
    <w:rsid w:val="00E95B34"/>
    <w:rsid w:val="00E95F66"/>
    <w:rsid w:val="00E96384"/>
    <w:rsid w:val="00E96A8E"/>
    <w:rsid w:val="00E96AF5"/>
    <w:rsid w:val="00E975DB"/>
    <w:rsid w:val="00E97963"/>
    <w:rsid w:val="00EA06F5"/>
    <w:rsid w:val="00EA0DF9"/>
    <w:rsid w:val="00EA1200"/>
    <w:rsid w:val="00EA28EF"/>
    <w:rsid w:val="00EA3510"/>
    <w:rsid w:val="00EA3EA1"/>
    <w:rsid w:val="00EA5341"/>
    <w:rsid w:val="00EA56D7"/>
    <w:rsid w:val="00EA58F3"/>
    <w:rsid w:val="00EA6AFB"/>
    <w:rsid w:val="00EB03D3"/>
    <w:rsid w:val="00EB1174"/>
    <w:rsid w:val="00EB1290"/>
    <w:rsid w:val="00EB2107"/>
    <w:rsid w:val="00EB3D52"/>
    <w:rsid w:val="00EB41DF"/>
    <w:rsid w:val="00EB45B2"/>
    <w:rsid w:val="00EB4FBD"/>
    <w:rsid w:val="00EB541B"/>
    <w:rsid w:val="00EB548C"/>
    <w:rsid w:val="00EB61B3"/>
    <w:rsid w:val="00EB753F"/>
    <w:rsid w:val="00EB798C"/>
    <w:rsid w:val="00EB7997"/>
    <w:rsid w:val="00EB7EFB"/>
    <w:rsid w:val="00EC09F1"/>
    <w:rsid w:val="00EC0C78"/>
    <w:rsid w:val="00EC118E"/>
    <w:rsid w:val="00EC3D03"/>
    <w:rsid w:val="00EC3F20"/>
    <w:rsid w:val="00EC4ED8"/>
    <w:rsid w:val="00EC541F"/>
    <w:rsid w:val="00EC5579"/>
    <w:rsid w:val="00EC5D4B"/>
    <w:rsid w:val="00EC6364"/>
    <w:rsid w:val="00EC6706"/>
    <w:rsid w:val="00EC694D"/>
    <w:rsid w:val="00EC6CC3"/>
    <w:rsid w:val="00EC6CD2"/>
    <w:rsid w:val="00EC6F75"/>
    <w:rsid w:val="00EC7088"/>
    <w:rsid w:val="00EC7262"/>
    <w:rsid w:val="00ED1284"/>
    <w:rsid w:val="00ED1447"/>
    <w:rsid w:val="00ED1D9D"/>
    <w:rsid w:val="00ED1F47"/>
    <w:rsid w:val="00ED1F7E"/>
    <w:rsid w:val="00ED2045"/>
    <w:rsid w:val="00ED2A24"/>
    <w:rsid w:val="00ED2B91"/>
    <w:rsid w:val="00ED3A0A"/>
    <w:rsid w:val="00ED3EFA"/>
    <w:rsid w:val="00ED5D97"/>
    <w:rsid w:val="00ED6995"/>
    <w:rsid w:val="00ED6A33"/>
    <w:rsid w:val="00ED6C3C"/>
    <w:rsid w:val="00ED7B06"/>
    <w:rsid w:val="00ED7D78"/>
    <w:rsid w:val="00EE0297"/>
    <w:rsid w:val="00EE16C0"/>
    <w:rsid w:val="00EE27C4"/>
    <w:rsid w:val="00EE2DD9"/>
    <w:rsid w:val="00EE3359"/>
    <w:rsid w:val="00EE65E3"/>
    <w:rsid w:val="00EE6E6E"/>
    <w:rsid w:val="00EE71D6"/>
    <w:rsid w:val="00EE7C7F"/>
    <w:rsid w:val="00EE7D80"/>
    <w:rsid w:val="00EF03E6"/>
    <w:rsid w:val="00EF11A0"/>
    <w:rsid w:val="00EF1377"/>
    <w:rsid w:val="00EF1D5B"/>
    <w:rsid w:val="00EF1D73"/>
    <w:rsid w:val="00EF2A05"/>
    <w:rsid w:val="00EF2D0D"/>
    <w:rsid w:val="00EF2F1D"/>
    <w:rsid w:val="00EF356C"/>
    <w:rsid w:val="00EF3D64"/>
    <w:rsid w:val="00EF4EE5"/>
    <w:rsid w:val="00EF5140"/>
    <w:rsid w:val="00EF6790"/>
    <w:rsid w:val="00EF681A"/>
    <w:rsid w:val="00EF7039"/>
    <w:rsid w:val="00EF7049"/>
    <w:rsid w:val="00F00029"/>
    <w:rsid w:val="00F00093"/>
    <w:rsid w:val="00F01BE4"/>
    <w:rsid w:val="00F02F63"/>
    <w:rsid w:val="00F03D8F"/>
    <w:rsid w:val="00F046C5"/>
    <w:rsid w:val="00F057F7"/>
    <w:rsid w:val="00F0594E"/>
    <w:rsid w:val="00F059FB"/>
    <w:rsid w:val="00F05BE5"/>
    <w:rsid w:val="00F0604B"/>
    <w:rsid w:val="00F06346"/>
    <w:rsid w:val="00F10A6A"/>
    <w:rsid w:val="00F10B32"/>
    <w:rsid w:val="00F11935"/>
    <w:rsid w:val="00F129B4"/>
    <w:rsid w:val="00F12E84"/>
    <w:rsid w:val="00F1445E"/>
    <w:rsid w:val="00F144A9"/>
    <w:rsid w:val="00F15078"/>
    <w:rsid w:val="00F15090"/>
    <w:rsid w:val="00F151B1"/>
    <w:rsid w:val="00F15EF5"/>
    <w:rsid w:val="00F1604C"/>
    <w:rsid w:val="00F16E39"/>
    <w:rsid w:val="00F17873"/>
    <w:rsid w:val="00F209DD"/>
    <w:rsid w:val="00F20D35"/>
    <w:rsid w:val="00F213DC"/>
    <w:rsid w:val="00F23318"/>
    <w:rsid w:val="00F233FD"/>
    <w:rsid w:val="00F23959"/>
    <w:rsid w:val="00F23E63"/>
    <w:rsid w:val="00F24C51"/>
    <w:rsid w:val="00F24EDF"/>
    <w:rsid w:val="00F267BD"/>
    <w:rsid w:val="00F26BC3"/>
    <w:rsid w:val="00F26C81"/>
    <w:rsid w:val="00F277A0"/>
    <w:rsid w:val="00F27C28"/>
    <w:rsid w:val="00F30201"/>
    <w:rsid w:val="00F30F98"/>
    <w:rsid w:val="00F31120"/>
    <w:rsid w:val="00F313C0"/>
    <w:rsid w:val="00F31ACD"/>
    <w:rsid w:val="00F31EE5"/>
    <w:rsid w:val="00F327C1"/>
    <w:rsid w:val="00F32AE2"/>
    <w:rsid w:val="00F32B65"/>
    <w:rsid w:val="00F3383F"/>
    <w:rsid w:val="00F338BF"/>
    <w:rsid w:val="00F34560"/>
    <w:rsid w:val="00F349FD"/>
    <w:rsid w:val="00F34AD9"/>
    <w:rsid w:val="00F35ED5"/>
    <w:rsid w:val="00F35FA4"/>
    <w:rsid w:val="00F366E7"/>
    <w:rsid w:val="00F3692C"/>
    <w:rsid w:val="00F36CD2"/>
    <w:rsid w:val="00F36D84"/>
    <w:rsid w:val="00F372FC"/>
    <w:rsid w:val="00F37477"/>
    <w:rsid w:val="00F377FD"/>
    <w:rsid w:val="00F40715"/>
    <w:rsid w:val="00F420F8"/>
    <w:rsid w:val="00F4382F"/>
    <w:rsid w:val="00F439BD"/>
    <w:rsid w:val="00F45425"/>
    <w:rsid w:val="00F4559F"/>
    <w:rsid w:val="00F4624A"/>
    <w:rsid w:val="00F4652B"/>
    <w:rsid w:val="00F46C5B"/>
    <w:rsid w:val="00F470F1"/>
    <w:rsid w:val="00F50E09"/>
    <w:rsid w:val="00F514D6"/>
    <w:rsid w:val="00F51677"/>
    <w:rsid w:val="00F52253"/>
    <w:rsid w:val="00F534E3"/>
    <w:rsid w:val="00F53596"/>
    <w:rsid w:val="00F55EBE"/>
    <w:rsid w:val="00F56166"/>
    <w:rsid w:val="00F562AE"/>
    <w:rsid w:val="00F569E7"/>
    <w:rsid w:val="00F5750D"/>
    <w:rsid w:val="00F60009"/>
    <w:rsid w:val="00F605A4"/>
    <w:rsid w:val="00F60911"/>
    <w:rsid w:val="00F61D15"/>
    <w:rsid w:val="00F63336"/>
    <w:rsid w:val="00F639B3"/>
    <w:rsid w:val="00F653D1"/>
    <w:rsid w:val="00F65511"/>
    <w:rsid w:val="00F671E8"/>
    <w:rsid w:val="00F703D0"/>
    <w:rsid w:val="00F71207"/>
    <w:rsid w:val="00F71D7D"/>
    <w:rsid w:val="00F71E6E"/>
    <w:rsid w:val="00F72588"/>
    <w:rsid w:val="00F734EF"/>
    <w:rsid w:val="00F734F4"/>
    <w:rsid w:val="00F73A4C"/>
    <w:rsid w:val="00F740FB"/>
    <w:rsid w:val="00F74CE9"/>
    <w:rsid w:val="00F75A60"/>
    <w:rsid w:val="00F75A8A"/>
    <w:rsid w:val="00F76118"/>
    <w:rsid w:val="00F76CDD"/>
    <w:rsid w:val="00F77112"/>
    <w:rsid w:val="00F77212"/>
    <w:rsid w:val="00F77257"/>
    <w:rsid w:val="00F81365"/>
    <w:rsid w:val="00F81B1A"/>
    <w:rsid w:val="00F81EBE"/>
    <w:rsid w:val="00F820D6"/>
    <w:rsid w:val="00F82182"/>
    <w:rsid w:val="00F82803"/>
    <w:rsid w:val="00F82866"/>
    <w:rsid w:val="00F8318A"/>
    <w:rsid w:val="00F83572"/>
    <w:rsid w:val="00F836B2"/>
    <w:rsid w:val="00F83ACB"/>
    <w:rsid w:val="00F83C52"/>
    <w:rsid w:val="00F84AED"/>
    <w:rsid w:val="00F852E4"/>
    <w:rsid w:val="00F85688"/>
    <w:rsid w:val="00F8678A"/>
    <w:rsid w:val="00F86846"/>
    <w:rsid w:val="00F87231"/>
    <w:rsid w:val="00F87930"/>
    <w:rsid w:val="00F90240"/>
    <w:rsid w:val="00F90257"/>
    <w:rsid w:val="00F90B12"/>
    <w:rsid w:val="00F9139C"/>
    <w:rsid w:val="00F918D4"/>
    <w:rsid w:val="00F91B70"/>
    <w:rsid w:val="00F9326D"/>
    <w:rsid w:val="00F9360D"/>
    <w:rsid w:val="00F9473E"/>
    <w:rsid w:val="00F948EE"/>
    <w:rsid w:val="00F94EBA"/>
    <w:rsid w:val="00F9645E"/>
    <w:rsid w:val="00F967F4"/>
    <w:rsid w:val="00F96C63"/>
    <w:rsid w:val="00F97A41"/>
    <w:rsid w:val="00F97D4B"/>
    <w:rsid w:val="00FA083B"/>
    <w:rsid w:val="00FA0D36"/>
    <w:rsid w:val="00FA1205"/>
    <w:rsid w:val="00FA1BE2"/>
    <w:rsid w:val="00FA287F"/>
    <w:rsid w:val="00FA2E96"/>
    <w:rsid w:val="00FA303D"/>
    <w:rsid w:val="00FA30CF"/>
    <w:rsid w:val="00FA350B"/>
    <w:rsid w:val="00FA354E"/>
    <w:rsid w:val="00FA388D"/>
    <w:rsid w:val="00FA38EB"/>
    <w:rsid w:val="00FA4239"/>
    <w:rsid w:val="00FA4986"/>
    <w:rsid w:val="00FA51C4"/>
    <w:rsid w:val="00FA58F9"/>
    <w:rsid w:val="00FA6069"/>
    <w:rsid w:val="00FA76D5"/>
    <w:rsid w:val="00FB2D2F"/>
    <w:rsid w:val="00FB35FA"/>
    <w:rsid w:val="00FB4209"/>
    <w:rsid w:val="00FB5C35"/>
    <w:rsid w:val="00FC008D"/>
    <w:rsid w:val="00FC08C4"/>
    <w:rsid w:val="00FC13E1"/>
    <w:rsid w:val="00FC1917"/>
    <w:rsid w:val="00FC1BE5"/>
    <w:rsid w:val="00FC2B8E"/>
    <w:rsid w:val="00FC2F53"/>
    <w:rsid w:val="00FC3AAB"/>
    <w:rsid w:val="00FC4631"/>
    <w:rsid w:val="00FC4CA7"/>
    <w:rsid w:val="00FC4F8A"/>
    <w:rsid w:val="00FC5415"/>
    <w:rsid w:val="00FC59ED"/>
    <w:rsid w:val="00FC5CAF"/>
    <w:rsid w:val="00FC5D1D"/>
    <w:rsid w:val="00FC5FE1"/>
    <w:rsid w:val="00FC6B20"/>
    <w:rsid w:val="00FC6F40"/>
    <w:rsid w:val="00FD0277"/>
    <w:rsid w:val="00FD06F2"/>
    <w:rsid w:val="00FD0FB6"/>
    <w:rsid w:val="00FD1126"/>
    <w:rsid w:val="00FD15D4"/>
    <w:rsid w:val="00FD1675"/>
    <w:rsid w:val="00FD1B89"/>
    <w:rsid w:val="00FD2F31"/>
    <w:rsid w:val="00FD2FF5"/>
    <w:rsid w:val="00FD3AC7"/>
    <w:rsid w:val="00FD3B5E"/>
    <w:rsid w:val="00FD3E3E"/>
    <w:rsid w:val="00FD3F88"/>
    <w:rsid w:val="00FD4090"/>
    <w:rsid w:val="00FD455E"/>
    <w:rsid w:val="00FD5168"/>
    <w:rsid w:val="00FD6074"/>
    <w:rsid w:val="00FD6FA5"/>
    <w:rsid w:val="00FD7D63"/>
    <w:rsid w:val="00FE0413"/>
    <w:rsid w:val="00FE140D"/>
    <w:rsid w:val="00FE142F"/>
    <w:rsid w:val="00FE1AF6"/>
    <w:rsid w:val="00FE1F7B"/>
    <w:rsid w:val="00FE2206"/>
    <w:rsid w:val="00FE23D7"/>
    <w:rsid w:val="00FE2441"/>
    <w:rsid w:val="00FE24DD"/>
    <w:rsid w:val="00FE300B"/>
    <w:rsid w:val="00FE3535"/>
    <w:rsid w:val="00FE37A0"/>
    <w:rsid w:val="00FE3BCB"/>
    <w:rsid w:val="00FE4287"/>
    <w:rsid w:val="00FE4965"/>
    <w:rsid w:val="00FE504E"/>
    <w:rsid w:val="00FE5DDB"/>
    <w:rsid w:val="00FE67C2"/>
    <w:rsid w:val="00FE6D9E"/>
    <w:rsid w:val="00FE74FA"/>
    <w:rsid w:val="00FE7729"/>
    <w:rsid w:val="00FE7D29"/>
    <w:rsid w:val="00FF063E"/>
    <w:rsid w:val="00FF1A83"/>
    <w:rsid w:val="00FF1DB5"/>
    <w:rsid w:val="00FF2AE0"/>
    <w:rsid w:val="00FF488A"/>
    <w:rsid w:val="00FF50EF"/>
    <w:rsid w:val="00FF5458"/>
    <w:rsid w:val="00FF56C2"/>
    <w:rsid w:val="00FF694C"/>
    <w:rsid w:val="00FF6950"/>
    <w:rsid w:val="00FF726B"/>
    <w:rsid w:val="00FF76B7"/>
    <w:rsid w:val="00FF79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rFonts w:cs="Times New Roman"/>
      <w:i/>
      <w:sz w:val="24"/>
      <w:lang w:val="en-US" w:eastAsia="x-none"/>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C2109F"/>
    <w:pPr>
      <w:numPr>
        <w:numId w:val="2"/>
      </w:numPr>
      <w:spacing w:after="120"/>
      <w:jc w:val="both"/>
    </w:pPr>
    <w:rPr>
      <w:rFonts w:eastAsia="Batang"/>
      <w:lang w:eastAsia="nb-NO"/>
    </w:rPr>
  </w:style>
  <w:style w:type="character" w:customStyle="1" w:styleId="Zoznam1Char">
    <w:name w:val="Zoznam_1 Char"/>
    <w:link w:val="Zoznam1"/>
    <w:uiPriority w:val="99"/>
    <w:locked/>
    <w:rsid w:val="00C2109F"/>
    <w:rPr>
      <w:rFonts w:eastAsia="Batang"/>
      <w:sz w:val="24"/>
      <w:lang w:val="x-none"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1E6BEA"/>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1E6BEA"/>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rFonts w:cs="Times New Roman"/>
      <w:i/>
      <w:sz w:val="24"/>
      <w:lang w:val="en-US" w:eastAsia="x-none"/>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C2109F"/>
    <w:pPr>
      <w:numPr>
        <w:numId w:val="2"/>
      </w:numPr>
      <w:spacing w:after="120"/>
      <w:jc w:val="both"/>
    </w:pPr>
    <w:rPr>
      <w:rFonts w:eastAsia="Batang"/>
      <w:lang w:eastAsia="nb-NO"/>
    </w:rPr>
  </w:style>
  <w:style w:type="character" w:customStyle="1" w:styleId="Zoznam1Char">
    <w:name w:val="Zoznam_1 Char"/>
    <w:link w:val="Zoznam1"/>
    <w:uiPriority w:val="99"/>
    <w:locked/>
    <w:rsid w:val="00C2109F"/>
    <w:rPr>
      <w:rFonts w:eastAsia="Batang"/>
      <w:sz w:val="24"/>
      <w:lang w:val="x-none"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1E6BEA"/>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1E6BE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309">
      <w:marLeft w:val="0"/>
      <w:marRight w:val="0"/>
      <w:marTop w:val="0"/>
      <w:marBottom w:val="0"/>
      <w:divBdr>
        <w:top w:val="none" w:sz="0" w:space="0" w:color="auto"/>
        <w:left w:val="none" w:sz="0" w:space="0" w:color="auto"/>
        <w:bottom w:val="none" w:sz="0" w:space="0" w:color="auto"/>
        <w:right w:val="none" w:sz="0" w:space="0" w:color="auto"/>
      </w:divBdr>
    </w:div>
    <w:div w:id="4670310">
      <w:marLeft w:val="0"/>
      <w:marRight w:val="0"/>
      <w:marTop w:val="0"/>
      <w:marBottom w:val="0"/>
      <w:divBdr>
        <w:top w:val="none" w:sz="0" w:space="0" w:color="auto"/>
        <w:left w:val="none" w:sz="0" w:space="0" w:color="auto"/>
        <w:bottom w:val="none" w:sz="0" w:space="0" w:color="auto"/>
        <w:right w:val="none" w:sz="0" w:space="0" w:color="auto"/>
      </w:divBdr>
    </w:div>
    <w:div w:id="4670322">
      <w:marLeft w:val="0"/>
      <w:marRight w:val="0"/>
      <w:marTop w:val="0"/>
      <w:marBottom w:val="0"/>
      <w:divBdr>
        <w:top w:val="none" w:sz="0" w:space="0" w:color="auto"/>
        <w:left w:val="none" w:sz="0" w:space="0" w:color="auto"/>
        <w:bottom w:val="none" w:sz="0" w:space="0" w:color="auto"/>
        <w:right w:val="none" w:sz="0" w:space="0" w:color="auto"/>
      </w:divBdr>
      <w:divsChild>
        <w:div w:id="4670313">
          <w:marLeft w:val="0"/>
          <w:marRight w:val="0"/>
          <w:marTop w:val="0"/>
          <w:marBottom w:val="0"/>
          <w:divBdr>
            <w:top w:val="none" w:sz="0" w:space="0" w:color="auto"/>
            <w:left w:val="none" w:sz="0" w:space="0" w:color="auto"/>
            <w:bottom w:val="none" w:sz="0" w:space="0" w:color="auto"/>
            <w:right w:val="none" w:sz="0" w:space="0" w:color="auto"/>
          </w:divBdr>
          <w:divsChild>
            <w:div w:id="4670317">
              <w:marLeft w:val="0"/>
              <w:marRight w:val="0"/>
              <w:marTop w:val="0"/>
              <w:marBottom w:val="0"/>
              <w:divBdr>
                <w:top w:val="none" w:sz="0" w:space="0" w:color="auto"/>
                <w:left w:val="none" w:sz="0" w:space="0" w:color="auto"/>
                <w:bottom w:val="none" w:sz="0" w:space="0" w:color="auto"/>
                <w:right w:val="none" w:sz="0" w:space="0" w:color="auto"/>
              </w:divBdr>
              <w:divsChild>
                <w:div w:id="4670388">
                  <w:marLeft w:val="0"/>
                  <w:marRight w:val="0"/>
                  <w:marTop w:val="0"/>
                  <w:marBottom w:val="0"/>
                  <w:divBdr>
                    <w:top w:val="none" w:sz="0" w:space="0" w:color="auto"/>
                    <w:left w:val="none" w:sz="0" w:space="0" w:color="auto"/>
                    <w:bottom w:val="none" w:sz="0" w:space="0" w:color="auto"/>
                    <w:right w:val="none" w:sz="0" w:space="0" w:color="auto"/>
                  </w:divBdr>
                  <w:divsChild>
                    <w:div w:id="4670386">
                      <w:marLeft w:val="0"/>
                      <w:marRight w:val="0"/>
                      <w:marTop w:val="0"/>
                      <w:marBottom w:val="0"/>
                      <w:divBdr>
                        <w:top w:val="none" w:sz="0" w:space="0" w:color="auto"/>
                        <w:left w:val="none" w:sz="0" w:space="0" w:color="auto"/>
                        <w:bottom w:val="none" w:sz="0" w:space="0" w:color="auto"/>
                        <w:right w:val="none" w:sz="0" w:space="0" w:color="auto"/>
                      </w:divBdr>
                      <w:divsChild>
                        <w:div w:id="4670314">
                          <w:marLeft w:val="0"/>
                          <w:marRight w:val="0"/>
                          <w:marTop w:val="0"/>
                          <w:marBottom w:val="0"/>
                          <w:divBdr>
                            <w:top w:val="none" w:sz="0" w:space="0" w:color="auto"/>
                            <w:left w:val="none" w:sz="0" w:space="0" w:color="auto"/>
                            <w:bottom w:val="none" w:sz="0" w:space="0" w:color="auto"/>
                            <w:right w:val="none" w:sz="0" w:space="0" w:color="auto"/>
                          </w:divBdr>
                          <w:divsChild>
                            <w:div w:id="4670311">
                              <w:marLeft w:val="0"/>
                              <w:marRight w:val="0"/>
                              <w:marTop w:val="1125"/>
                              <w:marBottom w:val="0"/>
                              <w:divBdr>
                                <w:top w:val="none" w:sz="0" w:space="0" w:color="auto"/>
                                <w:left w:val="none" w:sz="0" w:space="0" w:color="auto"/>
                                <w:bottom w:val="none" w:sz="0" w:space="0" w:color="auto"/>
                                <w:right w:val="none" w:sz="0" w:space="0" w:color="auto"/>
                              </w:divBdr>
                              <w:divsChild>
                                <w:div w:id="4670315">
                                  <w:marLeft w:val="0"/>
                                  <w:marRight w:val="0"/>
                                  <w:marTop w:val="0"/>
                                  <w:marBottom w:val="0"/>
                                  <w:divBdr>
                                    <w:top w:val="none" w:sz="0" w:space="0" w:color="auto"/>
                                    <w:left w:val="none" w:sz="0" w:space="0" w:color="auto"/>
                                    <w:bottom w:val="none" w:sz="0" w:space="0" w:color="auto"/>
                                    <w:right w:val="none" w:sz="0" w:space="0" w:color="auto"/>
                                  </w:divBdr>
                                  <w:divsChild>
                                    <w:div w:id="46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23">
      <w:marLeft w:val="0"/>
      <w:marRight w:val="0"/>
      <w:marTop w:val="0"/>
      <w:marBottom w:val="0"/>
      <w:divBdr>
        <w:top w:val="none" w:sz="0" w:space="0" w:color="auto"/>
        <w:left w:val="none" w:sz="0" w:space="0" w:color="auto"/>
        <w:bottom w:val="none" w:sz="0" w:space="0" w:color="auto"/>
        <w:right w:val="none" w:sz="0" w:space="0" w:color="auto"/>
      </w:divBdr>
    </w:div>
    <w:div w:id="4670324">
      <w:marLeft w:val="0"/>
      <w:marRight w:val="0"/>
      <w:marTop w:val="0"/>
      <w:marBottom w:val="0"/>
      <w:divBdr>
        <w:top w:val="none" w:sz="0" w:space="0" w:color="auto"/>
        <w:left w:val="none" w:sz="0" w:space="0" w:color="auto"/>
        <w:bottom w:val="none" w:sz="0" w:space="0" w:color="auto"/>
        <w:right w:val="none" w:sz="0" w:space="0" w:color="auto"/>
      </w:divBdr>
      <w:divsChild>
        <w:div w:id="4670326">
          <w:marLeft w:val="0"/>
          <w:marRight w:val="0"/>
          <w:marTop w:val="0"/>
          <w:marBottom w:val="0"/>
          <w:divBdr>
            <w:top w:val="single" w:sz="6" w:space="0" w:color="F3F3F3"/>
            <w:left w:val="none" w:sz="0" w:space="0" w:color="auto"/>
            <w:bottom w:val="none" w:sz="0" w:space="0" w:color="auto"/>
            <w:right w:val="none" w:sz="0" w:space="0" w:color="auto"/>
          </w:divBdr>
        </w:div>
      </w:divsChild>
    </w:div>
    <w:div w:id="4670325">
      <w:marLeft w:val="0"/>
      <w:marRight w:val="0"/>
      <w:marTop w:val="0"/>
      <w:marBottom w:val="0"/>
      <w:divBdr>
        <w:top w:val="none" w:sz="0" w:space="0" w:color="auto"/>
        <w:left w:val="none" w:sz="0" w:space="0" w:color="auto"/>
        <w:bottom w:val="none" w:sz="0" w:space="0" w:color="auto"/>
        <w:right w:val="none" w:sz="0" w:space="0" w:color="auto"/>
      </w:divBdr>
      <w:divsChild>
        <w:div w:id="4670380">
          <w:marLeft w:val="0"/>
          <w:marRight w:val="0"/>
          <w:marTop w:val="0"/>
          <w:marBottom w:val="0"/>
          <w:divBdr>
            <w:top w:val="none" w:sz="0" w:space="0" w:color="auto"/>
            <w:left w:val="none" w:sz="0" w:space="0" w:color="auto"/>
            <w:bottom w:val="none" w:sz="0" w:space="0" w:color="auto"/>
            <w:right w:val="none" w:sz="0" w:space="0" w:color="auto"/>
          </w:divBdr>
          <w:divsChild>
            <w:div w:id="4670379">
              <w:marLeft w:val="0"/>
              <w:marRight w:val="0"/>
              <w:marTop w:val="0"/>
              <w:marBottom w:val="0"/>
              <w:divBdr>
                <w:top w:val="none" w:sz="0" w:space="0" w:color="auto"/>
                <w:left w:val="none" w:sz="0" w:space="0" w:color="auto"/>
                <w:bottom w:val="none" w:sz="0" w:space="0" w:color="auto"/>
                <w:right w:val="none" w:sz="0" w:space="0" w:color="auto"/>
              </w:divBdr>
            </w:div>
          </w:divsChild>
        </w:div>
        <w:div w:id="4670381">
          <w:marLeft w:val="0"/>
          <w:marRight w:val="0"/>
          <w:marTop w:val="0"/>
          <w:marBottom w:val="0"/>
          <w:divBdr>
            <w:top w:val="none" w:sz="0" w:space="0" w:color="auto"/>
            <w:left w:val="none" w:sz="0" w:space="0" w:color="auto"/>
            <w:bottom w:val="none" w:sz="0" w:space="0" w:color="auto"/>
            <w:right w:val="none" w:sz="0" w:space="0" w:color="auto"/>
          </w:divBdr>
        </w:div>
      </w:divsChild>
    </w:div>
    <w:div w:id="4670327">
      <w:marLeft w:val="0"/>
      <w:marRight w:val="0"/>
      <w:marTop w:val="0"/>
      <w:marBottom w:val="0"/>
      <w:divBdr>
        <w:top w:val="none" w:sz="0" w:space="0" w:color="auto"/>
        <w:left w:val="none" w:sz="0" w:space="0" w:color="auto"/>
        <w:bottom w:val="none" w:sz="0" w:space="0" w:color="auto"/>
        <w:right w:val="none" w:sz="0" w:space="0" w:color="auto"/>
      </w:divBdr>
    </w:div>
    <w:div w:id="4670331">
      <w:marLeft w:val="0"/>
      <w:marRight w:val="0"/>
      <w:marTop w:val="0"/>
      <w:marBottom w:val="0"/>
      <w:divBdr>
        <w:top w:val="none" w:sz="0" w:space="0" w:color="auto"/>
        <w:left w:val="none" w:sz="0" w:space="0" w:color="auto"/>
        <w:bottom w:val="none" w:sz="0" w:space="0" w:color="auto"/>
        <w:right w:val="none" w:sz="0" w:space="0" w:color="auto"/>
      </w:divBdr>
    </w:div>
    <w:div w:id="4670332">
      <w:marLeft w:val="0"/>
      <w:marRight w:val="0"/>
      <w:marTop w:val="0"/>
      <w:marBottom w:val="0"/>
      <w:divBdr>
        <w:top w:val="none" w:sz="0" w:space="0" w:color="auto"/>
        <w:left w:val="none" w:sz="0" w:space="0" w:color="auto"/>
        <w:bottom w:val="none" w:sz="0" w:space="0" w:color="auto"/>
        <w:right w:val="none" w:sz="0" w:space="0" w:color="auto"/>
      </w:divBdr>
    </w:div>
    <w:div w:id="4670338">
      <w:marLeft w:val="0"/>
      <w:marRight w:val="0"/>
      <w:marTop w:val="0"/>
      <w:marBottom w:val="0"/>
      <w:divBdr>
        <w:top w:val="none" w:sz="0" w:space="0" w:color="auto"/>
        <w:left w:val="none" w:sz="0" w:space="0" w:color="auto"/>
        <w:bottom w:val="none" w:sz="0" w:space="0" w:color="auto"/>
        <w:right w:val="none" w:sz="0" w:space="0" w:color="auto"/>
      </w:divBdr>
    </w:div>
    <w:div w:id="4670339">
      <w:marLeft w:val="0"/>
      <w:marRight w:val="0"/>
      <w:marTop w:val="0"/>
      <w:marBottom w:val="0"/>
      <w:divBdr>
        <w:top w:val="none" w:sz="0" w:space="0" w:color="auto"/>
        <w:left w:val="none" w:sz="0" w:space="0" w:color="auto"/>
        <w:bottom w:val="none" w:sz="0" w:space="0" w:color="auto"/>
        <w:right w:val="none" w:sz="0" w:space="0" w:color="auto"/>
      </w:divBdr>
    </w:div>
    <w:div w:id="4670340">
      <w:marLeft w:val="0"/>
      <w:marRight w:val="0"/>
      <w:marTop w:val="0"/>
      <w:marBottom w:val="0"/>
      <w:divBdr>
        <w:top w:val="none" w:sz="0" w:space="0" w:color="auto"/>
        <w:left w:val="none" w:sz="0" w:space="0" w:color="auto"/>
        <w:bottom w:val="none" w:sz="0" w:space="0" w:color="auto"/>
        <w:right w:val="none" w:sz="0" w:space="0" w:color="auto"/>
      </w:divBdr>
    </w:div>
    <w:div w:id="4670341">
      <w:marLeft w:val="0"/>
      <w:marRight w:val="0"/>
      <w:marTop w:val="0"/>
      <w:marBottom w:val="0"/>
      <w:divBdr>
        <w:top w:val="none" w:sz="0" w:space="0" w:color="auto"/>
        <w:left w:val="none" w:sz="0" w:space="0" w:color="auto"/>
        <w:bottom w:val="none" w:sz="0" w:space="0" w:color="auto"/>
        <w:right w:val="none" w:sz="0" w:space="0" w:color="auto"/>
      </w:divBdr>
    </w:div>
    <w:div w:id="4670342">
      <w:marLeft w:val="0"/>
      <w:marRight w:val="0"/>
      <w:marTop w:val="0"/>
      <w:marBottom w:val="0"/>
      <w:divBdr>
        <w:top w:val="none" w:sz="0" w:space="0" w:color="auto"/>
        <w:left w:val="none" w:sz="0" w:space="0" w:color="auto"/>
        <w:bottom w:val="none" w:sz="0" w:space="0" w:color="auto"/>
        <w:right w:val="none" w:sz="0" w:space="0" w:color="auto"/>
      </w:divBdr>
    </w:div>
    <w:div w:id="4670343">
      <w:marLeft w:val="0"/>
      <w:marRight w:val="0"/>
      <w:marTop w:val="0"/>
      <w:marBottom w:val="0"/>
      <w:divBdr>
        <w:top w:val="none" w:sz="0" w:space="0" w:color="auto"/>
        <w:left w:val="none" w:sz="0" w:space="0" w:color="auto"/>
        <w:bottom w:val="none" w:sz="0" w:space="0" w:color="auto"/>
        <w:right w:val="none" w:sz="0" w:space="0" w:color="auto"/>
      </w:divBdr>
    </w:div>
    <w:div w:id="4670344">
      <w:marLeft w:val="0"/>
      <w:marRight w:val="0"/>
      <w:marTop w:val="0"/>
      <w:marBottom w:val="0"/>
      <w:divBdr>
        <w:top w:val="none" w:sz="0" w:space="0" w:color="auto"/>
        <w:left w:val="none" w:sz="0" w:space="0" w:color="auto"/>
        <w:bottom w:val="none" w:sz="0" w:space="0" w:color="auto"/>
        <w:right w:val="none" w:sz="0" w:space="0" w:color="auto"/>
      </w:divBdr>
    </w:div>
    <w:div w:id="4670345">
      <w:marLeft w:val="0"/>
      <w:marRight w:val="0"/>
      <w:marTop w:val="0"/>
      <w:marBottom w:val="0"/>
      <w:divBdr>
        <w:top w:val="none" w:sz="0" w:space="0" w:color="auto"/>
        <w:left w:val="none" w:sz="0" w:space="0" w:color="auto"/>
        <w:bottom w:val="none" w:sz="0" w:space="0" w:color="auto"/>
        <w:right w:val="none" w:sz="0" w:space="0" w:color="auto"/>
      </w:divBdr>
    </w:div>
    <w:div w:id="4670346">
      <w:marLeft w:val="0"/>
      <w:marRight w:val="0"/>
      <w:marTop w:val="0"/>
      <w:marBottom w:val="0"/>
      <w:divBdr>
        <w:top w:val="none" w:sz="0" w:space="0" w:color="auto"/>
        <w:left w:val="none" w:sz="0" w:space="0" w:color="auto"/>
        <w:bottom w:val="none" w:sz="0" w:space="0" w:color="auto"/>
        <w:right w:val="none" w:sz="0" w:space="0" w:color="auto"/>
      </w:divBdr>
    </w:div>
    <w:div w:id="4670347">
      <w:marLeft w:val="0"/>
      <w:marRight w:val="0"/>
      <w:marTop w:val="0"/>
      <w:marBottom w:val="0"/>
      <w:divBdr>
        <w:top w:val="none" w:sz="0" w:space="0" w:color="auto"/>
        <w:left w:val="none" w:sz="0" w:space="0" w:color="auto"/>
        <w:bottom w:val="none" w:sz="0" w:space="0" w:color="auto"/>
        <w:right w:val="none" w:sz="0" w:space="0" w:color="auto"/>
      </w:divBdr>
    </w:div>
    <w:div w:id="4670348">
      <w:marLeft w:val="0"/>
      <w:marRight w:val="0"/>
      <w:marTop w:val="0"/>
      <w:marBottom w:val="0"/>
      <w:divBdr>
        <w:top w:val="none" w:sz="0" w:space="0" w:color="auto"/>
        <w:left w:val="none" w:sz="0" w:space="0" w:color="auto"/>
        <w:bottom w:val="none" w:sz="0" w:space="0" w:color="auto"/>
        <w:right w:val="none" w:sz="0" w:space="0" w:color="auto"/>
      </w:divBdr>
    </w:div>
    <w:div w:id="4670349">
      <w:marLeft w:val="0"/>
      <w:marRight w:val="0"/>
      <w:marTop w:val="0"/>
      <w:marBottom w:val="0"/>
      <w:divBdr>
        <w:top w:val="none" w:sz="0" w:space="0" w:color="auto"/>
        <w:left w:val="none" w:sz="0" w:space="0" w:color="auto"/>
        <w:bottom w:val="none" w:sz="0" w:space="0" w:color="auto"/>
        <w:right w:val="none" w:sz="0" w:space="0" w:color="auto"/>
      </w:divBdr>
    </w:div>
    <w:div w:id="4670350">
      <w:marLeft w:val="0"/>
      <w:marRight w:val="0"/>
      <w:marTop w:val="0"/>
      <w:marBottom w:val="0"/>
      <w:divBdr>
        <w:top w:val="none" w:sz="0" w:space="0" w:color="auto"/>
        <w:left w:val="none" w:sz="0" w:space="0" w:color="auto"/>
        <w:bottom w:val="none" w:sz="0" w:space="0" w:color="auto"/>
        <w:right w:val="none" w:sz="0" w:space="0" w:color="auto"/>
      </w:divBdr>
    </w:div>
    <w:div w:id="4670351">
      <w:marLeft w:val="0"/>
      <w:marRight w:val="0"/>
      <w:marTop w:val="0"/>
      <w:marBottom w:val="0"/>
      <w:divBdr>
        <w:top w:val="none" w:sz="0" w:space="0" w:color="auto"/>
        <w:left w:val="none" w:sz="0" w:space="0" w:color="auto"/>
        <w:bottom w:val="none" w:sz="0" w:space="0" w:color="auto"/>
        <w:right w:val="none" w:sz="0" w:space="0" w:color="auto"/>
      </w:divBdr>
    </w:div>
    <w:div w:id="4670352">
      <w:marLeft w:val="0"/>
      <w:marRight w:val="0"/>
      <w:marTop w:val="0"/>
      <w:marBottom w:val="0"/>
      <w:divBdr>
        <w:top w:val="none" w:sz="0" w:space="0" w:color="auto"/>
        <w:left w:val="none" w:sz="0" w:space="0" w:color="auto"/>
        <w:bottom w:val="none" w:sz="0" w:space="0" w:color="auto"/>
        <w:right w:val="none" w:sz="0" w:space="0" w:color="auto"/>
      </w:divBdr>
    </w:div>
    <w:div w:id="4670358">
      <w:marLeft w:val="0"/>
      <w:marRight w:val="0"/>
      <w:marTop w:val="0"/>
      <w:marBottom w:val="0"/>
      <w:divBdr>
        <w:top w:val="none" w:sz="0" w:space="0" w:color="auto"/>
        <w:left w:val="none" w:sz="0" w:space="0" w:color="auto"/>
        <w:bottom w:val="none" w:sz="0" w:space="0" w:color="auto"/>
        <w:right w:val="none" w:sz="0" w:space="0" w:color="auto"/>
      </w:divBdr>
      <w:divsChild>
        <w:div w:id="4670370">
          <w:marLeft w:val="0"/>
          <w:marRight w:val="0"/>
          <w:marTop w:val="0"/>
          <w:marBottom w:val="0"/>
          <w:divBdr>
            <w:top w:val="none" w:sz="0" w:space="0" w:color="auto"/>
            <w:left w:val="none" w:sz="0" w:space="0" w:color="auto"/>
            <w:bottom w:val="none" w:sz="0" w:space="0" w:color="auto"/>
            <w:right w:val="none" w:sz="0" w:space="0" w:color="auto"/>
          </w:divBdr>
          <w:divsChild>
            <w:div w:id="4670337">
              <w:marLeft w:val="0"/>
              <w:marRight w:val="0"/>
              <w:marTop w:val="0"/>
              <w:marBottom w:val="0"/>
              <w:divBdr>
                <w:top w:val="none" w:sz="0" w:space="0" w:color="auto"/>
                <w:left w:val="none" w:sz="0" w:space="0" w:color="auto"/>
                <w:bottom w:val="single" w:sz="48" w:space="0" w:color="E4F3FC"/>
                <w:right w:val="none" w:sz="0" w:space="0" w:color="auto"/>
              </w:divBdr>
              <w:divsChild>
                <w:div w:id="4670354">
                  <w:marLeft w:val="0"/>
                  <w:marRight w:val="0"/>
                  <w:marTop w:val="0"/>
                  <w:marBottom w:val="0"/>
                  <w:divBdr>
                    <w:top w:val="none" w:sz="0" w:space="0" w:color="auto"/>
                    <w:left w:val="none" w:sz="0" w:space="0" w:color="auto"/>
                    <w:bottom w:val="none" w:sz="0" w:space="0" w:color="auto"/>
                    <w:right w:val="none" w:sz="0" w:space="0" w:color="auto"/>
                  </w:divBdr>
                  <w:divsChild>
                    <w:div w:id="4670333">
                      <w:marLeft w:val="0"/>
                      <w:marRight w:val="0"/>
                      <w:marTop w:val="0"/>
                      <w:marBottom w:val="0"/>
                      <w:divBdr>
                        <w:top w:val="none" w:sz="0" w:space="0" w:color="auto"/>
                        <w:left w:val="none" w:sz="0" w:space="0" w:color="auto"/>
                        <w:bottom w:val="none" w:sz="0" w:space="0" w:color="auto"/>
                        <w:right w:val="none" w:sz="0" w:space="0" w:color="auto"/>
                      </w:divBdr>
                      <w:divsChild>
                        <w:div w:id="4670360">
                          <w:marLeft w:val="0"/>
                          <w:marRight w:val="0"/>
                          <w:marTop w:val="0"/>
                          <w:marBottom w:val="0"/>
                          <w:divBdr>
                            <w:top w:val="none" w:sz="0" w:space="0" w:color="auto"/>
                            <w:left w:val="none" w:sz="0" w:space="0" w:color="auto"/>
                            <w:bottom w:val="none" w:sz="0" w:space="0" w:color="auto"/>
                            <w:right w:val="none" w:sz="0" w:space="0" w:color="auto"/>
                          </w:divBdr>
                          <w:divsChild>
                            <w:div w:id="4670334">
                              <w:marLeft w:val="0"/>
                              <w:marRight w:val="0"/>
                              <w:marTop w:val="0"/>
                              <w:marBottom w:val="0"/>
                              <w:divBdr>
                                <w:top w:val="none" w:sz="0" w:space="0" w:color="auto"/>
                                <w:left w:val="none" w:sz="0" w:space="0" w:color="auto"/>
                                <w:bottom w:val="none" w:sz="0" w:space="0" w:color="auto"/>
                                <w:right w:val="none" w:sz="0" w:space="0" w:color="auto"/>
                              </w:divBdr>
                            </w:div>
                            <w:div w:id="4670335">
                              <w:marLeft w:val="0"/>
                              <w:marRight w:val="0"/>
                              <w:marTop w:val="0"/>
                              <w:marBottom w:val="0"/>
                              <w:divBdr>
                                <w:top w:val="none" w:sz="0" w:space="0" w:color="auto"/>
                                <w:left w:val="none" w:sz="0" w:space="0" w:color="auto"/>
                                <w:bottom w:val="none" w:sz="0" w:space="0" w:color="auto"/>
                                <w:right w:val="none" w:sz="0" w:space="0" w:color="auto"/>
                              </w:divBdr>
                            </w:div>
                            <w:div w:id="4670336">
                              <w:marLeft w:val="0"/>
                              <w:marRight w:val="0"/>
                              <w:marTop w:val="0"/>
                              <w:marBottom w:val="0"/>
                              <w:divBdr>
                                <w:top w:val="none" w:sz="0" w:space="0" w:color="auto"/>
                                <w:left w:val="none" w:sz="0" w:space="0" w:color="auto"/>
                                <w:bottom w:val="none" w:sz="0" w:space="0" w:color="auto"/>
                                <w:right w:val="none" w:sz="0" w:space="0" w:color="auto"/>
                              </w:divBdr>
                            </w:div>
                            <w:div w:id="4670353">
                              <w:marLeft w:val="0"/>
                              <w:marRight w:val="0"/>
                              <w:marTop w:val="0"/>
                              <w:marBottom w:val="0"/>
                              <w:divBdr>
                                <w:top w:val="none" w:sz="0" w:space="0" w:color="auto"/>
                                <w:left w:val="none" w:sz="0" w:space="0" w:color="auto"/>
                                <w:bottom w:val="none" w:sz="0" w:space="0" w:color="auto"/>
                                <w:right w:val="none" w:sz="0" w:space="0" w:color="auto"/>
                              </w:divBdr>
                            </w:div>
                            <w:div w:id="4670355">
                              <w:marLeft w:val="0"/>
                              <w:marRight w:val="0"/>
                              <w:marTop w:val="0"/>
                              <w:marBottom w:val="0"/>
                              <w:divBdr>
                                <w:top w:val="none" w:sz="0" w:space="0" w:color="auto"/>
                                <w:left w:val="none" w:sz="0" w:space="0" w:color="auto"/>
                                <w:bottom w:val="none" w:sz="0" w:space="0" w:color="auto"/>
                                <w:right w:val="none" w:sz="0" w:space="0" w:color="auto"/>
                              </w:divBdr>
                            </w:div>
                            <w:div w:id="4670356">
                              <w:marLeft w:val="0"/>
                              <w:marRight w:val="0"/>
                              <w:marTop w:val="0"/>
                              <w:marBottom w:val="0"/>
                              <w:divBdr>
                                <w:top w:val="none" w:sz="0" w:space="0" w:color="auto"/>
                                <w:left w:val="none" w:sz="0" w:space="0" w:color="auto"/>
                                <w:bottom w:val="none" w:sz="0" w:space="0" w:color="auto"/>
                                <w:right w:val="none" w:sz="0" w:space="0" w:color="auto"/>
                              </w:divBdr>
                            </w:div>
                            <w:div w:id="4670357">
                              <w:marLeft w:val="0"/>
                              <w:marRight w:val="0"/>
                              <w:marTop w:val="0"/>
                              <w:marBottom w:val="0"/>
                              <w:divBdr>
                                <w:top w:val="none" w:sz="0" w:space="0" w:color="auto"/>
                                <w:left w:val="none" w:sz="0" w:space="0" w:color="auto"/>
                                <w:bottom w:val="none" w:sz="0" w:space="0" w:color="auto"/>
                                <w:right w:val="none" w:sz="0" w:space="0" w:color="auto"/>
                              </w:divBdr>
                            </w:div>
                            <w:div w:id="4670359">
                              <w:marLeft w:val="0"/>
                              <w:marRight w:val="0"/>
                              <w:marTop w:val="0"/>
                              <w:marBottom w:val="0"/>
                              <w:divBdr>
                                <w:top w:val="none" w:sz="0" w:space="0" w:color="auto"/>
                                <w:left w:val="none" w:sz="0" w:space="0" w:color="auto"/>
                                <w:bottom w:val="none" w:sz="0" w:space="0" w:color="auto"/>
                                <w:right w:val="none" w:sz="0" w:space="0" w:color="auto"/>
                              </w:divBdr>
                            </w:div>
                            <w:div w:id="4670361">
                              <w:marLeft w:val="0"/>
                              <w:marRight w:val="0"/>
                              <w:marTop w:val="0"/>
                              <w:marBottom w:val="0"/>
                              <w:divBdr>
                                <w:top w:val="none" w:sz="0" w:space="0" w:color="auto"/>
                                <w:left w:val="none" w:sz="0" w:space="0" w:color="auto"/>
                                <w:bottom w:val="none" w:sz="0" w:space="0" w:color="auto"/>
                                <w:right w:val="none" w:sz="0" w:space="0" w:color="auto"/>
                              </w:divBdr>
                            </w:div>
                            <w:div w:id="4670362">
                              <w:marLeft w:val="0"/>
                              <w:marRight w:val="0"/>
                              <w:marTop w:val="0"/>
                              <w:marBottom w:val="0"/>
                              <w:divBdr>
                                <w:top w:val="none" w:sz="0" w:space="0" w:color="auto"/>
                                <w:left w:val="none" w:sz="0" w:space="0" w:color="auto"/>
                                <w:bottom w:val="none" w:sz="0" w:space="0" w:color="auto"/>
                                <w:right w:val="none" w:sz="0" w:space="0" w:color="auto"/>
                              </w:divBdr>
                            </w:div>
                            <w:div w:id="4670363">
                              <w:marLeft w:val="0"/>
                              <w:marRight w:val="0"/>
                              <w:marTop w:val="0"/>
                              <w:marBottom w:val="0"/>
                              <w:divBdr>
                                <w:top w:val="none" w:sz="0" w:space="0" w:color="auto"/>
                                <w:left w:val="none" w:sz="0" w:space="0" w:color="auto"/>
                                <w:bottom w:val="none" w:sz="0" w:space="0" w:color="auto"/>
                                <w:right w:val="none" w:sz="0" w:space="0" w:color="auto"/>
                              </w:divBdr>
                            </w:div>
                            <w:div w:id="4670364">
                              <w:marLeft w:val="0"/>
                              <w:marRight w:val="0"/>
                              <w:marTop w:val="0"/>
                              <w:marBottom w:val="0"/>
                              <w:divBdr>
                                <w:top w:val="none" w:sz="0" w:space="0" w:color="auto"/>
                                <w:left w:val="none" w:sz="0" w:space="0" w:color="auto"/>
                                <w:bottom w:val="none" w:sz="0" w:space="0" w:color="auto"/>
                                <w:right w:val="none" w:sz="0" w:space="0" w:color="auto"/>
                              </w:divBdr>
                            </w:div>
                            <w:div w:id="4670365">
                              <w:marLeft w:val="0"/>
                              <w:marRight w:val="0"/>
                              <w:marTop w:val="0"/>
                              <w:marBottom w:val="0"/>
                              <w:divBdr>
                                <w:top w:val="none" w:sz="0" w:space="0" w:color="auto"/>
                                <w:left w:val="none" w:sz="0" w:space="0" w:color="auto"/>
                                <w:bottom w:val="none" w:sz="0" w:space="0" w:color="auto"/>
                                <w:right w:val="none" w:sz="0" w:space="0" w:color="auto"/>
                              </w:divBdr>
                            </w:div>
                            <w:div w:id="4670366">
                              <w:marLeft w:val="0"/>
                              <w:marRight w:val="0"/>
                              <w:marTop w:val="0"/>
                              <w:marBottom w:val="0"/>
                              <w:divBdr>
                                <w:top w:val="none" w:sz="0" w:space="0" w:color="auto"/>
                                <w:left w:val="none" w:sz="0" w:space="0" w:color="auto"/>
                                <w:bottom w:val="none" w:sz="0" w:space="0" w:color="auto"/>
                                <w:right w:val="none" w:sz="0" w:space="0" w:color="auto"/>
                              </w:divBdr>
                            </w:div>
                            <w:div w:id="4670367">
                              <w:marLeft w:val="0"/>
                              <w:marRight w:val="0"/>
                              <w:marTop w:val="0"/>
                              <w:marBottom w:val="0"/>
                              <w:divBdr>
                                <w:top w:val="none" w:sz="0" w:space="0" w:color="auto"/>
                                <w:left w:val="none" w:sz="0" w:space="0" w:color="auto"/>
                                <w:bottom w:val="none" w:sz="0" w:space="0" w:color="auto"/>
                                <w:right w:val="none" w:sz="0" w:space="0" w:color="auto"/>
                              </w:divBdr>
                            </w:div>
                            <w:div w:id="4670368">
                              <w:marLeft w:val="0"/>
                              <w:marRight w:val="0"/>
                              <w:marTop w:val="0"/>
                              <w:marBottom w:val="0"/>
                              <w:divBdr>
                                <w:top w:val="none" w:sz="0" w:space="0" w:color="auto"/>
                                <w:left w:val="none" w:sz="0" w:space="0" w:color="auto"/>
                                <w:bottom w:val="none" w:sz="0" w:space="0" w:color="auto"/>
                                <w:right w:val="none" w:sz="0" w:space="0" w:color="auto"/>
                              </w:divBdr>
                            </w:div>
                            <w:div w:id="4670369">
                              <w:marLeft w:val="0"/>
                              <w:marRight w:val="0"/>
                              <w:marTop w:val="0"/>
                              <w:marBottom w:val="0"/>
                              <w:divBdr>
                                <w:top w:val="none" w:sz="0" w:space="0" w:color="auto"/>
                                <w:left w:val="none" w:sz="0" w:space="0" w:color="auto"/>
                                <w:bottom w:val="none" w:sz="0" w:space="0" w:color="auto"/>
                                <w:right w:val="none" w:sz="0" w:space="0" w:color="auto"/>
                              </w:divBdr>
                            </w:div>
                            <w:div w:id="4670371">
                              <w:marLeft w:val="0"/>
                              <w:marRight w:val="0"/>
                              <w:marTop w:val="0"/>
                              <w:marBottom w:val="0"/>
                              <w:divBdr>
                                <w:top w:val="none" w:sz="0" w:space="0" w:color="auto"/>
                                <w:left w:val="none" w:sz="0" w:space="0" w:color="auto"/>
                                <w:bottom w:val="none" w:sz="0" w:space="0" w:color="auto"/>
                                <w:right w:val="none" w:sz="0" w:space="0" w:color="auto"/>
                              </w:divBdr>
                            </w:div>
                            <w:div w:id="46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0374">
      <w:marLeft w:val="0"/>
      <w:marRight w:val="0"/>
      <w:marTop w:val="0"/>
      <w:marBottom w:val="0"/>
      <w:divBdr>
        <w:top w:val="none" w:sz="0" w:space="0" w:color="auto"/>
        <w:left w:val="none" w:sz="0" w:space="0" w:color="auto"/>
        <w:bottom w:val="none" w:sz="0" w:space="0" w:color="auto"/>
        <w:right w:val="none" w:sz="0" w:space="0" w:color="auto"/>
      </w:divBdr>
      <w:divsChild>
        <w:div w:id="4670373">
          <w:marLeft w:val="0"/>
          <w:marRight w:val="0"/>
          <w:marTop w:val="0"/>
          <w:marBottom w:val="0"/>
          <w:divBdr>
            <w:top w:val="none" w:sz="0" w:space="0" w:color="auto"/>
            <w:left w:val="none" w:sz="0" w:space="0" w:color="auto"/>
            <w:bottom w:val="none" w:sz="0" w:space="0" w:color="auto"/>
            <w:right w:val="none" w:sz="0" w:space="0" w:color="auto"/>
          </w:divBdr>
          <w:divsChild>
            <w:div w:id="4670378">
              <w:marLeft w:val="0"/>
              <w:marRight w:val="0"/>
              <w:marTop w:val="0"/>
              <w:marBottom w:val="0"/>
              <w:divBdr>
                <w:top w:val="none" w:sz="0" w:space="0" w:color="auto"/>
                <w:left w:val="none" w:sz="0" w:space="0" w:color="auto"/>
                <w:bottom w:val="none" w:sz="0" w:space="0" w:color="auto"/>
                <w:right w:val="none" w:sz="0" w:space="0" w:color="auto"/>
              </w:divBdr>
              <w:divsChild>
                <w:div w:id="4670329">
                  <w:marLeft w:val="0"/>
                  <w:marRight w:val="0"/>
                  <w:marTop w:val="0"/>
                  <w:marBottom w:val="0"/>
                  <w:divBdr>
                    <w:top w:val="none" w:sz="0" w:space="0" w:color="auto"/>
                    <w:left w:val="none" w:sz="0" w:space="0" w:color="auto"/>
                    <w:bottom w:val="none" w:sz="0" w:space="0" w:color="auto"/>
                    <w:right w:val="none" w:sz="0" w:space="0" w:color="auto"/>
                  </w:divBdr>
                  <w:divsChild>
                    <w:div w:id="4670377">
                      <w:marLeft w:val="0"/>
                      <w:marRight w:val="0"/>
                      <w:marTop w:val="0"/>
                      <w:marBottom w:val="0"/>
                      <w:divBdr>
                        <w:top w:val="none" w:sz="0" w:space="0" w:color="auto"/>
                        <w:left w:val="none" w:sz="0" w:space="0" w:color="auto"/>
                        <w:bottom w:val="none" w:sz="0" w:space="0" w:color="auto"/>
                        <w:right w:val="none" w:sz="0" w:space="0" w:color="auto"/>
                      </w:divBdr>
                      <w:divsChild>
                        <w:div w:id="4670375">
                          <w:marLeft w:val="0"/>
                          <w:marRight w:val="0"/>
                          <w:marTop w:val="0"/>
                          <w:marBottom w:val="0"/>
                          <w:divBdr>
                            <w:top w:val="none" w:sz="0" w:space="0" w:color="auto"/>
                            <w:left w:val="none" w:sz="0" w:space="0" w:color="auto"/>
                            <w:bottom w:val="none" w:sz="0" w:space="0" w:color="auto"/>
                            <w:right w:val="none" w:sz="0" w:space="0" w:color="auto"/>
                          </w:divBdr>
                          <w:divsChild>
                            <w:div w:id="4670376">
                              <w:marLeft w:val="0"/>
                              <w:marRight w:val="0"/>
                              <w:marTop w:val="1125"/>
                              <w:marBottom w:val="0"/>
                              <w:divBdr>
                                <w:top w:val="none" w:sz="0" w:space="0" w:color="auto"/>
                                <w:left w:val="none" w:sz="0" w:space="0" w:color="auto"/>
                                <w:bottom w:val="none" w:sz="0" w:space="0" w:color="auto"/>
                                <w:right w:val="none" w:sz="0" w:space="0" w:color="auto"/>
                              </w:divBdr>
                              <w:divsChild>
                                <w:div w:id="4670328">
                                  <w:marLeft w:val="0"/>
                                  <w:marRight w:val="0"/>
                                  <w:marTop w:val="0"/>
                                  <w:marBottom w:val="0"/>
                                  <w:divBdr>
                                    <w:top w:val="none" w:sz="0" w:space="0" w:color="auto"/>
                                    <w:left w:val="none" w:sz="0" w:space="0" w:color="auto"/>
                                    <w:bottom w:val="none" w:sz="0" w:space="0" w:color="auto"/>
                                    <w:right w:val="none" w:sz="0" w:space="0" w:color="auto"/>
                                  </w:divBdr>
                                  <w:divsChild>
                                    <w:div w:id="467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83">
      <w:marLeft w:val="0"/>
      <w:marRight w:val="0"/>
      <w:marTop w:val="0"/>
      <w:marBottom w:val="0"/>
      <w:divBdr>
        <w:top w:val="none" w:sz="0" w:space="0" w:color="auto"/>
        <w:left w:val="none" w:sz="0" w:space="0" w:color="auto"/>
        <w:bottom w:val="none" w:sz="0" w:space="0" w:color="auto"/>
        <w:right w:val="none" w:sz="0" w:space="0" w:color="auto"/>
      </w:divBdr>
      <w:divsChild>
        <w:div w:id="4670382">
          <w:marLeft w:val="0"/>
          <w:marRight w:val="0"/>
          <w:marTop w:val="0"/>
          <w:marBottom w:val="0"/>
          <w:divBdr>
            <w:top w:val="none" w:sz="0" w:space="0" w:color="auto"/>
            <w:left w:val="none" w:sz="0" w:space="0" w:color="auto"/>
            <w:bottom w:val="none" w:sz="0" w:space="0" w:color="auto"/>
            <w:right w:val="none" w:sz="0" w:space="0" w:color="auto"/>
          </w:divBdr>
        </w:div>
      </w:divsChild>
    </w:div>
    <w:div w:id="4670384">
      <w:marLeft w:val="0"/>
      <w:marRight w:val="0"/>
      <w:marTop w:val="0"/>
      <w:marBottom w:val="0"/>
      <w:divBdr>
        <w:top w:val="none" w:sz="0" w:space="0" w:color="auto"/>
        <w:left w:val="none" w:sz="0" w:space="0" w:color="auto"/>
        <w:bottom w:val="none" w:sz="0" w:space="0" w:color="auto"/>
        <w:right w:val="none" w:sz="0" w:space="0" w:color="auto"/>
      </w:divBdr>
    </w:div>
    <w:div w:id="4670385">
      <w:marLeft w:val="0"/>
      <w:marRight w:val="0"/>
      <w:marTop w:val="0"/>
      <w:marBottom w:val="0"/>
      <w:divBdr>
        <w:top w:val="none" w:sz="0" w:space="0" w:color="auto"/>
        <w:left w:val="none" w:sz="0" w:space="0" w:color="auto"/>
        <w:bottom w:val="none" w:sz="0" w:space="0" w:color="auto"/>
        <w:right w:val="none" w:sz="0" w:space="0" w:color="auto"/>
      </w:divBdr>
    </w:div>
    <w:div w:id="4670391">
      <w:marLeft w:val="0"/>
      <w:marRight w:val="0"/>
      <w:marTop w:val="0"/>
      <w:marBottom w:val="0"/>
      <w:divBdr>
        <w:top w:val="none" w:sz="0" w:space="0" w:color="auto"/>
        <w:left w:val="none" w:sz="0" w:space="0" w:color="auto"/>
        <w:bottom w:val="none" w:sz="0" w:space="0" w:color="auto"/>
        <w:right w:val="none" w:sz="0" w:space="0" w:color="auto"/>
      </w:divBdr>
      <w:divsChild>
        <w:div w:id="4670318">
          <w:marLeft w:val="0"/>
          <w:marRight w:val="0"/>
          <w:marTop w:val="0"/>
          <w:marBottom w:val="0"/>
          <w:divBdr>
            <w:top w:val="none" w:sz="0" w:space="0" w:color="auto"/>
            <w:left w:val="none" w:sz="0" w:space="0" w:color="auto"/>
            <w:bottom w:val="none" w:sz="0" w:space="0" w:color="auto"/>
            <w:right w:val="none" w:sz="0" w:space="0" w:color="auto"/>
          </w:divBdr>
          <w:divsChild>
            <w:div w:id="4670389">
              <w:marLeft w:val="0"/>
              <w:marRight w:val="0"/>
              <w:marTop w:val="0"/>
              <w:marBottom w:val="0"/>
              <w:divBdr>
                <w:top w:val="none" w:sz="0" w:space="0" w:color="auto"/>
                <w:left w:val="none" w:sz="0" w:space="0" w:color="auto"/>
                <w:bottom w:val="none" w:sz="0" w:space="0" w:color="auto"/>
                <w:right w:val="none" w:sz="0" w:space="0" w:color="auto"/>
              </w:divBdr>
              <w:divsChild>
                <w:div w:id="4670321">
                  <w:marLeft w:val="0"/>
                  <w:marRight w:val="0"/>
                  <w:marTop w:val="0"/>
                  <w:marBottom w:val="0"/>
                  <w:divBdr>
                    <w:top w:val="none" w:sz="0" w:space="0" w:color="auto"/>
                    <w:left w:val="none" w:sz="0" w:space="0" w:color="auto"/>
                    <w:bottom w:val="none" w:sz="0" w:space="0" w:color="auto"/>
                    <w:right w:val="none" w:sz="0" w:space="0" w:color="auto"/>
                  </w:divBdr>
                  <w:divsChild>
                    <w:div w:id="4670312">
                      <w:marLeft w:val="0"/>
                      <w:marRight w:val="0"/>
                      <w:marTop w:val="0"/>
                      <w:marBottom w:val="0"/>
                      <w:divBdr>
                        <w:top w:val="none" w:sz="0" w:space="0" w:color="auto"/>
                        <w:left w:val="none" w:sz="0" w:space="0" w:color="auto"/>
                        <w:bottom w:val="none" w:sz="0" w:space="0" w:color="auto"/>
                        <w:right w:val="none" w:sz="0" w:space="0" w:color="auto"/>
                      </w:divBdr>
                      <w:divsChild>
                        <w:div w:id="4670319">
                          <w:marLeft w:val="0"/>
                          <w:marRight w:val="0"/>
                          <w:marTop w:val="0"/>
                          <w:marBottom w:val="0"/>
                          <w:divBdr>
                            <w:top w:val="none" w:sz="0" w:space="0" w:color="auto"/>
                            <w:left w:val="none" w:sz="0" w:space="0" w:color="auto"/>
                            <w:bottom w:val="none" w:sz="0" w:space="0" w:color="auto"/>
                            <w:right w:val="none" w:sz="0" w:space="0" w:color="auto"/>
                          </w:divBdr>
                          <w:divsChild>
                            <w:div w:id="4670316">
                              <w:marLeft w:val="0"/>
                              <w:marRight w:val="0"/>
                              <w:marTop w:val="1125"/>
                              <w:marBottom w:val="0"/>
                              <w:divBdr>
                                <w:top w:val="none" w:sz="0" w:space="0" w:color="auto"/>
                                <w:left w:val="none" w:sz="0" w:space="0" w:color="auto"/>
                                <w:bottom w:val="none" w:sz="0" w:space="0" w:color="auto"/>
                                <w:right w:val="none" w:sz="0" w:space="0" w:color="auto"/>
                              </w:divBdr>
                              <w:divsChild>
                                <w:div w:id="4670387">
                                  <w:marLeft w:val="0"/>
                                  <w:marRight w:val="0"/>
                                  <w:marTop w:val="0"/>
                                  <w:marBottom w:val="0"/>
                                  <w:divBdr>
                                    <w:top w:val="none" w:sz="0" w:space="0" w:color="auto"/>
                                    <w:left w:val="none" w:sz="0" w:space="0" w:color="auto"/>
                                    <w:bottom w:val="none" w:sz="0" w:space="0" w:color="auto"/>
                                    <w:right w:val="none" w:sz="0" w:space="0" w:color="auto"/>
                                  </w:divBdr>
                                  <w:divsChild>
                                    <w:div w:id="46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atacube.statistics.sk/TM1WebSK/"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4\DTB%20niektore%20udaje%20do%20vyrocnej%20spravy%202014.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adriana.shearman\ASUS-Shearman\Documents\InCites%20M&#352;%20graf%209.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[DTB niektore udaje do vyrocnej spravy 2014.xlsx]počet študetnov graf!Kontingenčná tabuľka1</c:name>
    <c:fmtId val="-1"/>
  </c:pivotSource>
  <c:chart>
    <c:autoTitleDeleted val="1"/>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dLbl>
          <c:idx val="0"/>
          <c:delete val="1"/>
        </c:dLbl>
      </c:pivotFmt>
      <c:pivotFmt>
        <c:idx val="13"/>
        <c:marker>
          <c:symbol val="none"/>
        </c:marker>
        <c:dLbl>
          <c:idx val="0"/>
          <c:delete val="1"/>
        </c:dLbl>
      </c:pivotFmt>
      <c:pivotFmt>
        <c:idx val="14"/>
        <c:marker>
          <c:symbol val="none"/>
        </c:marker>
        <c:dLbl>
          <c:idx val="0"/>
          <c:delete val="1"/>
        </c:dLbl>
      </c:pivotFmt>
      <c:pivotFmt>
        <c:idx val="15"/>
        <c:marker>
          <c:symbol val="none"/>
        </c:marker>
      </c:pivotFmt>
      <c:pivotFmt>
        <c:idx val="16"/>
        <c:marker>
          <c:symbol val="none"/>
        </c:marker>
      </c:pivotFmt>
      <c:pivotFmt>
        <c:idx val="17"/>
        <c:marker>
          <c:symbol val="none"/>
        </c:marker>
      </c:pivotFmt>
      <c:pivotFmt>
        <c:idx val="18"/>
        <c:marker>
          <c:symbol val="none"/>
        </c:marker>
      </c:pivotFmt>
      <c:pivotFmt>
        <c:idx val="19"/>
        <c:marker>
          <c:symbol val="none"/>
        </c:marker>
      </c:pivotFmt>
      <c:pivotFmt>
        <c:idx val="20"/>
        <c:marker>
          <c:symbol val="none"/>
        </c:marker>
      </c:pivotFmt>
      <c:pivotFmt>
        <c:idx val="21"/>
        <c:marker>
          <c:symbol val="none"/>
        </c:marker>
      </c:pivotFmt>
      <c:pivotFmt>
        <c:idx val="22"/>
        <c:marker>
          <c:symbol val="none"/>
        </c:marker>
      </c:pivotFmt>
      <c:pivotFmt>
        <c:idx val="23"/>
        <c:marker>
          <c:symbol val="none"/>
        </c:marker>
      </c:pivotFmt>
      <c:pivotFmt>
        <c:idx val="24"/>
        <c:marker>
          <c:symbol val="none"/>
        </c:marker>
      </c:pivotFmt>
      <c:pivotFmt>
        <c:idx val="25"/>
        <c:marker>
          <c:symbol val="none"/>
        </c:marker>
      </c:pivotFmt>
      <c:pivotFmt>
        <c:idx val="26"/>
        <c:marker>
          <c:symbol val="none"/>
        </c:marker>
      </c:pivotFmt>
      <c:pivotFmt>
        <c:idx val="27"/>
        <c:marker>
          <c:symbol val="none"/>
        </c:marker>
      </c:pivotFmt>
    </c:pivotFmts>
    <c:plotArea>
      <c:layout/>
      <c:barChart>
        <c:barDir val="col"/>
        <c:grouping val="stacked"/>
        <c:varyColors val="0"/>
        <c:ser>
          <c:idx val="0"/>
          <c:order val="0"/>
          <c:tx>
            <c:strRef>
              <c:f>'počet študetnov graf'!$B$3:$B$4</c:f>
              <c:strCache>
                <c:ptCount val="1"/>
                <c:pt idx="0">
                  <c:v>verejné</c:v>
                </c:pt>
              </c:strCache>
            </c:strRef>
          </c:tx>
          <c:invertIfNegative val="0"/>
          <c:cat>
            <c:strRef>
              <c:f>'počet študetnov graf'!$A$5:$A$9</c:f>
              <c:strCache>
                <c:ptCount val="5"/>
                <c:pt idx="0">
                  <c:v>2010</c:v>
                </c:pt>
                <c:pt idx="1">
                  <c:v>2011</c:v>
                </c:pt>
                <c:pt idx="2">
                  <c:v>2012</c:v>
                </c:pt>
                <c:pt idx="3">
                  <c:v>2013</c:v>
                </c:pt>
                <c:pt idx="4">
                  <c:v>2014</c:v>
                </c:pt>
              </c:strCache>
            </c:strRef>
          </c:cat>
          <c:val>
            <c:numRef>
              <c:f>'počet študetnov graf'!$B$5:$B$9</c:f>
              <c:numCache>
                <c:formatCode>General</c:formatCode>
                <c:ptCount val="5"/>
                <c:pt idx="0">
                  <c:v>179658</c:v>
                </c:pt>
                <c:pt idx="1">
                  <c:v>172993</c:v>
                </c:pt>
                <c:pt idx="2">
                  <c:v>164939</c:v>
                </c:pt>
                <c:pt idx="3">
                  <c:v>156718</c:v>
                </c:pt>
                <c:pt idx="4">
                  <c:v>147585</c:v>
                </c:pt>
              </c:numCache>
            </c:numRef>
          </c:val>
        </c:ser>
        <c:ser>
          <c:idx val="1"/>
          <c:order val="1"/>
          <c:tx>
            <c:strRef>
              <c:f>'počet študetnov graf'!$C$3:$C$4</c:f>
              <c:strCache>
                <c:ptCount val="1"/>
                <c:pt idx="0">
                  <c:v>súkromné</c:v>
                </c:pt>
              </c:strCache>
            </c:strRef>
          </c:tx>
          <c:invertIfNegative val="0"/>
          <c:cat>
            <c:strRef>
              <c:f>'počet študetnov graf'!$A$5:$A$9</c:f>
              <c:strCache>
                <c:ptCount val="5"/>
                <c:pt idx="0">
                  <c:v>2010</c:v>
                </c:pt>
                <c:pt idx="1">
                  <c:v>2011</c:v>
                </c:pt>
                <c:pt idx="2">
                  <c:v>2012</c:v>
                </c:pt>
                <c:pt idx="3">
                  <c:v>2013</c:v>
                </c:pt>
                <c:pt idx="4">
                  <c:v>2014</c:v>
                </c:pt>
              </c:strCache>
            </c:strRef>
          </c:cat>
          <c:val>
            <c:numRef>
              <c:f>'počet študetnov graf'!$C$5:$C$9</c:f>
              <c:numCache>
                <c:formatCode>General</c:formatCode>
                <c:ptCount val="5"/>
                <c:pt idx="0">
                  <c:v>37381</c:v>
                </c:pt>
                <c:pt idx="1">
                  <c:v>38991</c:v>
                </c:pt>
                <c:pt idx="2">
                  <c:v>35805</c:v>
                </c:pt>
                <c:pt idx="3">
                  <c:v>32167</c:v>
                </c:pt>
                <c:pt idx="4">
                  <c:v>27845</c:v>
                </c:pt>
              </c:numCache>
            </c:numRef>
          </c:val>
        </c:ser>
        <c:dLbls>
          <c:showLegendKey val="0"/>
          <c:showVal val="0"/>
          <c:showCatName val="0"/>
          <c:showSerName val="0"/>
          <c:showPercent val="0"/>
          <c:showBubbleSize val="0"/>
        </c:dLbls>
        <c:gapWidth val="75"/>
        <c:overlap val="100"/>
        <c:axId val="150882560"/>
        <c:axId val="26112000"/>
      </c:barChart>
      <c:catAx>
        <c:axId val="150882560"/>
        <c:scaling>
          <c:orientation val="minMax"/>
        </c:scaling>
        <c:delete val="0"/>
        <c:axPos val="b"/>
        <c:majorTickMark val="none"/>
        <c:minorTickMark val="none"/>
        <c:tickLblPos val="nextTo"/>
        <c:crossAx val="26112000"/>
        <c:crosses val="autoZero"/>
        <c:auto val="1"/>
        <c:lblAlgn val="ctr"/>
        <c:lblOffset val="100"/>
        <c:noMultiLvlLbl val="0"/>
      </c:catAx>
      <c:valAx>
        <c:axId val="26112000"/>
        <c:scaling>
          <c:orientation val="minMax"/>
          <c:max val="230000"/>
          <c:min val="100000"/>
        </c:scaling>
        <c:delete val="0"/>
        <c:axPos val="l"/>
        <c:majorGridlines/>
        <c:minorGridlines/>
        <c:numFmt formatCode="General" sourceLinked="1"/>
        <c:majorTickMark val="none"/>
        <c:minorTickMark val="none"/>
        <c:tickLblPos val="nextTo"/>
        <c:spPr>
          <a:ln w="9525">
            <a:noFill/>
          </a:ln>
        </c:spPr>
        <c:crossAx val="150882560"/>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4"/>
          <c:order val="0"/>
          <c:tx>
            <c:strRef>
              <c:f>'PK -vstupy'!$D$1</c:f>
              <c:strCache>
                <c:ptCount val="1"/>
                <c:pt idx="0">
                  <c:v>2010</c:v>
                </c:pt>
              </c:strCache>
            </c:strRef>
          </c:tx>
          <c:invertIfNegative val="0"/>
          <c:cat>
            <c:strRef>
              <c:f>('PK -vstupy'!$A$2:$A$4,'PK -vstupy'!$A$7:$A$9)</c:f>
              <c:strCache>
                <c:ptCount val="6"/>
                <c:pt idx="0">
                  <c:v>prihlášky</c:v>
                </c:pt>
                <c:pt idx="1">
                  <c:v>prijatia</c:v>
                </c:pt>
                <c:pt idx="2">
                  <c:v>zápis</c:v>
                </c:pt>
                <c:pt idx="3">
                  <c:v>prihlásení</c:v>
                </c:pt>
                <c:pt idx="4">
                  <c:v>prijatí</c:v>
                </c:pt>
                <c:pt idx="5">
                  <c:v>zapísaní</c:v>
                </c:pt>
              </c:strCache>
            </c:strRef>
          </c:cat>
          <c:val>
            <c:numRef>
              <c:f>('PK -vstupy'!$D$2:$D$4,'PK -vstupy'!$D$7:$D$9)</c:f>
              <c:numCache>
                <c:formatCode>General</c:formatCode>
                <c:ptCount val="6"/>
                <c:pt idx="0">
                  <c:v>144038</c:v>
                </c:pt>
                <c:pt idx="1">
                  <c:v>73594</c:v>
                </c:pt>
                <c:pt idx="2">
                  <c:v>49758</c:v>
                </c:pt>
                <c:pt idx="3">
                  <c:v>73059</c:v>
                </c:pt>
                <c:pt idx="4">
                  <c:v>55602</c:v>
                </c:pt>
                <c:pt idx="5">
                  <c:v>49146</c:v>
                </c:pt>
              </c:numCache>
            </c:numRef>
          </c:val>
        </c:ser>
        <c:ser>
          <c:idx val="5"/>
          <c:order val="1"/>
          <c:tx>
            <c:strRef>
              <c:f>'PK -vstupy'!$E$1</c:f>
              <c:strCache>
                <c:ptCount val="1"/>
                <c:pt idx="0">
                  <c:v>2011</c:v>
                </c:pt>
              </c:strCache>
            </c:strRef>
          </c:tx>
          <c:invertIfNegative val="0"/>
          <c:cat>
            <c:strRef>
              <c:f>('PK -vstupy'!$A$2:$A$4,'PK -vstupy'!$A$7:$A$9)</c:f>
              <c:strCache>
                <c:ptCount val="6"/>
                <c:pt idx="0">
                  <c:v>prihlášky</c:v>
                </c:pt>
                <c:pt idx="1">
                  <c:v>prijatia</c:v>
                </c:pt>
                <c:pt idx="2">
                  <c:v>zápis</c:v>
                </c:pt>
                <c:pt idx="3">
                  <c:v>prihlásení</c:v>
                </c:pt>
                <c:pt idx="4">
                  <c:v>prijatí</c:v>
                </c:pt>
                <c:pt idx="5">
                  <c:v>zapísaní</c:v>
                </c:pt>
              </c:strCache>
            </c:strRef>
          </c:cat>
          <c:val>
            <c:numRef>
              <c:f>('PK -vstupy'!$E$2:$E$4,'PK -vstupy'!$E$7:$E$9)</c:f>
              <c:numCache>
                <c:formatCode>General</c:formatCode>
                <c:ptCount val="6"/>
                <c:pt idx="0">
                  <c:v>135739</c:v>
                </c:pt>
                <c:pt idx="1">
                  <c:v>74111</c:v>
                </c:pt>
                <c:pt idx="2">
                  <c:v>49074</c:v>
                </c:pt>
                <c:pt idx="3">
                  <c:v>67255</c:v>
                </c:pt>
                <c:pt idx="4">
                  <c:v>54414</c:v>
                </c:pt>
                <c:pt idx="5">
                  <c:v>48533</c:v>
                </c:pt>
              </c:numCache>
            </c:numRef>
          </c:val>
        </c:ser>
        <c:ser>
          <c:idx val="0"/>
          <c:order val="2"/>
          <c:tx>
            <c:strRef>
              <c:f>'PK -vstupy'!$F$1</c:f>
              <c:strCache>
                <c:ptCount val="1"/>
                <c:pt idx="0">
                  <c:v>2012</c:v>
                </c:pt>
              </c:strCache>
            </c:strRef>
          </c:tx>
          <c:invertIfNegative val="0"/>
          <c:cat>
            <c:strRef>
              <c:f>('PK -vstupy'!$A$2:$A$4,'PK -vstupy'!$A$7:$A$9)</c:f>
              <c:strCache>
                <c:ptCount val="6"/>
                <c:pt idx="0">
                  <c:v>prihlášky</c:v>
                </c:pt>
                <c:pt idx="1">
                  <c:v>prijatia</c:v>
                </c:pt>
                <c:pt idx="2">
                  <c:v>zápis</c:v>
                </c:pt>
                <c:pt idx="3">
                  <c:v>prihlásení</c:v>
                </c:pt>
                <c:pt idx="4">
                  <c:v>prijatí</c:v>
                </c:pt>
                <c:pt idx="5">
                  <c:v>zapísaní</c:v>
                </c:pt>
              </c:strCache>
            </c:strRef>
          </c:cat>
          <c:val>
            <c:numRef>
              <c:f>('PK -vstupy'!$F$2:$F$4,'PK -vstupy'!$F$7:$F$9)</c:f>
              <c:numCache>
                <c:formatCode>General</c:formatCode>
                <c:ptCount val="6"/>
                <c:pt idx="0">
                  <c:v>117806</c:v>
                </c:pt>
                <c:pt idx="1">
                  <c:v>69775</c:v>
                </c:pt>
                <c:pt idx="2">
                  <c:v>44994</c:v>
                </c:pt>
                <c:pt idx="3">
                  <c:v>60043</c:v>
                </c:pt>
                <c:pt idx="4">
                  <c:v>50203</c:v>
                </c:pt>
                <c:pt idx="5">
                  <c:v>44458</c:v>
                </c:pt>
              </c:numCache>
            </c:numRef>
          </c:val>
        </c:ser>
        <c:ser>
          <c:idx val="1"/>
          <c:order val="3"/>
          <c:tx>
            <c:strRef>
              <c:f>'PK -vstupy'!$G$1</c:f>
              <c:strCache>
                <c:ptCount val="1"/>
                <c:pt idx="0">
                  <c:v>2013</c:v>
                </c:pt>
              </c:strCache>
            </c:strRef>
          </c:tx>
          <c:invertIfNegative val="0"/>
          <c:cat>
            <c:strRef>
              <c:f>('PK -vstupy'!$A$2:$A$4,'PK -vstupy'!$A$7:$A$9)</c:f>
              <c:strCache>
                <c:ptCount val="6"/>
                <c:pt idx="0">
                  <c:v>prihlášky</c:v>
                </c:pt>
                <c:pt idx="1">
                  <c:v>prijatia</c:v>
                </c:pt>
                <c:pt idx="2">
                  <c:v>zápis</c:v>
                </c:pt>
                <c:pt idx="3">
                  <c:v>prihlásení</c:v>
                </c:pt>
                <c:pt idx="4">
                  <c:v>prijatí</c:v>
                </c:pt>
                <c:pt idx="5">
                  <c:v>zapísaní</c:v>
                </c:pt>
              </c:strCache>
            </c:strRef>
          </c:cat>
          <c:val>
            <c:numRef>
              <c:f>('PK -vstupy'!$G$2:$G$4,'PK -vstupy'!$G$7:$G$9)</c:f>
              <c:numCache>
                <c:formatCode>General</c:formatCode>
                <c:ptCount val="6"/>
                <c:pt idx="0">
                  <c:v>101345</c:v>
                </c:pt>
                <c:pt idx="1">
                  <c:v>63510</c:v>
                </c:pt>
                <c:pt idx="2">
                  <c:v>41894</c:v>
                </c:pt>
                <c:pt idx="3">
                  <c:v>54561</c:v>
                </c:pt>
                <c:pt idx="4">
                  <c:v>46557</c:v>
                </c:pt>
                <c:pt idx="5">
                  <c:v>41628</c:v>
                </c:pt>
              </c:numCache>
            </c:numRef>
          </c:val>
        </c:ser>
        <c:ser>
          <c:idx val="6"/>
          <c:order val="4"/>
          <c:tx>
            <c:strRef>
              <c:f>'PK -vstupy'!$H$1</c:f>
              <c:strCache>
                <c:ptCount val="1"/>
                <c:pt idx="0">
                  <c:v>2014</c:v>
                </c:pt>
              </c:strCache>
            </c:strRef>
          </c:tx>
          <c:invertIfNegative val="0"/>
          <c:cat>
            <c:strRef>
              <c:f>('PK -vstupy'!$A$2:$A$4,'PK -vstupy'!$A$7:$A$9)</c:f>
              <c:strCache>
                <c:ptCount val="6"/>
                <c:pt idx="0">
                  <c:v>prihlášky</c:v>
                </c:pt>
                <c:pt idx="1">
                  <c:v>prijatia</c:v>
                </c:pt>
                <c:pt idx="2">
                  <c:v>zápis</c:v>
                </c:pt>
                <c:pt idx="3">
                  <c:v>prihlásení</c:v>
                </c:pt>
                <c:pt idx="4">
                  <c:v>prijatí</c:v>
                </c:pt>
                <c:pt idx="5">
                  <c:v>zapísaní</c:v>
                </c:pt>
              </c:strCache>
            </c:strRef>
          </c:cat>
          <c:val>
            <c:numRef>
              <c:f>('PK -vstupy'!$H$2:$H$4,'PK -vstupy'!$H$7:$H$9)</c:f>
              <c:numCache>
                <c:formatCode>General</c:formatCode>
                <c:ptCount val="6"/>
                <c:pt idx="0">
                  <c:v>87109</c:v>
                </c:pt>
                <c:pt idx="1">
                  <c:v>57214</c:v>
                </c:pt>
                <c:pt idx="2">
                  <c:v>38190</c:v>
                </c:pt>
                <c:pt idx="3">
                  <c:v>48961</c:v>
                </c:pt>
                <c:pt idx="4">
                  <c:v>42553</c:v>
                </c:pt>
                <c:pt idx="5">
                  <c:v>37938</c:v>
                </c:pt>
              </c:numCache>
            </c:numRef>
          </c:val>
        </c:ser>
        <c:dLbls>
          <c:showLegendKey val="0"/>
          <c:showVal val="0"/>
          <c:showCatName val="0"/>
          <c:showSerName val="0"/>
          <c:showPercent val="0"/>
          <c:showBubbleSize val="0"/>
        </c:dLbls>
        <c:gapWidth val="150"/>
        <c:axId val="137525888"/>
        <c:axId val="137527680"/>
      </c:barChart>
      <c:catAx>
        <c:axId val="137525888"/>
        <c:scaling>
          <c:orientation val="minMax"/>
        </c:scaling>
        <c:delete val="0"/>
        <c:axPos val="b"/>
        <c:numFmt formatCode="General" sourceLinked="1"/>
        <c:majorTickMark val="out"/>
        <c:minorTickMark val="none"/>
        <c:tickLblPos val="nextTo"/>
        <c:crossAx val="137527680"/>
        <c:crosses val="autoZero"/>
        <c:auto val="1"/>
        <c:lblAlgn val="ctr"/>
        <c:lblOffset val="100"/>
        <c:noMultiLvlLbl val="0"/>
      </c:catAx>
      <c:valAx>
        <c:axId val="137527680"/>
        <c:scaling>
          <c:orientation val="minMax"/>
          <c:max val="160000"/>
        </c:scaling>
        <c:delete val="0"/>
        <c:axPos val="l"/>
        <c:majorGridlines/>
        <c:numFmt formatCode="General" sourceLinked="1"/>
        <c:majorTickMark val="out"/>
        <c:minorTickMark val="none"/>
        <c:tickLblPos val="nextTo"/>
        <c:crossAx val="137525888"/>
        <c:crosses val="autoZero"/>
        <c:crossBetween val="between"/>
      </c:valAx>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4"/>
          <c:order val="0"/>
          <c:tx>
            <c:strRef>
              <c:f>Hárok4!$B$2</c:f>
              <c:strCache>
                <c:ptCount val="1"/>
                <c:pt idx="0">
                  <c:v>počet 19-ročných</c:v>
                </c:pt>
              </c:strCache>
            </c:strRef>
          </c:tx>
          <c:spPr>
            <a:solidFill>
              <a:schemeClr val="accent4">
                <a:lumMod val="60000"/>
                <a:lumOff val="40000"/>
              </a:schemeClr>
            </a:solidFill>
          </c:spPr>
          <c:invertIfNegative val="0"/>
          <c:cat>
            <c:numRef>
              <c:f>Hárok4!$A$3:$A$7</c:f>
              <c:numCache>
                <c:formatCode>General</c:formatCode>
                <c:ptCount val="5"/>
                <c:pt idx="0">
                  <c:v>2014</c:v>
                </c:pt>
                <c:pt idx="1">
                  <c:v>2013</c:v>
                </c:pt>
                <c:pt idx="2">
                  <c:v>2012</c:v>
                </c:pt>
                <c:pt idx="3">
                  <c:v>2011</c:v>
                </c:pt>
                <c:pt idx="4">
                  <c:v>2010</c:v>
                </c:pt>
              </c:numCache>
            </c:numRef>
          </c:cat>
          <c:val>
            <c:numRef>
              <c:f>Hárok4!$B$3:$B$7</c:f>
              <c:numCache>
                <c:formatCode>General</c:formatCode>
                <c:ptCount val="5"/>
                <c:pt idx="0">
                  <c:v>60988</c:v>
                </c:pt>
                <c:pt idx="1">
                  <c:v>65797</c:v>
                </c:pt>
                <c:pt idx="2">
                  <c:v>72240</c:v>
                </c:pt>
                <c:pt idx="3">
                  <c:v>73411</c:v>
                </c:pt>
                <c:pt idx="4">
                  <c:v>77353</c:v>
                </c:pt>
              </c:numCache>
            </c:numRef>
          </c:val>
        </c:ser>
        <c:ser>
          <c:idx val="2"/>
          <c:order val="1"/>
          <c:tx>
            <c:strRef>
              <c:f>Hárok4!$C$2</c:f>
              <c:strCache>
                <c:ptCount val="1"/>
                <c:pt idx="0">
                  <c:v>počet maturantov</c:v>
                </c:pt>
              </c:strCache>
            </c:strRef>
          </c:tx>
          <c:spPr>
            <a:solidFill>
              <a:schemeClr val="accent3">
                <a:lumMod val="60000"/>
                <a:lumOff val="40000"/>
              </a:schemeClr>
            </a:solidFill>
          </c:spPr>
          <c:invertIfNegative val="0"/>
          <c:cat>
            <c:numRef>
              <c:f>Hárok4!$A$3:$A$7</c:f>
              <c:numCache>
                <c:formatCode>General</c:formatCode>
                <c:ptCount val="5"/>
                <c:pt idx="0">
                  <c:v>2014</c:v>
                </c:pt>
                <c:pt idx="1">
                  <c:v>2013</c:v>
                </c:pt>
                <c:pt idx="2">
                  <c:v>2012</c:v>
                </c:pt>
                <c:pt idx="3">
                  <c:v>2011</c:v>
                </c:pt>
                <c:pt idx="4">
                  <c:v>2010</c:v>
                </c:pt>
              </c:numCache>
            </c:numRef>
          </c:cat>
          <c:val>
            <c:numRef>
              <c:f>Hárok4!$C$3:$C$7</c:f>
              <c:numCache>
                <c:formatCode>General</c:formatCode>
                <c:ptCount val="5"/>
                <c:pt idx="0">
                  <c:v>47780</c:v>
                </c:pt>
                <c:pt idx="1">
                  <c:v>53907</c:v>
                </c:pt>
                <c:pt idx="2">
                  <c:v>56997</c:v>
                </c:pt>
                <c:pt idx="3">
                  <c:v>57735</c:v>
                </c:pt>
                <c:pt idx="4">
                  <c:v>59644</c:v>
                </c:pt>
              </c:numCache>
            </c:numRef>
          </c:val>
        </c:ser>
        <c:ser>
          <c:idx val="0"/>
          <c:order val="2"/>
          <c:tx>
            <c:strRef>
              <c:f>Hárok4!$D$2</c:f>
              <c:strCache>
                <c:ptCount val="1"/>
                <c:pt idx="0">
                  <c:v>zapísaní celkom fyzické osoby</c:v>
                </c:pt>
              </c:strCache>
            </c:strRef>
          </c:tx>
          <c:spPr>
            <a:solidFill>
              <a:srgbClr val="C00000"/>
            </a:solidFill>
          </c:spPr>
          <c:invertIfNegative val="0"/>
          <c:cat>
            <c:numRef>
              <c:f>Hárok4!$A$3:$A$7</c:f>
              <c:numCache>
                <c:formatCode>General</c:formatCode>
                <c:ptCount val="5"/>
                <c:pt idx="0">
                  <c:v>2014</c:v>
                </c:pt>
                <c:pt idx="1">
                  <c:v>2013</c:v>
                </c:pt>
                <c:pt idx="2">
                  <c:v>2012</c:v>
                </c:pt>
                <c:pt idx="3">
                  <c:v>2011</c:v>
                </c:pt>
                <c:pt idx="4">
                  <c:v>2010</c:v>
                </c:pt>
              </c:numCache>
            </c:numRef>
          </c:cat>
          <c:val>
            <c:numRef>
              <c:f>Hárok4!$D$3:$D$7</c:f>
              <c:numCache>
                <c:formatCode>General</c:formatCode>
                <c:ptCount val="5"/>
                <c:pt idx="0">
                  <c:v>37938</c:v>
                </c:pt>
                <c:pt idx="1">
                  <c:v>41628</c:v>
                </c:pt>
                <c:pt idx="2">
                  <c:v>44458</c:v>
                </c:pt>
                <c:pt idx="3">
                  <c:v>48533</c:v>
                </c:pt>
                <c:pt idx="4">
                  <c:v>49146</c:v>
                </c:pt>
              </c:numCache>
            </c:numRef>
          </c:val>
        </c:ser>
        <c:ser>
          <c:idx val="1"/>
          <c:order val="3"/>
          <c:tx>
            <c:strRef>
              <c:f>Hárok4!$E$2</c:f>
              <c:strCache>
                <c:ptCount val="1"/>
                <c:pt idx="0">
                  <c:v>zapísaní maturanti fyzické osoby</c:v>
                </c:pt>
              </c:strCache>
            </c:strRef>
          </c:tx>
          <c:spPr>
            <a:solidFill>
              <a:schemeClr val="accent1"/>
            </a:solidFill>
          </c:spPr>
          <c:invertIfNegative val="0"/>
          <c:cat>
            <c:numRef>
              <c:f>Hárok4!$A$3:$A$7</c:f>
              <c:numCache>
                <c:formatCode>General</c:formatCode>
                <c:ptCount val="5"/>
                <c:pt idx="0">
                  <c:v>2014</c:v>
                </c:pt>
                <c:pt idx="1">
                  <c:v>2013</c:v>
                </c:pt>
                <c:pt idx="2">
                  <c:v>2012</c:v>
                </c:pt>
                <c:pt idx="3">
                  <c:v>2011</c:v>
                </c:pt>
                <c:pt idx="4">
                  <c:v>2010</c:v>
                </c:pt>
              </c:numCache>
            </c:numRef>
          </c:cat>
          <c:val>
            <c:numRef>
              <c:f>Hárok4!$E$3:$E$7</c:f>
              <c:numCache>
                <c:formatCode>General</c:formatCode>
                <c:ptCount val="5"/>
                <c:pt idx="0">
                  <c:v>21611</c:v>
                </c:pt>
                <c:pt idx="1">
                  <c:v>24481</c:v>
                </c:pt>
                <c:pt idx="2">
                  <c:v>26294</c:v>
                </c:pt>
                <c:pt idx="3">
                  <c:v>26906</c:v>
                </c:pt>
                <c:pt idx="4">
                  <c:v>27249</c:v>
                </c:pt>
              </c:numCache>
            </c:numRef>
          </c:val>
        </c:ser>
        <c:dLbls>
          <c:showLegendKey val="0"/>
          <c:showVal val="0"/>
          <c:showCatName val="0"/>
          <c:showSerName val="0"/>
          <c:showPercent val="0"/>
          <c:showBubbleSize val="0"/>
        </c:dLbls>
        <c:gapWidth val="80"/>
        <c:axId val="137541888"/>
        <c:axId val="137551872"/>
      </c:barChart>
      <c:catAx>
        <c:axId val="137541888"/>
        <c:scaling>
          <c:orientation val="maxMin"/>
        </c:scaling>
        <c:delete val="0"/>
        <c:axPos val="b"/>
        <c:numFmt formatCode="General" sourceLinked="1"/>
        <c:majorTickMark val="out"/>
        <c:minorTickMark val="none"/>
        <c:tickLblPos val="nextTo"/>
        <c:crossAx val="137551872"/>
        <c:crosses val="autoZero"/>
        <c:auto val="1"/>
        <c:lblAlgn val="ctr"/>
        <c:lblOffset val="100"/>
        <c:noMultiLvlLbl val="0"/>
      </c:catAx>
      <c:valAx>
        <c:axId val="137551872"/>
        <c:scaling>
          <c:orientation val="minMax"/>
          <c:max val="80000"/>
        </c:scaling>
        <c:delete val="0"/>
        <c:axPos val="r"/>
        <c:majorGridlines/>
        <c:numFmt formatCode="General" sourceLinked="1"/>
        <c:majorTickMark val="out"/>
        <c:minorTickMark val="none"/>
        <c:tickLblPos val="nextTo"/>
        <c:txPr>
          <a:bodyPr rot="0"/>
          <a:lstStyle/>
          <a:p>
            <a:pPr>
              <a:defRPr/>
            </a:pPr>
            <a:endParaRPr lang="sk-SK"/>
          </a:p>
        </c:txPr>
        <c:crossAx val="137541888"/>
        <c:crosses val="autoZero"/>
        <c:crossBetween val="between"/>
      </c:valAx>
    </c:plotArea>
    <c:legend>
      <c:legendPos val="b"/>
      <c:overlay val="0"/>
      <c:txPr>
        <a:bodyPr/>
        <a:lstStyle/>
        <a:p>
          <a:pPr>
            <a:defRPr sz="800"/>
          </a:pPr>
          <a:endParaRPr lang="sk-SK"/>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4"/>
          <c:order val="0"/>
          <c:tx>
            <c:strRef>
              <c:f>'KT štud'!$E$13</c:f>
              <c:strCache>
                <c:ptCount val="1"/>
                <c:pt idx="0">
                  <c:v>zapísaní maturanti fyzické osoby</c:v>
                </c:pt>
              </c:strCache>
            </c:strRef>
          </c:tx>
          <c:spPr>
            <a:solidFill>
              <a:schemeClr val="tx2">
                <a:lumMod val="60000"/>
                <a:lumOff val="40000"/>
              </a:schemeClr>
            </a:solidFill>
            <a:effectLst>
              <a:outerShdw blurRad="50800" dist="50800" dir="5400000" algn="ctr" rotWithShape="0">
                <a:schemeClr val="tx2">
                  <a:lumMod val="40000"/>
                  <a:lumOff val="60000"/>
                </a:schemeClr>
              </a:outerShdw>
            </a:effectLst>
          </c:spPr>
          <c:invertIfNegative val="0"/>
          <c:dLbls>
            <c:numFmt formatCode="0.0%" sourceLinked="0"/>
            <c:showLegendKey val="0"/>
            <c:showVal val="1"/>
            <c:showCatName val="0"/>
            <c:showSerName val="0"/>
            <c:showPercent val="0"/>
            <c:showBubbleSize val="0"/>
            <c:showLeaderLines val="0"/>
          </c:dLbls>
          <c:cat>
            <c:numRef>
              <c:f>'KT štud'!$A$14:$A$18</c:f>
              <c:numCache>
                <c:formatCode>General</c:formatCode>
                <c:ptCount val="5"/>
                <c:pt idx="0">
                  <c:v>2014</c:v>
                </c:pt>
                <c:pt idx="1">
                  <c:v>2013</c:v>
                </c:pt>
                <c:pt idx="2">
                  <c:v>2012</c:v>
                </c:pt>
                <c:pt idx="3">
                  <c:v>2011</c:v>
                </c:pt>
                <c:pt idx="4">
                  <c:v>2010</c:v>
                </c:pt>
              </c:numCache>
            </c:numRef>
          </c:cat>
          <c:val>
            <c:numRef>
              <c:f>'KT štud'!$E$14:$E$18</c:f>
              <c:numCache>
                <c:formatCode>General</c:formatCode>
                <c:ptCount val="5"/>
                <c:pt idx="0">
                  <c:v>0.35434839640585031</c:v>
                </c:pt>
                <c:pt idx="1">
                  <c:v>0.37206863534811618</c:v>
                </c:pt>
                <c:pt idx="2">
                  <c:v>0.36398117386489481</c:v>
                </c:pt>
                <c:pt idx="3">
                  <c:v>0.36651183065208209</c:v>
                </c:pt>
                <c:pt idx="4">
                  <c:v>0.35226817318009646</c:v>
                </c:pt>
              </c:numCache>
            </c:numRef>
          </c:val>
        </c:ser>
        <c:ser>
          <c:idx val="3"/>
          <c:order val="1"/>
          <c:tx>
            <c:strRef>
              <c:f>'KT štud'!$D$13</c:f>
              <c:strCache>
                <c:ptCount val="1"/>
                <c:pt idx="0">
                  <c:v>zapísaní celkom fyzické osoby</c:v>
                </c:pt>
              </c:strCache>
            </c:strRef>
          </c:tx>
          <c:spPr>
            <a:solidFill>
              <a:srgbClr val="C73759"/>
            </a:solidFill>
          </c:spPr>
          <c:invertIfNegative val="0"/>
          <c:dLbls>
            <c:numFmt formatCode="0.0%" sourceLinked="0"/>
            <c:spPr>
              <a:solidFill>
                <a:srgbClr val="C73759"/>
              </a:solidFill>
            </c:spPr>
            <c:showLegendKey val="0"/>
            <c:showVal val="1"/>
            <c:showCatName val="0"/>
            <c:showSerName val="0"/>
            <c:showPercent val="0"/>
            <c:showBubbleSize val="0"/>
            <c:showLeaderLines val="0"/>
          </c:dLbls>
          <c:cat>
            <c:numRef>
              <c:f>'KT štud'!$A$14:$A$18</c:f>
              <c:numCache>
                <c:formatCode>General</c:formatCode>
                <c:ptCount val="5"/>
                <c:pt idx="0">
                  <c:v>2014</c:v>
                </c:pt>
                <c:pt idx="1">
                  <c:v>2013</c:v>
                </c:pt>
                <c:pt idx="2">
                  <c:v>2012</c:v>
                </c:pt>
                <c:pt idx="3">
                  <c:v>2011</c:v>
                </c:pt>
                <c:pt idx="4">
                  <c:v>2010</c:v>
                </c:pt>
              </c:numCache>
            </c:numRef>
          </c:cat>
          <c:val>
            <c:numRef>
              <c:f>'KT štud'!$D$14:$D$18</c:f>
              <c:numCache>
                <c:formatCode>General</c:formatCode>
                <c:ptCount val="5"/>
                <c:pt idx="0">
                  <c:v>0.26770840165278414</c:v>
                </c:pt>
                <c:pt idx="1">
                  <c:v>0.26060458683526605</c:v>
                </c:pt>
                <c:pt idx="2">
                  <c:v>0.25143964562569215</c:v>
                </c:pt>
                <c:pt idx="3">
                  <c:v>0.29460162645924998</c:v>
                </c:pt>
                <c:pt idx="4">
                  <c:v>0.28307887218336714</c:v>
                </c:pt>
              </c:numCache>
            </c:numRef>
          </c:val>
        </c:ser>
        <c:ser>
          <c:idx val="2"/>
          <c:order val="2"/>
          <c:tx>
            <c:strRef>
              <c:f>'KT štud'!$C$13</c:f>
              <c:strCache>
                <c:ptCount val="1"/>
                <c:pt idx="0">
                  <c:v>počet maturantov</c:v>
                </c:pt>
              </c:strCache>
            </c:strRef>
          </c:tx>
          <c:spPr>
            <a:solidFill>
              <a:schemeClr val="accent3">
                <a:lumMod val="60000"/>
                <a:lumOff val="40000"/>
              </a:schemeClr>
            </a:solidFill>
          </c:spPr>
          <c:invertIfNegative val="0"/>
          <c:dLbls>
            <c:numFmt formatCode="0.0%" sourceLinked="0"/>
            <c:showLegendKey val="0"/>
            <c:showVal val="1"/>
            <c:showCatName val="0"/>
            <c:showSerName val="0"/>
            <c:showPercent val="0"/>
            <c:showBubbleSize val="0"/>
            <c:showLeaderLines val="0"/>
          </c:dLbls>
          <c:cat>
            <c:numRef>
              <c:f>'KT štud'!$A$14:$A$18</c:f>
              <c:numCache>
                <c:formatCode>General</c:formatCode>
                <c:ptCount val="5"/>
                <c:pt idx="0">
                  <c:v>2014</c:v>
                </c:pt>
                <c:pt idx="1">
                  <c:v>2013</c:v>
                </c:pt>
                <c:pt idx="2">
                  <c:v>2012</c:v>
                </c:pt>
                <c:pt idx="3">
                  <c:v>2011</c:v>
                </c:pt>
                <c:pt idx="4">
                  <c:v>2010</c:v>
                </c:pt>
              </c:numCache>
            </c:numRef>
          </c:cat>
          <c:val>
            <c:numRef>
              <c:f>'KT štud'!$C$14:$C$18</c:f>
              <c:numCache>
                <c:formatCode>General</c:formatCode>
                <c:ptCount val="5"/>
                <c:pt idx="0">
                  <c:v>0.16137600839509411</c:v>
                </c:pt>
                <c:pt idx="1">
                  <c:v>0.18661945073483593</c:v>
                </c:pt>
                <c:pt idx="2">
                  <c:v>0.17357419712070876</c:v>
                </c:pt>
                <c:pt idx="3">
                  <c:v>0.1253490621296536</c:v>
                </c:pt>
                <c:pt idx="4">
                  <c:v>0.13571548614791928</c:v>
                </c:pt>
              </c:numCache>
            </c:numRef>
          </c:val>
        </c:ser>
        <c:ser>
          <c:idx val="1"/>
          <c:order val="3"/>
          <c:tx>
            <c:strRef>
              <c:f>'KT štud'!$B$13</c:f>
              <c:strCache>
                <c:ptCount val="1"/>
                <c:pt idx="0">
                  <c:v>počet 19-ročných</c:v>
                </c:pt>
              </c:strCache>
            </c:strRef>
          </c:tx>
          <c:spPr>
            <a:solidFill>
              <a:schemeClr val="accent4">
                <a:lumMod val="60000"/>
                <a:lumOff val="40000"/>
              </a:schemeClr>
            </a:solidFill>
          </c:spPr>
          <c:invertIfNegative val="0"/>
          <c:dLbls>
            <c:numFmt formatCode="0.0%" sourceLinked="0"/>
            <c:showLegendKey val="0"/>
            <c:showVal val="1"/>
            <c:showCatName val="0"/>
            <c:showSerName val="0"/>
            <c:showPercent val="0"/>
            <c:showBubbleSize val="0"/>
            <c:showLeaderLines val="0"/>
          </c:dLbls>
          <c:cat>
            <c:numRef>
              <c:f>'KT štud'!$A$14:$A$18</c:f>
              <c:numCache>
                <c:formatCode>General</c:formatCode>
                <c:ptCount val="5"/>
                <c:pt idx="0">
                  <c:v>2014</c:v>
                </c:pt>
                <c:pt idx="1">
                  <c:v>2013</c:v>
                </c:pt>
                <c:pt idx="2">
                  <c:v>2012</c:v>
                </c:pt>
                <c:pt idx="3">
                  <c:v>2011</c:v>
                </c:pt>
                <c:pt idx="4">
                  <c:v>2010</c:v>
                </c:pt>
              </c:numCache>
            </c:numRef>
          </c:cat>
          <c:val>
            <c:numRef>
              <c:f>'KT štud'!$B$14:$B$18</c:f>
              <c:numCache>
                <c:formatCode>General</c:formatCode>
                <c:ptCount val="5"/>
                <c:pt idx="0">
                  <c:v>0.21656719354627141</c:v>
                </c:pt>
                <c:pt idx="1">
                  <c:v>0.18070732708178183</c:v>
                </c:pt>
                <c:pt idx="2">
                  <c:v>0.21100498338870433</c:v>
                </c:pt>
                <c:pt idx="3">
                  <c:v>0.21353748075901433</c:v>
                </c:pt>
                <c:pt idx="4">
                  <c:v>0.22893746848861712</c:v>
                </c:pt>
              </c:numCache>
            </c:numRef>
          </c:val>
        </c:ser>
        <c:dLbls>
          <c:showLegendKey val="0"/>
          <c:showVal val="0"/>
          <c:showCatName val="0"/>
          <c:showSerName val="0"/>
          <c:showPercent val="0"/>
          <c:showBubbleSize val="0"/>
        </c:dLbls>
        <c:gapWidth val="60"/>
        <c:overlap val="100"/>
        <c:axId val="142220288"/>
        <c:axId val="142222080"/>
      </c:barChart>
      <c:catAx>
        <c:axId val="142220288"/>
        <c:scaling>
          <c:orientation val="maxMin"/>
        </c:scaling>
        <c:delete val="0"/>
        <c:axPos val="b"/>
        <c:numFmt formatCode="General" sourceLinked="1"/>
        <c:majorTickMark val="out"/>
        <c:minorTickMark val="none"/>
        <c:tickLblPos val="nextTo"/>
        <c:crossAx val="142222080"/>
        <c:crosses val="autoZero"/>
        <c:auto val="1"/>
        <c:lblAlgn val="ctr"/>
        <c:lblOffset val="100"/>
        <c:noMultiLvlLbl val="0"/>
      </c:catAx>
      <c:valAx>
        <c:axId val="142222080"/>
        <c:scaling>
          <c:orientation val="minMax"/>
        </c:scaling>
        <c:delete val="0"/>
        <c:axPos val="r"/>
        <c:majorGridlines/>
        <c:numFmt formatCode="0%" sourceLinked="1"/>
        <c:majorTickMark val="out"/>
        <c:minorTickMark val="none"/>
        <c:tickLblPos val="nextTo"/>
        <c:crossAx val="142220288"/>
        <c:crosses val="autoZero"/>
        <c:crossBetween val="between"/>
      </c:valAx>
      <c:spPr>
        <a:ln w="3175">
          <a:solidFill>
            <a:schemeClr val="accent1"/>
          </a:solidFill>
        </a:ln>
      </c:spPr>
    </c:plotArea>
    <c:legend>
      <c:legendPos val="b"/>
      <c:overlay val="0"/>
      <c:txPr>
        <a:bodyPr/>
        <a:lstStyle/>
        <a:p>
          <a:pPr>
            <a:defRPr sz="800"/>
          </a:pPr>
          <a:endParaRPr lang="sk-SK"/>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3"/>
          <c:order val="0"/>
          <c:tx>
            <c:strRef>
              <c:f>'platy vs ucitelia'!$S$1:$S$2</c:f>
              <c:strCache>
                <c:ptCount val="1"/>
                <c:pt idx="0">
                  <c:v>všetci</c:v>
                </c:pt>
              </c:strCache>
            </c:strRef>
          </c:tx>
          <c:invertIfNegative val="0"/>
          <c:cat>
            <c:numRef>
              <c:f>'platy vs ucitelia'!$A$3:$A$7</c:f>
              <c:numCache>
                <c:formatCode>General</c:formatCode>
                <c:ptCount val="5"/>
                <c:pt idx="0">
                  <c:v>2014</c:v>
                </c:pt>
                <c:pt idx="1">
                  <c:v>2013</c:v>
                </c:pt>
                <c:pt idx="2">
                  <c:v>2012</c:v>
                </c:pt>
                <c:pt idx="3">
                  <c:v>2011</c:v>
                </c:pt>
                <c:pt idx="4">
                  <c:v>2010</c:v>
                </c:pt>
              </c:numCache>
            </c:numRef>
          </c:cat>
          <c:val>
            <c:numRef>
              <c:f>'platy vs ucitelia'!$S$3:$S$7</c:f>
              <c:numCache>
                <c:formatCode>#,##0.00</c:formatCode>
                <c:ptCount val="5"/>
                <c:pt idx="0">
                  <c:v>1042.5933771631946</c:v>
                </c:pt>
                <c:pt idx="1">
                  <c:v>985.71</c:v>
                </c:pt>
                <c:pt idx="2">
                  <c:v>937.46997773367991</c:v>
                </c:pt>
                <c:pt idx="3">
                  <c:v>906.59</c:v>
                </c:pt>
                <c:pt idx="4">
                  <c:v>895.46</c:v>
                </c:pt>
              </c:numCache>
            </c:numRef>
          </c:val>
        </c:ser>
        <c:ser>
          <c:idx val="1"/>
          <c:order val="1"/>
          <c:tx>
            <c:strRef>
              <c:f>'platy vs ucitelia'!$C$1:$C$2</c:f>
              <c:strCache>
                <c:ptCount val="1"/>
                <c:pt idx="0">
                  <c:v>vš učitelia</c:v>
                </c:pt>
              </c:strCache>
            </c:strRef>
          </c:tx>
          <c:invertIfNegative val="0"/>
          <c:cat>
            <c:numRef>
              <c:f>'platy vs ucitelia'!$A$3:$A$7</c:f>
              <c:numCache>
                <c:formatCode>General</c:formatCode>
                <c:ptCount val="5"/>
                <c:pt idx="0">
                  <c:v>2014</c:v>
                </c:pt>
                <c:pt idx="1">
                  <c:v>2013</c:v>
                </c:pt>
                <c:pt idx="2">
                  <c:v>2012</c:v>
                </c:pt>
                <c:pt idx="3">
                  <c:v>2011</c:v>
                </c:pt>
                <c:pt idx="4">
                  <c:v>2010</c:v>
                </c:pt>
              </c:numCache>
            </c:numRef>
          </c:cat>
          <c:val>
            <c:numRef>
              <c:f>'platy vs ucitelia'!$C$3:$C$7</c:f>
              <c:numCache>
                <c:formatCode>#,##0.00</c:formatCode>
                <c:ptCount val="5"/>
                <c:pt idx="0">
                  <c:v>1322.6473847629204</c:v>
                </c:pt>
                <c:pt idx="1">
                  <c:v>1245.19</c:v>
                </c:pt>
                <c:pt idx="2">
                  <c:v>1198.7568786420063</c:v>
                </c:pt>
                <c:pt idx="3">
                  <c:v>1156.49</c:v>
                </c:pt>
                <c:pt idx="4">
                  <c:v>1144.55</c:v>
                </c:pt>
              </c:numCache>
            </c:numRef>
          </c:val>
        </c:ser>
        <c:ser>
          <c:idx val="0"/>
          <c:order val="2"/>
          <c:tx>
            <c:strRef>
              <c:f>'platy vs ucitelia'!$E$2</c:f>
              <c:strCache>
                <c:ptCount val="1"/>
                <c:pt idx="0">
                  <c:v>profesori</c:v>
                </c:pt>
              </c:strCache>
            </c:strRef>
          </c:tx>
          <c:invertIfNegative val="0"/>
          <c:cat>
            <c:numRef>
              <c:f>'platy vs ucitelia'!$A$3:$A$7</c:f>
              <c:numCache>
                <c:formatCode>General</c:formatCode>
                <c:ptCount val="5"/>
                <c:pt idx="0">
                  <c:v>2014</c:v>
                </c:pt>
                <c:pt idx="1">
                  <c:v>2013</c:v>
                </c:pt>
                <c:pt idx="2">
                  <c:v>2012</c:v>
                </c:pt>
                <c:pt idx="3">
                  <c:v>2011</c:v>
                </c:pt>
                <c:pt idx="4">
                  <c:v>2010</c:v>
                </c:pt>
              </c:numCache>
            </c:numRef>
          </c:cat>
          <c:val>
            <c:numRef>
              <c:f>'platy vs ucitelia'!$E$3:$E$7</c:f>
              <c:numCache>
                <c:formatCode>#,##0.00</c:formatCode>
                <c:ptCount val="5"/>
                <c:pt idx="0">
                  <c:v>1947.820428768111</c:v>
                </c:pt>
                <c:pt idx="1">
                  <c:v>1849.37</c:v>
                </c:pt>
                <c:pt idx="2">
                  <c:v>1761.6300693062512</c:v>
                </c:pt>
                <c:pt idx="3">
                  <c:v>1699.27</c:v>
                </c:pt>
                <c:pt idx="4">
                  <c:v>1679.66</c:v>
                </c:pt>
              </c:numCache>
            </c:numRef>
          </c:val>
        </c:ser>
        <c:ser>
          <c:idx val="2"/>
          <c:order val="3"/>
          <c:tx>
            <c:strRef>
              <c:f>'platy vs ucitelia'!$O$1:$O$2</c:f>
              <c:strCache>
                <c:ptCount val="1"/>
                <c:pt idx="0">
                  <c:v>výskumníci</c:v>
                </c:pt>
              </c:strCache>
            </c:strRef>
          </c:tx>
          <c:invertIfNegative val="0"/>
          <c:cat>
            <c:numRef>
              <c:f>'platy vs ucitelia'!$A$3:$A$7</c:f>
              <c:numCache>
                <c:formatCode>General</c:formatCode>
                <c:ptCount val="5"/>
                <c:pt idx="0">
                  <c:v>2014</c:v>
                </c:pt>
                <c:pt idx="1">
                  <c:v>2013</c:v>
                </c:pt>
                <c:pt idx="2">
                  <c:v>2012</c:v>
                </c:pt>
                <c:pt idx="3">
                  <c:v>2011</c:v>
                </c:pt>
                <c:pt idx="4">
                  <c:v>2010</c:v>
                </c:pt>
              </c:numCache>
            </c:numRef>
          </c:cat>
          <c:val>
            <c:numRef>
              <c:f>'platy vs ucitelia'!$O$3:$O$7</c:f>
              <c:numCache>
                <c:formatCode>#,##0.00</c:formatCode>
                <c:ptCount val="5"/>
                <c:pt idx="0">
                  <c:v>1062.0236345464164</c:v>
                </c:pt>
                <c:pt idx="1">
                  <c:v>1003.36</c:v>
                </c:pt>
                <c:pt idx="2">
                  <c:v>935.7152015220131</c:v>
                </c:pt>
                <c:pt idx="3">
                  <c:v>908.49</c:v>
                </c:pt>
                <c:pt idx="4">
                  <c:v>917.69</c:v>
                </c:pt>
              </c:numCache>
            </c:numRef>
          </c:val>
        </c:ser>
        <c:dLbls>
          <c:showLegendKey val="0"/>
          <c:showVal val="0"/>
          <c:showCatName val="0"/>
          <c:showSerName val="0"/>
          <c:showPercent val="0"/>
          <c:showBubbleSize val="0"/>
        </c:dLbls>
        <c:gapWidth val="150"/>
        <c:axId val="142232192"/>
        <c:axId val="142233984"/>
      </c:barChart>
      <c:dateAx>
        <c:axId val="142232192"/>
        <c:scaling>
          <c:orientation val="minMax"/>
        </c:scaling>
        <c:delete val="0"/>
        <c:axPos val="b"/>
        <c:numFmt formatCode="General" sourceLinked="1"/>
        <c:majorTickMark val="out"/>
        <c:minorTickMark val="none"/>
        <c:tickLblPos val="nextTo"/>
        <c:crossAx val="142233984"/>
        <c:crosses val="autoZero"/>
        <c:auto val="0"/>
        <c:lblOffset val="100"/>
        <c:baseTimeUnit val="days"/>
      </c:dateAx>
      <c:valAx>
        <c:axId val="142233984"/>
        <c:scaling>
          <c:orientation val="minMax"/>
          <c:max val="2000"/>
          <c:min val="0"/>
        </c:scaling>
        <c:delete val="0"/>
        <c:axPos val="l"/>
        <c:majorGridlines/>
        <c:numFmt formatCode="#,##0.00" sourceLinked="1"/>
        <c:majorTickMark val="out"/>
        <c:minorTickMark val="none"/>
        <c:tickLblPos val="nextTo"/>
        <c:crossAx val="142232192"/>
        <c:crosses val="autoZero"/>
        <c:crossBetween val="between"/>
        <c:majorUnit val="200"/>
        <c:minorUnit val="100"/>
      </c:valAx>
    </c:plotArea>
    <c:legend>
      <c:legendPos val="b"/>
      <c:layout>
        <c:manualLayout>
          <c:xMode val="edge"/>
          <c:yMode val="edge"/>
          <c:x val="2.3676901201054364E-2"/>
          <c:y val="0.7838157439622373"/>
          <c:w val="0.9726316972691047"/>
          <c:h val="0.18517650409977821"/>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tockChart>
        <c:ser>
          <c:idx val="4"/>
          <c:order val="4"/>
          <c:spPr>
            <a:ln w="28575">
              <a:noFill/>
            </a:ln>
          </c:spPr>
          <c:marker>
            <c:symbol val="diamond"/>
            <c:size val="5"/>
          </c:marker>
          <c:dLbls>
            <c:dLbl>
              <c:idx val="0"/>
              <c:layout>
                <c:manualLayout>
                  <c:x val="3.237482604903999E-2"/>
                  <c:y val="-5.9007082708415802E-3"/>
                </c:manualLayout>
              </c:layout>
              <c:showLegendKey val="0"/>
              <c:showVal val="1"/>
              <c:showCatName val="0"/>
              <c:showSerName val="0"/>
              <c:showPercent val="0"/>
              <c:showBubbleSize val="0"/>
            </c:dLbl>
            <c:dLbl>
              <c:idx val="1"/>
              <c:layout>
                <c:manualLayout>
                  <c:x val="3.2374826049039962E-2"/>
                  <c:y val="0"/>
                </c:manualLayout>
              </c:layout>
              <c:showLegendKey val="0"/>
              <c:showVal val="1"/>
              <c:showCatName val="0"/>
              <c:showSerName val="0"/>
              <c:showPercent val="0"/>
              <c:showBubbleSize val="0"/>
            </c:dLbl>
            <c:dLbl>
              <c:idx val="2"/>
              <c:layout>
                <c:manualLayout>
                  <c:x val="3.2374826049039962E-2"/>
                  <c:y val="0"/>
                </c:manualLayout>
              </c:layout>
              <c:showLegendKey val="0"/>
              <c:showVal val="1"/>
              <c:showCatName val="0"/>
              <c:showSerName val="0"/>
              <c:showPercent val="0"/>
              <c:showBubbleSize val="0"/>
            </c:dLbl>
            <c:dLbl>
              <c:idx val="3"/>
              <c:layout>
                <c:manualLayout>
                  <c:x val="2.9137343444135964E-2"/>
                  <c:y val="5.4089200972982566E-17"/>
                </c:manualLayout>
              </c:layout>
              <c:showLegendKey val="0"/>
              <c:showVal val="1"/>
              <c:showCatName val="0"/>
              <c:showSerName val="0"/>
              <c:showPercent val="0"/>
              <c:showBubbleSize val="0"/>
            </c:dLbl>
            <c:dLbl>
              <c:idx val="4"/>
              <c:layout>
                <c:manualLayout>
                  <c:x val="3.5612308653943957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'vek - zamestnanci'!$C$2:$C$6</c:f>
              <c:strCache>
                <c:ptCount val="5"/>
                <c:pt idx="0">
                  <c:v>profesor</c:v>
                </c:pt>
                <c:pt idx="1">
                  <c:v>docent</c:v>
                </c:pt>
                <c:pt idx="2">
                  <c:v>odborný asistent</c:v>
                </c:pt>
                <c:pt idx="3">
                  <c:v>asistent</c:v>
                </c:pt>
                <c:pt idx="4">
                  <c:v>všetci</c:v>
                </c:pt>
              </c:strCache>
            </c:strRef>
          </c:cat>
          <c:val>
            <c:numRef>
              <c:f>'vek - zamestnanci'!$H$2:$H$6</c:f>
              <c:numCache>
                <c:formatCode>General</c:formatCode>
                <c:ptCount val="5"/>
                <c:pt idx="0">
                  <c:v>62</c:v>
                </c:pt>
                <c:pt idx="1">
                  <c:v>54</c:v>
                </c:pt>
                <c:pt idx="2">
                  <c:v>40</c:v>
                </c:pt>
                <c:pt idx="3">
                  <c:v>36</c:v>
                </c:pt>
                <c:pt idx="4">
                  <c:v>47</c:v>
                </c:pt>
              </c:numCache>
            </c:numRef>
          </c:val>
          <c:smooth val="0"/>
        </c:ser>
        <c:dLbls>
          <c:showLegendKey val="0"/>
          <c:showVal val="1"/>
          <c:showCatName val="0"/>
          <c:showSerName val="0"/>
          <c:showPercent val="0"/>
          <c:showBubbleSize val="0"/>
        </c:dLbls>
        <c:axId val="142264576"/>
        <c:axId val="142270464"/>
      </c:stockChart>
      <c:stockChart>
        <c:ser>
          <c:idx val="0"/>
          <c:order val="0"/>
          <c:spPr>
            <a:ln w="28575">
              <a:noFill/>
            </a:ln>
          </c:spPr>
          <c:marker>
            <c:symbol val="none"/>
          </c:marker>
          <c:dLbls>
            <c:delete val="1"/>
          </c:dLbls>
          <c:cat>
            <c:strRef>
              <c:f>'vek - zamestnanci'!$C$2:$C$6</c:f>
              <c:strCache>
                <c:ptCount val="5"/>
                <c:pt idx="0">
                  <c:v>profesor</c:v>
                </c:pt>
                <c:pt idx="1">
                  <c:v>docent</c:v>
                </c:pt>
                <c:pt idx="2">
                  <c:v>odborný asistent</c:v>
                </c:pt>
                <c:pt idx="3">
                  <c:v>asistent</c:v>
                </c:pt>
                <c:pt idx="4">
                  <c:v>všetci</c:v>
                </c:pt>
              </c:strCache>
            </c:strRef>
          </c:cat>
          <c:val>
            <c:numRef>
              <c:f>'vek - zamestnanci'!$D$2:$D$6</c:f>
              <c:numCache>
                <c:formatCode>General</c:formatCode>
                <c:ptCount val="5"/>
                <c:pt idx="0">
                  <c:v>56</c:v>
                </c:pt>
                <c:pt idx="1">
                  <c:v>44</c:v>
                </c:pt>
                <c:pt idx="2">
                  <c:v>34</c:v>
                </c:pt>
                <c:pt idx="3">
                  <c:v>30</c:v>
                </c:pt>
                <c:pt idx="4">
                  <c:v>37</c:v>
                </c:pt>
              </c:numCache>
            </c:numRef>
          </c:val>
          <c:smooth val="0"/>
        </c:ser>
        <c:ser>
          <c:idx val="1"/>
          <c:order val="1"/>
          <c:spPr>
            <a:ln w="28575">
              <a:noFill/>
            </a:ln>
          </c:spPr>
          <c:marker>
            <c:symbol val="dash"/>
            <c:size val="5"/>
            <c:spPr>
              <a:ln w="15875" cap="flat">
                <a:solidFill>
                  <a:schemeClr val="tx1"/>
                </a:solidFill>
                <a:miter lim="800000"/>
              </a:ln>
            </c:spPr>
          </c:marker>
          <c:dLbls>
            <c:spPr>
              <a:ln w="3175" cap="flat" cmpd="sng"/>
            </c:spPr>
            <c:showLegendKey val="0"/>
            <c:showVal val="1"/>
            <c:showCatName val="0"/>
            <c:showSerName val="0"/>
            <c:showPercent val="0"/>
            <c:showBubbleSize val="0"/>
            <c:showLeaderLines val="0"/>
          </c:dLbls>
          <c:cat>
            <c:strRef>
              <c:f>'vek - zamestnanci'!$C$2:$C$6</c:f>
              <c:strCache>
                <c:ptCount val="5"/>
                <c:pt idx="0">
                  <c:v>profesor</c:v>
                </c:pt>
                <c:pt idx="1">
                  <c:v>docent</c:v>
                </c:pt>
                <c:pt idx="2">
                  <c:v>odborný asistent</c:v>
                </c:pt>
                <c:pt idx="3">
                  <c:v>asistent</c:v>
                </c:pt>
                <c:pt idx="4">
                  <c:v>všetci</c:v>
                </c:pt>
              </c:strCache>
            </c:strRef>
          </c:cat>
          <c:val>
            <c:numRef>
              <c:f>'vek - zamestnanci'!$E$2:$E$6</c:f>
              <c:numCache>
                <c:formatCode>General</c:formatCode>
                <c:ptCount val="5"/>
                <c:pt idx="0">
                  <c:v>88</c:v>
                </c:pt>
                <c:pt idx="1">
                  <c:v>83</c:v>
                </c:pt>
                <c:pt idx="2">
                  <c:v>88</c:v>
                </c:pt>
                <c:pt idx="3">
                  <c:v>77</c:v>
                </c:pt>
                <c:pt idx="4">
                  <c:v>88</c:v>
                </c:pt>
              </c:numCache>
            </c:numRef>
          </c:val>
          <c:smooth val="0"/>
        </c:ser>
        <c:ser>
          <c:idx val="2"/>
          <c:order val="2"/>
          <c:spPr>
            <a:ln w="28575" cmpd="dbl">
              <a:noFill/>
            </a:ln>
            <a:effectLst>
              <a:outerShdw blurRad="50800" dist="50800" dir="5400000" algn="ctr" rotWithShape="0">
                <a:schemeClr val="bg1"/>
              </a:outerShdw>
            </a:effectLst>
          </c:spPr>
          <c:marker>
            <c:symbol val="dash"/>
            <c:size val="5"/>
            <c:spPr>
              <a:effectLst>
                <a:outerShdw blurRad="50800" dist="50800" dir="5400000" algn="ctr" rotWithShape="0">
                  <a:schemeClr val="bg1"/>
                </a:outerShdw>
              </a:effectLst>
            </c:spPr>
          </c:marker>
          <c:cat>
            <c:strRef>
              <c:f>'vek - zamestnanci'!$C$2:$C$6</c:f>
              <c:strCache>
                <c:ptCount val="5"/>
                <c:pt idx="0">
                  <c:v>profesor</c:v>
                </c:pt>
                <c:pt idx="1">
                  <c:v>docent</c:v>
                </c:pt>
                <c:pt idx="2">
                  <c:v>odborný asistent</c:v>
                </c:pt>
                <c:pt idx="3">
                  <c:v>asistent</c:v>
                </c:pt>
                <c:pt idx="4">
                  <c:v>všetci</c:v>
                </c:pt>
              </c:strCache>
            </c:strRef>
          </c:cat>
          <c:val>
            <c:numRef>
              <c:f>'vek - zamestnanci'!$F$2:$F$6</c:f>
              <c:numCache>
                <c:formatCode>General</c:formatCode>
                <c:ptCount val="5"/>
                <c:pt idx="0">
                  <c:v>32</c:v>
                </c:pt>
                <c:pt idx="1">
                  <c:v>30</c:v>
                </c:pt>
                <c:pt idx="2">
                  <c:v>25</c:v>
                </c:pt>
                <c:pt idx="3">
                  <c:v>24</c:v>
                </c:pt>
                <c:pt idx="4">
                  <c:v>24</c:v>
                </c:pt>
              </c:numCache>
            </c:numRef>
          </c:val>
          <c:smooth val="0"/>
        </c:ser>
        <c:ser>
          <c:idx val="3"/>
          <c:order val="3"/>
          <c:spPr>
            <a:ln w="28575">
              <a:noFill/>
            </a:ln>
          </c:spPr>
          <c:marker>
            <c:symbol val="none"/>
          </c:marker>
          <c:dLbls>
            <c:delete val="1"/>
          </c:dLbls>
          <c:cat>
            <c:strRef>
              <c:f>'vek - zamestnanci'!$C$2:$C$6</c:f>
              <c:strCache>
                <c:ptCount val="5"/>
                <c:pt idx="0">
                  <c:v>profesor</c:v>
                </c:pt>
                <c:pt idx="1">
                  <c:v>docent</c:v>
                </c:pt>
                <c:pt idx="2">
                  <c:v>odborný asistent</c:v>
                </c:pt>
                <c:pt idx="3">
                  <c:v>asistent</c:v>
                </c:pt>
                <c:pt idx="4">
                  <c:v>všetci</c:v>
                </c:pt>
              </c:strCache>
            </c:strRef>
          </c:cat>
          <c:val>
            <c:numRef>
              <c:f>'vek - zamestnanci'!$G$2:$G$6</c:f>
              <c:numCache>
                <c:formatCode>General</c:formatCode>
                <c:ptCount val="5"/>
                <c:pt idx="0">
                  <c:v>66</c:v>
                </c:pt>
                <c:pt idx="1">
                  <c:v>62</c:v>
                </c:pt>
                <c:pt idx="2">
                  <c:v>52</c:v>
                </c:pt>
                <c:pt idx="3">
                  <c:v>48</c:v>
                </c:pt>
                <c:pt idx="4">
                  <c:v>59</c:v>
                </c:pt>
              </c:numCache>
            </c:numRef>
          </c:val>
          <c:smooth val="0"/>
        </c:ser>
        <c:dLbls>
          <c:showLegendKey val="0"/>
          <c:showVal val="1"/>
          <c:showCatName val="0"/>
          <c:showSerName val="0"/>
          <c:showPercent val="0"/>
          <c:showBubbleSize val="0"/>
        </c:dLbls>
        <c:hiLowLines/>
        <c:upDownBars>
          <c:gapWidth val="72"/>
          <c:upBars>
            <c:spPr>
              <a:noFill/>
            </c:spPr>
          </c:upBars>
          <c:downBars/>
        </c:upDownBars>
        <c:axId val="142264576"/>
        <c:axId val="142270464"/>
      </c:stockChart>
      <c:catAx>
        <c:axId val="142264576"/>
        <c:scaling>
          <c:orientation val="minMax"/>
        </c:scaling>
        <c:delete val="0"/>
        <c:axPos val="b"/>
        <c:majorTickMark val="out"/>
        <c:minorTickMark val="none"/>
        <c:tickLblPos val="nextTo"/>
        <c:crossAx val="142270464"/>
        <c:crosses val="autoZero"/>
        <c:auto val="1"/>
        <c:lblAlgn val="ctr"/>
        <c:lblOffset val="100"/>
        <c:noMultiLvlLbl val="0"/>
      </c:catAx>
      <c:valAx>
        <c:axId val="142270464"/>
        <c:scaling>
          <c:orientation val="minMax"/>
        </c:scaling>
        <c:delete val="0"/>
        <c:axPos val="l"/>
        <c:minorGridlines/>
        <c:numFmt formatCode="General" sourceLinked="1"/>
        <c:majorTickMark val="out"/>
        <c:minorTickMark val="none"/>
        <c:tickLblPos val="nextTo"/>
        <c:crossAx val="142264576"/>
        <c:crosses val="autoZero"/>
        <c:crossBetween val="between"/>
        <c:majorUnit val="10"/>
        <c:minorUnit val="5"/>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015286242909146"/>
          <c:y val="5.6194125159642401E-2"/>
          <c:w val="0.71121158271233365"/>
          <c:h val="0.8158280789613942"/>
        </c:manualLayout>
      </c:layout>
      <c:barChart>
        <c:barDir val="bar"/>
        <c:grouping val="stacked"/>
        <c:varyColors val="0"/>
        <c:ser>
          <c:idx val="0"/>
          <c:order val="0"/>
          <c:spPr>
            <a:solidFill>
              <a:srgbClr val="C55E5B"/>
            </a:solidFill>
          </c:spPr>
          <c:invertIfNegative val="0"/>
          <c:dLbls>
            <c:dLbl>
              <c:idx val="0"/>
              <c:layout>
                <c:manualLayout>
                  <c:x val="-6.0437577378299412E-2"/>
                  <c:y val="0"/>
                </c:manualLayout>
              </c:layout>
              <c:dLblPos val="ctr"/>
              <c:showLegendKey val="0"/>
              <c:showVal val="1"/>
              <c:showCatName val="0"/>
              <c:showSerName val="0"/>
              <c:showPercent val="0"/>
              <c:showBubbleSize val="0"/>
            </c:dLbl>
            <c:dLbl>
              <c:idx val="1"/>
              <c:layout>
                <c:manualLayout>
                  <c:x val="-5.9626603278363791E-2"/>
                  <c:y val="-5.108556832694764E-3"/>
                </c:manualLayout>
              </c:layout>
              <c:dLblPos val="ctr"/>
              <c:showLegendKey val="0"/>
              <c:showVal val="1"/>
              <c:showCatName val="0"/>
              <c:showSerName val="0"/>
              <c:showPercent val="0"/>
              <c:showBubbleSize val="0"/>
            </c:dLbl>
            <c:dLbl>
              <c:idx val="2"/>
              <c:layout>
                <c:manualLayout>
                  <c:x val="-6.7342346357648686E-2"/>
                  <c:y val="0"/>
                </c:manualLayout>
              </c:layout>
              <c:dLblPos val="ctr"/>
              <c:showLegendKey val="0"/>
              <c:showVal val="1"/>
              <c:showCatName val="0"/>
              <c:showSerName val="0"/>
              <c:showPercent val="0"/>
              <c:showBubbleSize val="0"/>
            </c:dLbl>
            <c:dLbl>
              <c:idx val="3"/>
              <c:layout>
                <c:manualLayout>
                  <c:x val="-0.14566790514763758"/>
                  <c:y val="0"/>
                </c:manualLayout>
              </c:layout>
              <c:dLblPos val="ctr"/>
              <c:showLegendKey val="0"/>
              <c:showVal val="1"/>
              <c:showCatName val="0"/>
              <c:showSerName val="0"/>
              <c:showPercent val="0"/>
              <c:showBubbleSize val="0"/>
            </c:dLbl>
            <c:dLbl>
              <c:idx val="4"/>
              <c:layout>
                <c:manualLayout>
                  <c:x val="-6.5253305600950828E-2"/>
                  <c:y val="0"/>
                </c:manualLayout>
              </c:layout>
              <c:dLblPos val="ctr"/>
              <c:showLegendKey val="0"/>
              <c:showVal val="1"/>
              <c:showCatName val="0"/>
              <c:showSerName val="0"/>
              <c:showPercent val="0"/>
              <c:showBubbleSize val="0"/>
            </c:dLbl>
            <c:dLbl>
              <c:idx val="5"/>
              <c:layout>
                <c:manualLayout>
                  <c:x val="-5.2500965681176646E-2"/>
                  <c:y val="5.108556832694764E-3"/>
                </c:manualLayout>
              </c:layout>
              <c:dLblPos val="ctr"/>
              <c:showLegendKey val="0"/>
              <c:showVal val="1"/>
              <c:showCatName val="0"/>
              <c:showSerName val="0"/>
              <c:showPercent val="0"/>
              <c:showBubbleSize val="0"/>
            </c:dLbl>
            <c:dLbl>
              <c:idx val="6"/>
              <c:layout>
                <c:manualLayout>
                  <c:x val="-5.6633684940325855E-2"/>
                  <c:y val="0"/>
                </c:manualLayout>
              </c:layout>
              <c:dLblPos val="ctr"/>
              <c:showLegendKey val="0"/>
              <c:showVal val="1"/>
              <c:showCatName val="0"/>
              <c:showSerName val="0"/>
              <c:showPercent val="0"/>
              <c:showBubbleSize val="0"/>
            </c:dLbl>
            <c:dLbl>
              <c:idx val="7"/>
              <c:layout>
                <c:manualLayout>
                  <c:x val="-5.7809934135591538E-2"/>
                  <c:y val="1.0217113665389528E-2"/>
                </c:manualLayout>
              </c:layout>
              <c:dLblPos val="ctr"/>
              <c:showLegendKey val="0"/>
              <c:showVal val="1"/>
              <c:showCatName val="0"/>
              <c:showSerName val="0"/>
              <c:showPercent val="0"/>
              <c:showBubbleSize val="0"/>
            </c:dLbl>
            <c:dLbl>
              <c:idx val="8"/>
              <c:layout>
                <c:manualLayout>
                  <c:x val="-8.2323674790176993E-2"/>
                  <c:y val="0"/>
                </c:manualLayout>
              </c:layout>
              <c:dLblPos val="ctr"/>
              <c:showLegendKey val="0"/>
              <c:showVal val="1"/>
              <c:showCatName val="0"/>
              <c:showSerName val="0"/>
              <c:showPercent val="0"/>
              <c:showBubbleSize val="0"/>
            </c:dLbl>
            <c:dLbl>
              <c:idx val="9"/>
              <c:layout>
                <c:manualLayout>
                  <c:x val="-0.18180186918142641"/>
                  <c:y val="0"/>
                </c:manualLayout>
              </c:layout>
              <c:dLblPos val="ctr"/>
              <c:showLegendKey val="0"/>
              <c:showVal val="1"/>
              <c:showCatName val="0"/>
              <c:showSerName val="0"/>
              <c:showPercent val="0"/>
              <c:showBubbleSize val="0"/>
            </c:dLbl>
            <c:dLblPos val="inBase"/>
            <c:showLegendKey val="0"/>
            <c:showVal val="1"/>
            <c:showCatName val="0"/>
            <c:showSerName val="0"/>
            <c:showPercent val="0"/>
            <c:showBubbleSize val="0"/>
            <c:showLeaderLines val="0"/>
          </c:dLbls>
          <c:cat>
            <c:strRef>
              <c:f>[4]casove_toky!$A$1:$J$1</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[4]casove_toky!$A$2:$J$2</c:f>
              <c:numCache>
                <c:formatCode>General</c:formatCode>
                <c:ptCount val="10"/>
                <c:pt idx="0">
                  <c:v>-2</c:v>
                </c:pt>
                <c:pt idx="1">
                  <c:v>-110</c:v>
                </c:pt>
                <c:pt idx="2">
                  <c:v>-233</c:v>
                </c:pt>
                <c:pt idx="3">
                  <c:v>-1019</c:v>
                </c:pt>
                <c:pt idx="4">
                  <c:v>-204</c:v>
                </c:pt>
                <c:pt idx="5">
                  <c:v>-78</c:v>
                </c:pt>
                <c:pt idx="6">
                  <c:v>-25</c:v>
                </c:pt>
                <c:pt idx="7">
                  <c:v>-1</c:v>
                </c:pt>
                <c:pt idx="8">
                  <c:v>-432</c:v>
                </c:pt>
                <c:pt idx="9">
                  <c:v>-1273</c:v>
                </c:pt>
              </c:numCache>
            </c:numRef>
          </c:val>
        </c:ser>
        <c:ser>
          <c:idx val="1"/>
          <c:order val="1"/>
          <c:spPr>
            <a:solidFill>
              <a:schemeClr val="tx2">
                <a:lumMod val="60000"/>
                <a:lumOff val="40000"/>
              </a:schemeClr>
            </a:solidFill>
          </c:spPr>
          <c:invertIfNegative val="0"/>
          <c:dLbls>
            <c:dLbl>
              <c:idx val="0"/>
              <c:layout>
                <c:manualLayout>
                  <c:x val="4.8968652503342744E-2"/>
                  <c:y val="-5.108556832694764E-3"/>
                </c:manualLayout>
              </c:layout>
              <c:dLblPos val="ctr"/>
              <c:showLegendKey val="0"/>
              <c:showVal val="1"/>
              <c:showCatName val="0"/>
              <c:showSerName val="0"/>
              <c:showPercent val="0"/>
              <c:showBubbleSize val="0"/>
            </c:dLbl>
            <c:dLbl>
              <c:idx val="1"/>
              <c:layout>
                <c:manualLayout>
                  <c:x val="6.0515426137770514E-2"/>
                  <c:y val="5.1093613298337712E-3"/>
                </c:manualLayout>
              </c:layout>
              <c:dLblPos val="ctr"/>
              <c:showLegendKey val="0"/>
              <c:showVal val="1"/>
              <c:showCatName val="0"/>
              <c:showSerName val="0"/>
              <c:showPercent val="0"/>
              <c:showBubbleSize val="0"/>
            </c:dLbl>
            <c:dLbl>
              <c:idx val="2"/>
              <c:layout>
                <c:manualLayout>
                  <c:x val="9.0668530922316484E-2"/>
                  <c:y val="8.0449713900704941E-7"/>
                </c:manualLayout>
              </c:layout>
              <c:dLblPos val="ctr"/>
              <c:showLegendKey val="0"/>
              <c:showVal val="1"/>
              <c:showCatName val="0"/>
              <c:showSerName val="0"/>
              <c:showPercent val="0"/>
              <c:showBubbleSize val="0"/>
            </c:dLbl>
            <c:dLbl>
              <c:idx val="3"/>
              <c:layout>
                <c:manualLayout>
                  <c:x val="0.1217558559896995"/>
                  <c:y val="0"/>
                </c:manualLayout>
              </c:layout>
              <c:dLblPos val="ctr"/>
              <c:showLegendKey val="0"/>
              <c:showVal val="1"/>
              <c:showCatName val="0"/>
              <c:showSerName val="0"/>
              <c:showPercent val="0"/>
              <c:showBubbleSize val="0"/>
            </c:dLbl>
            <c:dLbl>
              <c:idx val="4"/>
              <c:layout>
                <c:manualLayout>
                  <c:x val="5.320497202000684E-2"/>
                  <c:y val="2.6910429299781122E-4"/>
                </c:manualLayout>
              </c:layout>
              <c:dLblPos val="ctr"/>
              <c:showLegendKey val="0"/>
              <c:showVal val="1"/>
              <c:showCatName val="0"/>
              <c:showSerName val="0"/>
              <c:showPercent val="0"/>
              <c:showBubbleSize val="0"/>
            </c:dLbl>
            <c:dLbl>
              <c:idx val="5"/>
              <c:layout>
                <c:manualLayout>
                  <c:x val="6.3280542762343475E-2"/>
                  <c:y val="0"/>
                </c:manualLayout>
              </c:layout>
              <c:dLblPos val="ctr"/>
              <c:showLegendKey val="0"/>
              <c:showVal val="1"/>
              <c:showCatName val="0"/>
              <c:showSerName val="0"/>
              <c:showPercent val="0"/>
              <c:showBubbleSize val="0"/>
            </c:dLbl>
            <c:dLbl>
              <c:idx val="6"/>
              <c:layout>
                <c:manualLayout>
                  <c:x val="5.4000099044223246E-2"/>
                  <c:y val="0"/>
                </c:manualLayout>
              </c:layout>
              <c:dLblPos val="ctr"/>
              <c:showLegendKey val="0"/>
              <c:showVal val="1"/>
              <c:showCatName val="0"/>
              <c:showSerName val="0"/>
              <c:showPercent val="0"/>
              <c:showBubbleSize val="0"/>
            </c:dLbl>
            <c:dLbl>
              <c:idx val="7"/>
              <c:layout>
                <c:manualLayout>
                  <c:x val="5.4000099044223246E-2"/>
                  <c:y val="-5.1081545841252605E-3"/>
                </c:manualLayout>
              </c:layout>
              <c:dLblPos val="ctr"/>
              <c:showLegendKey val="0"/>
              <c:showVal val="1"/>
              <c:showCatName val="0"/>
              <c:showSerName val="0"/>
              <c:showPercent val="0"/>
              <c:showBubbleSize val="0"/>
            </c:dLbl>
            <c:dLbl>
              <c:idx val="8"/>
              <c:layout>
                <c:manualLayout>
                  <c:x val="8.34632632566219E-2"/>
                  <c:y val="-1.0216309168250521E-2"/>
                </c:manualLayout>
              </c:layout>
              <c:dLblPos val="ctr"/>
              <c:showLegendKey val="0"/>
              <c:showVal val="1"/>
              <c:showCatName val="0"/>
              <c:showSerName val="0"/>
              <c:showPercent val="0"/>
              <c:showBubbleSize val="0"/>
            </c:dLbl>
            <c:dLbl>
              <c:idx val="9"/>
              <c:layout>
                <c:manualLayout>
                  <c:x val="0.17736225424652108"/>
                  <c:y val="5.108556832694764E-3"/>
                </c:manualLayout>
              </c:layout>
              <c:dLblPos val="ctr"/>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[4]casove_toky!$A$1:$J$1</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[4]casove_toky!$A$3:$J$3</c:f>
              <c:numCache>
                <c:formatCode>General</c:formatCode>
                <c:ptCount val="10"/>
                <c:pt idx="0">
                  <c:v>0</c:v>
                </c:pt>
                <c:pt idx="1">
                  <c:v>182</c:v>
                </c:pt>
                <c:pt idx="2">
                  <c:v>387</c:v>
                </c:pt>
                <c:pt idx="3">
                  <c:v>787</c:v>
                </c:pt>
                <c:pt idx="4">
                  <c:v>188</c:v>
                </c:pt>
                <c:pt idx="5">
                  <c:v>107</c:v>
                </c:pt>
                <c:pt idx="6">
                  <c:v>0</c:v>
                </c:pt>
                <c:pt idx="7">
                  <c:v>0</c:v>
                </c:pt>
                <c:pt idx="8">
                  <c:v>444</c:v>
                </c:pt>
                <c:pt idx="9">
                  <c:v>1296</c:v>
                </c:pt>
              </c:numCache>
            </c:numRef>
          </c:val>
        </c:ser>
        <c:dLbls>
          <c:dLblPos val="inEnd"/>
          <c:showLegendKey val="0"/>
          <c:showVal val="1"/>
          <c:showCatName val="0"/>
          <c:showSerName val="0"/>
          <c:showPercent val="0"/>
          <c:showBubbleSize val="0"/>
        </c:dLbls>
        <c:gapWidth val="24"/>
        <c:overlap val="100"/>
        <c:axId val="143495936"/>
        <c:axId val="143497472"/>
      </c:barChart>
      <c:catAx>
        <c:axId val="143495936"/>
        <c:scaling>
          <c:orientation val="maxMin"/>
        </c:scaling>
        <c:delete val="0"/>
        <c:axPos val="l"/>
        <c:majorTickMark val="out"/>
        <c:minorTickMark val="none"/>
        <c:tickLblPos val="low"/>
        <c:crossAx val="143497472"/>
        <c:crosses val="autoZero"/>
        <c:auto val="1"/>
        <c:lblAlgn val="ctr"/>
        <c:lblOffset val="100"/>
        <c:noMultiLvlLbl val="0"/>
      </c:catAx>
      <c:valAx>
        <c:axId val="143497472"/>
        <c:scaling>
          <c:orientation val="minMax"/>
        </c:scaling>
        <c:delete val="0"/>
        <c:axPos val="t"/>
        <c:majorGridlines/>
        <c:numFmt formatCode="General" sourceLinked="1"/>
        <c:majorTickMark val="out"/>
        <c:minorTickMark val="none"/>
        <c:tickLblPos val="high"/>
        <c:crossAx val="143495936"/>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727286858635645E-2"/>
          <c:y val="0.14237677747054539"/>
          <c:w val="0.91270007951179077"/>
          <c:h val="0.54922958659293797"/>
        </c:manualLayout>
      </c:layout>
      <c:barChart>
        <c:barDir val="col"/>
        <c:grouping val="clustered"/>
        <c:varyColors val="0"/>
        <c:ser>
          <c:idx val="0"/>
          <c:order val="0"/>
          <c:tx>
            <c:strRef>
              <c:f>'údaje sprac'!$C$1</c:f>
              <c:strCache>
                <c:ptCount val="1"/>
                <c:pt idx="0">
                  <c:v>Prírodné vedy</c:v>
                </c:pt>
              </c:strCache>
            </c:strRef>
          </c:tx>
          <c:spPr>
            <a:solidFill>
              <a:srgbClr val="00B050"/>
            </a:solidFill>
            <a:ln>
              <a:solidFill>
                <a:schemeClr val="dk1"/>
              </a:solidFill>
            </a:ln>
          </c:spPr>
          <c:invertIfNegative val="0"/>
          <c:cat>
            <c:strRef>
              <c:f>'údaje sprac'!$B$3:$B$19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UJS Komárno</c:v>
                </c:pt>
                <c:pt idx="10">
                  <c:v>UK Bratislava</c:v>
                </c:pt>
                <c:pt idx="11">
                  <c:v>UKF Nitra</c:v>
                </c:pt>
                <c:pt idx="12">
                  <c:v>UMB Banská Bystrica</c:v>
                </c:pt>
                <c:pt idx="13">
                  <c:v>UPJŠ Košice</c:v>
                </c:pt>
                <c:pt idx="14">
                  <c:v>UCM Trnava</c:v>
                </c:pt>
                <c:pt idx="15">
                  <c:v>UVLF Košice</c:v>
                </c:pt>
                <c:pt idx="16">
                  <c:v>ŽU Žilina</c:v>
                </c:pt>
              </c:strCache>
            </c:strRef>
          </c:cat>
          <c:val>
            <c:numRef>
              <c:f>'údaje sprac'!$C$3:$C$19</c:f>
              <c:numCache>
                <c:formatCode>General</c:formatCode>
                <c:ptCount val="17"/>
                <c:pt idx="0">
                  <c:v>0</c:v>
                </c:pt>
                <c:pt idx="1">
                  <c:v>0.69</c:v>
                </c:pt>
                <c:pt idx="2">
                  <c:v>0.32</c:v>
                </c:pt>
                <c:pt idx="3">
                  <c:v>0.68</c:v>
                </c:pt>
                <c:pt idx="4">
                  <c:v>0.72</c:v>
                </c:pt>
                <c:pt idx="5">
                  <c:v>0.54</c:v>
                </c:pt>
                <c:pt idx="6">
                  <c:v>0.5</c:v>
                </c:pt>
                <c:pt idx="7">
                  <c:v>0.47</c:v>
                </c:pt>
                <c:pt idx="8">
                  <c:v>0.77</c:v>
                </c:pt>
                <c:pt idx="10">
                  <c:v>1.44</c:v>
                </c:pt>
                <c:pt idx="11">
                  <c:v>0.98</c:v>
                </c:pt>
                <c:pt idx="12">
                  <c:v>0.5</c:v>
                </c:pt>
                <c:pt idx="13">
                  <c:v>1.07</c:v>
                </c:pt>
                <c:pt idx="14">
                  <c:v>0.72</c:v>
                </c:pt>
                <c:pt idx="15">
                  <c:v>0.42</c:v>
                </c:pt>
                <c:pt idx="16">
                  <c:v>0.54</c:v>
                </c:pt>
              </c:numCache>
            </c:numRef>
          </c:val>
        </c:ser>
        <c:ser>
          <c:idx val="1"/>
          <c:order val="1"/>
          <c:tx>
            <c:strRef>
              <c:f>'údaje sprac'!$D$1</c:f>
              <c:strCache>
                <c:ptCount val="1"/>
                <c:pt idx="0">
                  <c:v> Technické vedy</c:v>
                </c:pt>
              </c:strCache>
            </c:strRef>
          </c:tx>
          <c:spPr>
            <a:solidFill>
              <a:srgbClr val="00B0F0"/>
            </a:solidFill>
            <a:ln>
              <a:solidFill>
                <a:schemeClr val="dk1"/>
              </a:solidFill>
            </a:ln>
          </c:spPr>
          <c:invertIfNegative val="0"/>
          <c:cat>
            <c:strRef>
              <c:f>'údaje sprac'!$B$3:$B$19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UJS Komárno</c:v>
                </c:pt>
                <c:pt idx="10">
                  <c:v>UK Bratislava</c:v>
                </c:pt>
                <c:pt idx="11">
                  <c:v>UKF Nitra</c:v>
                </c:pt>
                <c:pt idx="12">
                  <c:v>UMB Banská Bystrica</c:v>
                </c:pt>
                <c:pt idx="13">
                  <c:v>UPJŠ Košice</c:v>
                </c:pt>
                <c:pt idx="14">
                  <c:v>UCM Trnava</c:v>
                </c:pt>
                <c:pt idx="15">
                  <c:v>UVLF Košice</c:v>
                </c:pt>
                <c:pt idx="16">
                  <c:v>ŽU Žilina</c:v>
                </c:pt>
              </c:strCache>
            </c:strRef>
          </c:cat>
          <c:val>
            <c:numRef>
              <c:f>'údaje sprac'!$D$3:$D$19</c:f>
              <c:numCache>
                <c:formatCode>General</c:formatCode>
                <c:ptCount val="17"/>
                <c:pt idx="0">
                  <c:v>0</c:v>
                </c:pt>
                <c:pt idx="1">
                  <c:v>0</c:v>
                </c:pt>
                <c:pt idx="2">
                  <c:v>0</c:v>
                </c:pt>
                <c:pt idx="3">
                  <c:v>0.56000000000000005</c:v>
                </c:pt>
                <c:pt idx="4">
                  <c:v>0.73</c:v>
                </c:pt>
                <c:pt idx="5">
                  <c:v>1.3</c:v>
                </c:pt>
                <c:pt idx="6">
                  <c:v>0.31</c:v>
                </c:pt>
                <c:pt idx="7">
                  <c:v>0.47</c:v>
                </c:pt>
                <c:pt idx="8">
                  <c:v>0</c:v>
                </c:pt>
                <c:pt idx="10">
                  <c:v>0.84</c:v>
                </c:pt>
                <c:pt idx="11">
                  <c:v>0.95</c:v>
                </c:pt>
                <c:pt idx="12">
                  <c:v>1.18</c:v>
                </c:pt>
                <c:pt idx="13">
                  <c:v>0.77</c:v>
                </c:pt>
                <c:pt idx="14">
                  <c:v>0</c:v>
                </c:pt>
                <c:pt idx="15">
                  <c:v>0</c:v>
                </c:pt>
                <c:pt idx="16">
                  <c:v>0.84</c:v>
                </c:pt>
              </c:numCache>
            </c:numRef>
          </c:val>
        </c:ser>
        <c:ser>
          <c:idx val="2"/>
          <c:order val="2"/>
          <c:tx>
            <c:strRef>
              <c:f>'údaje sprac'!$E$1</c:f>
              <c:strCache>
                <c:ptCount val="1"/>
                <c:pt idx="0">
                  <c:v> Lekárske vedy</c:v>
                </c:pt>
              </c:strCache>
            </c:strRef>
          </c:tx>
          <c:spPr>
            <a:solidFill>
              <a:srgbClr val="FF6699"/>
            </a:solidFill>
            <a:ln>
              <a:solidFill>
                <a:schemeClr val="tx1"/>
              </a:solidFill>
            </a:ln>
          </c:spPr>
          <c:invertIfNegative val="0"/>
          <c:val>
            <c:numRef>
              <c:f>'údaje sprac'!$E$3:$E$18</c:f>
              <c:numCache>
                <c:formatCode>General</c:formatCode>
                <c:ptCount val="16"/>
                <c:pt idx="0">
                  <c:v>0</c:v>
                </c:pt>
                <c:pt idx="1">
                  <c:v>0</c:v>
                </c:pt>
                <c:pt idx="2">
                  <c:v>0</c:v>
                </c:pt>
                <c:pt idx="3">
                  <c:v>0.56999999999999995</c:v>
                </c:pt>
                <c:pt idx="4">
                  <c:v>1.1000000000000001</c:v>
                </c:pt>
                <c:pt idx="5">
                  <c:v>0</c:v>
                </c:pt>
                <c:pt idx="7">
                  <c:v>0</c:v>
                </c:pt>
                <c:pt idx="8">
                  <c:v>0</c:v>
                </c:pt>
                <c:pt idx="10">
                  <c:v>0.73</c:v>
                </c:pt>
                <c:pt idx="11">
                  <c:v>0</c:v>
                </c:pt>
                <c:pt idx="12">
                  <c:v>0</c:v>
                </c:pt>
                <c:pt idx="13">
                  <c:v>0.78</c:v>
                </c:pt>
                <c:pt idx="14">
                  <c:v>0</c:v>
                </c:pt>
                <c:pt idx="15">
                  <c:v>0.61</c:v>
                </c:pt>
              </c:numCache>
            </c:numRef>
          </c:val>
        </c:ser>
        <c:ser>
          <c:idx val="3"/>
          <c:order val="3"/>
          <c:tx>
            <c:strRef>
              <c:f>'údaje sprac'!$F$1</c:f>
              <c:strCache>
                <c:ptCount val="1"/>
                <c:pt idx="0">
                  <c:v>Poľnohospodárske vedy</c:v>
                </c:pt>
              </c:strCache>
            </c:strRef>
          </c:tx>
          <c:spPr>
            <a:solidFill>
              <a:srgbClr val="FFC000"/>
            </a:solidFill>
            <a:ln>
              <a:solidFill>
                <a:schemeClr val="dk1"/>
              </a:solidFill>
            </a:ln>
          </c:spPr>
          <c:invertIfNegative val="0"/>
          <c:cat>
            <c:strRef>
              <c:f>'údaje sprac'!$B$3:$B$19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UJS Komárno</c:v>
                </c:pt>
                <c:pt idx="10">
                  <c:v>UK Bratislava</c:v>
                </c:pt>
                <c:pt idx="11">
                  <c:v>UKF Nitra</c:v>
                </c:pt>
                <c:pt idx="12">
                  <c:v>UMB Banská Bystrica</c:v>
                </c:pt>
                <c:pt idx="13">
                  <c:v>UPJŠ Košice</c:v>
                </c:pt>
                <c:pt idx="14">
                  <c:v>UCM Trnava</c:v>
                </c:pt>
                <c:pt idx="15">
                  <c:v>UVLF Košice</c:v>
                </c:pt>
                <c:pt idx="16">
                  <c:v>ŽU Žilina</c:v>
                </c:pt>
              </c:strCache>
            </c:strRef>
          </c:cat>
          <c:val>
            <c:numRef>
              <c:f>'údaje sprac'!$F$3:$F$19</c:f>
              <c:numCache>
                <c:formatCode>General</c:formatCode>
                <c:ptCount val="17"/>
                <c:pt idx="0">
                  <c:v>0</c:v>
                </c:pt>
                <c:pt idx="2">
                  <c:v>0</c:v>
                </c:pt>
                <c:pt idx="3">
                  <c:v>0.49</c:v>
                </c:pt>
                <c:pt idx="4">
                  <c:v>0.61</c:v>
                </c:pt>
                <c:pt idx="5">
                  <c:v>0</c:v>
                </c:pt>
                <c:pt idx="6">
                  <c:v>0.87</c:v>
                </c:pt>
                <c:pt idx="7">
                  <c:v>0</c:v>
                </c:pt>
                <c:pt idx="10">
                  <c:v>0.75</c:v>
                </c:pt>
                <c:pt idx="11">
                  <c:v>0</c:v>
                </c:pt>
                <c:pt idx="12">
                  <c:v>0</c:v>
                </c:pt>
                <c:pt idx="13">
                  <c:v>0.76</c:v>
                </c:pt>
                <c:pt idx="14">
                  <c:v>0</c:v>
                </c:pt>
                <c:pt idx="15">
                  <c:v>0.4</c:v>
                </c:pt>
                <c:pt idx="16">
                  <c:v>0</c:v>
                </c:pt>
              </c:numCache>
            </c:numRef>
          </c:val>
        </c:ser>
        <c:ser>
          <c:idx val="4"/>
          <c:order val="4"/>
          <c:tx>
            <c:strRef>
              <c:f>'údaje sprac'!$G$1</c:f>
              <c:strCache>
                <c:ptCount val="1"/>
                <c:pt idx="0">
                  <c:v>Spoločenské vedy</c:v>
                </c:pt>
              </c:strCache>
            </c:strRef>
          </c:tx>
          <c:spPr>
            <a:solidFill>
              <a:srgbClr val="9966FF"/>
            </a:solidFill>
            <a:ln>
              <a:solidFill>
                <a:schemeClr val="tx1"/>
              </a:solidFill>
            </a:ln>
          </c:spPr>
          <c:invertIfNegative val="0"/>
          <c:cat>
            <c:strRef>
              <c:f>'údaje sprac'!$B$3:$B$19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UJS Komárno</c:v>
                </c:pt>
                <c:pt idx="10">
                  <c:v>UK Bratislava</c:v>
                </c:pt>
                <c:pt idx="11">
                  <c:v>UKF Nitra</c:v>
                </c:pt>
                <c:pt idx="12">
                  <c:v>UMB Banská Bystrica</c:v>
                </c:pt>
                <c:pt idx="13">
                  <c:v>UPJŠ Košice</c:v>
                </c:pt>
                <c:pt idx="14">
                  <c:v>UCM Trnava</c:v>
                </c:pt>
                <c:pt idx="15">
                  <c:v>UVLF Košice</c:v>
                </c:pt>
                <c:pt idx="16">
                  <c:v>ŽU Žilina</c:v>
                </c:pt>
              </c:strCache>
            </c:strRef>
          </c:cat>
          <c:val>
            <c:numRef>
              <c:f>'údaje sprac'!$G$3:$G$19</c:f>
              <c:numCache>
                <c:formatCode>General</c:formatCode>
                <c:ptCount val="17"/>
                <c:pt idx="8">
                  <c:v>1.04</c:v>
                </c:pt>
              </c:numCache>
            </c:numRef>
          </c:val>
        </c:ser>
        <c:ser>
          <c:idx val="5"/>
          <c:order val="5"/>
          <c:tx>
            <c:strRef>
              <c:f>'údaje sprac'!$H$1</c:f>
              <c:strCache>
                <c:ptCount val="1"/>
                <c:pt idx="0">
                  <c:v>Humanitné vedy</c:v>
                </c:pt>
              </c:strCache>
            </c:strRef>
          </c:tx>
          <c:spPr>
            <a:solidFill>
              <a:srgbClr val="CC6600"/>
            </a:solidFill>
            <a:ln>
              <a:solidFill>
                <a:schemeClr val="tx1"/>
              </a:solidFill>
            </a:ln>
          </c:spPr>
          <c:invertIfNegative val="0"/>
          <c:cat>
            <c:strRef>
              <c:f>'údaje sprac'!$B$3:$B$19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UJS Komárno</c:v>
                </c:pt>
                <c:pt idx="10">
                  <c:v>UK Bratislava</c:v>
                </c:pt>
                <c:pt idx="11">
                  <c:v>UKF Nitra</c:v>
                </c:pt>
                <c:pt idx="12">
                  <c:v>UMB Banská Bystrica</c:v>
                </c:pt>
                <c:pt idx="13">
                  <c:v>UPJŠ Košice</c:v>
                </c:pt>
                <c:pt idx="14">
                  <c:v>UCM Trnava</c:v>
                </c:pt>
                <c:pt idx="15">
                  <c:v>UVLF Košice</c:v>
                </c:pt>
                <c:pt idx="16">
                  <c:v>ŽU Žilina</c:v>
                </c:pt>
              </c:strCache>
            </c:strRef>
          </c:cat>
          <c:val>
            <c:numRef>
              <c:f>'údaje sprac'!$H$3:$H$19</c:f>
              <c:numCache>
                <c:formatCode>General</c:formatCode>
                <c:ptCount val="17"/>
                <c:pt idx="10">
                  <c:v>0.87</c:v>
                </c:pt>
                <c:pt idx="11">
                  <c:v>1.07</c:v>
                </c:pt>
              </c:numCache>
            </c:numRef>
          </c:val>
        </c:ser>
        <c:dLbls>
          <c:showLegendKey val="0"/>
          <c:showVal val="0"/>
          <c:showCatName val="0"/>
          <c:showSerName val="0"/>
          <c:showPercent val="0"/>
          <c:showBubbleSize val="0"/>
        </c:dLbls>
        <c:gapWidth val="111"/>
        <c:overlap val="-30"/>
        <c:axId val="146232832"/>
        <c:axId val="146234368"/>
      </c:barChart>
      <c:catAx>
        <c:axId val="146232832"/>
        <c:scaling>
          <c:orientation val="minMax"/>
        </c:scaling>
        <c:delete val="0"/>
        <c:axPos val="b"/>
        <c:numFmt formatCode="General" sourceLinked="1"/>
        <c:majorTickMark val="in"/>
        <c:minorTickMark val="none"/>
        <c:tickLblPos val="nextTo"/>
        <c:spPr>
          <a:ln/>
        </c:spPr>
        <c:txPr>
          <a:bodyPr rot="-5400000" vert="horz"/>
          <a:lstStyle/>
          <a:p>
            <a:pPr>
              <a:defRPr sz="1000" baseline="0"/>
            </a:pPr>
            <a:endParaRPr lang="sk-SK"/>
          </a:p>
        </c:txPr>
        <c:crossAx val="146234368"/>
        <c:crosses val="autoZero"/>
        <c:auto val="0"/>
        <c:lblAlgn val="ctr"/>
        <c:lblOffset val="10"/>
        <c:noMultiLvlLbl val="0"/>
      </c:catAx>
      <c:valAx>
        <c:axId val="146234368"/>
        <c:scaling>
          <c:orientation val="minMax"/>
          <c:max val="2"/>
          <c:min val="0"/>
        </c:scaling>
        <c:delete val="0"/>
        <c:axPos val="l"/>
        <c:majorGridlines>
          <c:spPr>
            <a:ln>
              <a:solidFill>
                <a:schemeClr val="bg2">
                  <a:lumMod val="75000"/>
                </a:schemeClr>
              </a:solidFill>
            </a:ln>
          </c:spPr>
        </c:majorGridlines>
        <c:numFmt formatCode="General" sourceLinked="1"/>
        <c:majorTickMark val="out"/>
        <c:minorTickMark val="none"/>
        <c:tickLblPos val="nextTo"/>
        <c:txPr>
          <a:bodyPr rot="0" vert="horz"/>
          <a:lstStyle/>
          <a:p>
            <a:pPr>
              <a:defRPr/>
            </a:pPr>
            <a:endParaRPr lang="sk-SK"/>
          </a:p>
        </c:txPr>
        <c:crossAx val="146232832"/>
        <c:crossesAt val="1"/>
        <c:crossBetween val="between"/>
        <c:majorUnit val="0.5"/>
      </c:valAx>
    </c:plotArea>
    <c:legend>
      <c:legendPos val="r"/>
      <c:layout>
        <c:manualLayout>
          <c:xMode val="edge"/>
          <c:yMode val="edge"/>
          <c:x val="0.15455210809121139"/>
          <c:y val="0.16793058634660959"/>
          <c:w val="0.76964158412257277"/>
          <c:h val="0.10231368843996687"/>
        </c:manualLayout>
      </c:layout>
      <c:overlay val="0"/>
      <c:txPr>
        <a:bodyPr/>
        <a:lstStyle/>
        <a:p>
          <a:pPr>
            <a:defRPr sz="1000" baseline="0"/>
          </a:pPr>
          <a:endParaRPr lang="sk-SK"/>
        </a:p>
      </c:txPr>
    </c:legend>
    <c:plotVisOnly val="1"/>
    <c:dispBlanksAs val="gap"/>
    <c:showDLblsOverMax val="0"/>
  </c:chart>
  <c:txPr>
    <a:bodyPr/>
    <a:lstStyle/>
    <a:p>
      <a:pPr>
        <a:defRPr sz="12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sk-SK"/>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0.06335</cdr:x>
      <cdr:y>0.41802</cdr:y>
    </cdr:from>
    <cdr:to>
      <cdr:x>0.96875</cdr:x>
      <cdr:y>0.41802</cdr:y>
    </cdr:to>
    <cdr:cxnSp macro="">
      <cdr:nvCxnSpPr>
        <cdr:cNvPr id="6" name="Rovná spojnica 5"/>
        <cdr:cNvCxnSpPr/>
      </cdr:nvCxnSpPr>
      <cdr:spPr>
        <a:xfrm xmlns:a="http://schemas.openxmlformats.org/drawingml/2006/main">
          <a:off x="566443" y="1866328"/>
          <a:ext cx="8096150" cy="0"/>
        </a:xfrm>
        <a:prstGeom xmlns:a="http://schemas.openxmlformats.org/drawingml/2006/main" prst="line">
          <a:avLst/>
        </a:prstGeom>
        <a:ln xmlns:a="http://schemas.openxmlformats.org/drawingml/2006/main" w="285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8E95A-2E90-4EE3-A251-5AB1E86C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37</Pages>
  <Words>13688</Words>
  <Characters>78027</Characters>
  <Application>Microsoft Office Word</Application>
  <DocSecurity>0</DocSecurity>
  <Lines>650</Lines>
  <Paragraphs>183</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MŠSR</Company>
  <LinksUpToDate>false</LinksUpToDate>
  <CharactersWithSpaces>91532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jozef.jurkovic</dc:creator>
  <cp:keywords>02</cp:keywords>
  <cp:lastModifiedBy>Páleníková Emília</cp:lastModifiedBy>
  <cp:revision>3</cp:revision>
  <cp:lastPrinted>2015-09-07T12:07:00Z</cp:lastPrinted>
  <dcterms:created xsi:type="dcterms:W3CDTF">2015-09-02T08:59:00Z</dcterms:created>
  <dcterms:modified xsi:type="dcterms:W3CDTF">2015-09-07T12:08:00Z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0x010100DF8C1E7D131245459CDBF9AC4B705096</vt:lpwstr>
  </property>
</Properties>
</file>