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26" w:rsidRPr="00C26FC3" w:rsidRDefault="0041374B" w:rsidP="00C26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Style w:val="hps"/>
          <w:rFonts w:ascii="Times New Roman" w:hAnsi="Times New Roman" w:cs="Times New Roman"/>
          <w:b/>
          <w:sz w:val="28"/>
          <w:szCs w:val="28"/>
        </w:rPr>
      </w:pPr>
      <w:r w:rsidRPr="005A324C">
        <w:rPr>
          <w:rFonts w:ascii="Times New Roman" w:hAnsi="Times New Roman" w:cs="Times New Roman"/>
          <w:b/>
          <w:sz w:val="28"/>
          <w:szCs w:val="28"/>
        </w:rPr>
        <w:t>Nová generácia</w:t>
      </w:r>
      <w:r w:rsidR="00C1489C" w:rsidRPr="005A324C">
        <w:rPr>
          <w:rFonts w:ascii="Times New Roman" w:hAnsi="Times New Roman" w:cs="Times New Roman"/>
          <w:b/>
          <w:sz w:val="28"/>
          <w:szCs w:val="28"/>
        </w:rPr>
        <w:t xml:space="preserve"> technických pracovných skupín S</w:t>
      </w:r>
      <w:r w:rsidRPr="005A324C">
        <w:rPr>
          <w:rFonts w:ascii="Times New Roman" w:hAnsi="Times New Roman" w:cs="Times New Roman"/>
          <w:b/>
          <w:sz w:val="28"/>
          <w:szCs w:val="28"/>
        </w:rPr>
        <w:t>trategického rámca pre európsku spoluprácu v oblasti vzdelávania a odbornej prípravy (</w:t>
      </w:r>
      <w:r w:rsidR="00CF3FFF" w:rsidRPr="005A324C">
        <w:rPr>
          <w:rFonts w:ascii="Times New Roman" w:hAnsi="Times New Roman" w:cs="Times New Roman"/>
          <w:b/>
          <w:sz w:val="28"/>
          <w:szCs w:val="28"/>
        </w:rPr>
        <w:t>ET2020</w:t>
      </w:r>
      <w:r w:rsidRPr="005A324C">
        <w:rPr>
          <w:rFonts w:ascii="Times New Roman" w:hAnsi="Times New Roman" w:cs="Times New Roman"/>
          <w:b/>
          <w:sz w:val="28"/>
          <w:szCs w:val="28"/>
        </w:rPr>
        <w:t>)</w:t>
      </w:r>
    </w:p>
    <w:p w:rsidR="00C26FC3" w:rsidRDefault="00C26FC3" w:rsidP="00AD1799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884B12" w:rsidRDefault="00C36EF6" w:rsidP="00AD1799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Európe je</w:t>
      </w:r>
      <w:r w:rsidR="00022516" w:rsidRPr="00DD64F5">
        <w:rPr>
          <w:rFonts w:ascii="Times New Roman" w:hAnsi="Times New Roman" w:cs="Times New Roman"/>
        </w:rPr>
        <w:t xml:space="preserve"> potrebné riešiť viacero naliehavých úloh</w:t>
      </w:r>
      <w:r w:rsidR="00DD64F5" w:rsidRPr="00DD64F5">
        <w:rPr>
          <w:rFonts w:ascii="Times New Roman" w:hAnsi="Times New Roman" w:cs="Times New Roman"/>
        </w:rPr>
        <w:t>: obnoviť vytváranie pracovných miest,</w:t>
      </w:r>
      <w:r w:rsidR="00DD64F5">
        <w:rPr>
          <w:rFonts w:ascii="Times New Roman" w:hAnsi="Times New Roman" w:cs="Times New Roman"/>
        </w:rPr>
        <w:t xml:space="preserve"> </w:t>
      </w:r>
      <w:r w:rsidR="00DD64F5" w:rsidRPr="00DD64F5">
        <w:rPr>
          <w:rFonts w:ascii="Times New Roman" w:hAnsi="Times New Roman" w:cs="Times New Roman"/>
        </w:rPr>
        <w:t>oživiť hospodárstvo, dosiahnuť udržateľný rast,  preklenúť nedostatok investícií,  posilniť sociálnu súdržnosť,  koor</w:t>
      </w:r>
      <w:r w:rsidR="00DD64F5">
        <w:rPr>
          <w:rFonts w:ascii="Times New Roman" w:hAnsi="Times New Roman" w:cs="Times New Roman"/>
        </w:rPr>
        <w:t>dinovať reakciu na migračný tok,</w:t>
      </w:r>
      <w:r w:rsidR="00DD64F5" w:rsidRPr="00DD64F5">
        <w:rPr>
          <w:rFonts w:ascii="Times New Roman" w:hAnsi="Times New Roman" w:cs="Times New Roman"/>
        </w:rPr>
        <w:t xml:space="preserve"> venovať prvoradú pozor</w:t>
      </w:r>
      <w:r w:rsidR="00A05ECE">
        <w:rPr>
          <w:rFonts w:ascii="Times New Roman" w:hAnsi="Times New Roman" w:cs="Times New Roman"/>
        </w:rPr>
        <w:t xml:space="preserve">nosť predchádzaniu </w:t>
      </w:r>
      <w:proofErr w:type="spellStart"/>
      <w:r w:rsidR="00A05ECE">
        <w:rPr>
          <w:rFonts w:ascii="Times New Roman" w:hAnsi="Times New Roman" w:cs="Times New Roman"/>
        </w:rPr>
        <w:t>radikalizácie</w:t>
      </w:r>
      <w:proofErr w:type="spellEnd"/>
      <w:r w:rsidR="00A05ECE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 </w:t>
      </w:r>
      <w:r w:rsidR="00A05ECE">
        <w:rPr>
          <w:rFonts w:ascii="Times New Roman" w:hAnsi="Times New Roman" w:cs="Times New Roman"/>
        </w:rPr>
        <w:t>násilia</w:t>
      </w:r>
      <w:r>
        <w:rPr>
          <w:rFonts w:ascii="Times New Roman" w:hAnsi="Times New Roman" w:cs="Times New Roman"/>
        </w:rPr>
        <w:t xml:space="preserve"> a pod</w:t>
      </w:r>
      <w:r w:rsidR="00F1743B">
        <w:rPr>
          <w:rFonts w:ascii="Times New Roman" w:hAnsi="Times New Roman" w:cs="Times New Roman"/>
        </w:rPr>
        <w:t>.</w:t>
      </w:r>
      <w:r w:rsidR="00DD64F5" w:rsidRPr="00DD64F5">
        <w:rPr>
          <w:rFonts w:ascii="Times New Roman" w:hAnsi="Times New Roman" w:cs="Times New Roman"/>
        </w:rPr>
        <w:t xml:space="preserve"> </w:t>
      </w:r>
    </w:p>
    <w:p w:rsidR="00884B12" w:rsidRDefault="00884B12" w:rsidP="00884B12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C80CE1" w:rsidRDefault="00DD64F5" w:rsidP="00AD1799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B7170">
        <w:rPr>
          <w:rFonts w:ascii="Times New Roman" w:hAnsi="Times New Roman" w:cs="Times New Roman"/>
        </w:rPr>
        <w:t xml:space="preserve">Zároveň </w:t>
      </w:r>
      <w:r w:rsidRPr="00BB7170">
        <w:rPr>
          <w:rFonts w:ascii="Times New Roman" w:hAnsi="Times New Roman" w:cs="Times New Roman"/>
          <w:i/>
        </w:rPr>
        <w:t>systémy vzdelávania a odbornej prípravy stoja pred výzvou zabezpečiť rovnaký prístup ku kvalitnému vzdelávaniu, najmä oslovení</w:t>
      </w:r>
      <w:r w:rsidR="00FB1C51">
        <w:rPr>
          <w:rFonts w:ascii="Times New Roman" w:hAnsi="Times New Roman" w:cs="Times New Roman"/>
          <w:i/>
        </w:rPr>
        <w:t>m najviac znevýhodnených osôb a </w:t>
      </w:r>
      <w:r w:rsidRPr="00BB7170">
        <w:rPr>
          <w:rFonts w:ascii="Times New Roman" w:hAnsi="Times New Roman" w:cs="Times New Roman"/>
          <w:i/>
        </w:rPr>
        <w:t>integrovaním ľudí z rôznych prostredí vrátane primeranej</w:t>
      </w:r>
      <w:r w:rsidR="00FB1C51">
        <w:rPr>
          <w:rFonts w:ascii="Times New Roman" w:hAnsi="Times New Roman" w:cs="Times New Roman"/>
          <w:i/>
        </w:rPr>
        <w:t xml:space="preserve"> integrácie nových migrantov do </w:t>
      </w:r>
      <w:r w:rsidRPr="00BB7170">
        <w:rPr>
          <w:rFonts w:ascii="Times New Roman" w:hAnsi="Times New Roman" w:cs="Times New Roman"/>
          <w:i/>
        </w:rPr>
        <w:t>vzdelávacieho prostredia</w:t>
      </w:r>
      <w:r w:rsidR="00F1743B">
        <w:rPr>
          <w:rFonts w:ascii="Times New Roman" w:hAnsi="Times New Roman" w:cs="Times New Roman"/>
          <w:i/>
        </w:rPr>
        <w:t xml:space="preserve">. </w:t>
      </w:r>
      <w:r w:rsidR="00F1743B">
        <w:rPr>
          <w:rFonts w:ascii="Times New Roman" w:hAnsi="Times New Roman" w:cs="Times New Roman"/>
        </w:rPr>
        <w:t>V</w:t>
      </w:r>
      <w:r w:rsidR="00884B12" w:rsidRPr="00BB7170">
        <w:rPr>
          <w:rFonts w:ascii="Times New Roman" w:hAnsi="Times New Roman" w:cs="Times New Roman"/>
        </w:rPr>
        <w:t xml:space="preserve">zdelávanie a odborná </w:t>
      </w:r>
      <w:r w:rsidR="00FB1C51">
        <w:rPr>
          <w:rFonts w:ascii="Times New Roman" w:hAnsi="Times New Roman" w:cs="Times New Roman"/>
        </w:rPr>
        <w:t>príprava významne prispievajú k </w:t>
      </w:r>
      <w:r w:rsidR="00884B12" w:rsidRPr="00BB7170">
        <w:rPr>
          <w:rFonts w:ascii="Times New Roman" w:hAnsi="Times New Roman" w:cs="Times New Roman"/>
        </w:rPr>
        <w:t>niekoľkým stratégiám a iniciatívam EÚ vrátane stratégie Európa 2020, záruky pre mladých ľudí, iniciatívy na podporu zamestnanosti mladých ľudí, iniciatíve jednotného digitálneho trhu</w:t>
      </w:r>
      <w:r w:rsidR="00F1743B">
        <w:rPr>
          <w:rFonts w:ascii="Times New Roman" w:hAnsi="Times New Roman" w:cs="Times New Roman"/>
        </w:rPr>
        <w:t>, ako aj ďalších, p</w:t>
      </w:r>
      <w:r w:rsidR="00884B12" w:rsidRPr="00BB7170">
        <w:rPr>
          <w:rFonts w:ascii="Times New Roman" w:hAnsi="Times New Roman" w:cs="Times New Roman"/>
        </w:rPr>
        <w:t>ričom sa plne rešpektuje právomoc čle</w:t>
      </w:r>
      <w:r w:rsidR="00FB1C51">
        <w:rPr>
          <w:rFonts w:ascii="Times New Roman" w:hAnsi="Times New Roman" w:cs="Times New Roman"/>
        </w:rPr>
        <w:t>nských štátov, pokiaľ ide o ich0</w:t>
      </w:r>
      <w:r w:rsidR="00884B12" w:rsidRPr="00BB7170">
        <w:rPr>
          <w:rFonts w:ascii="Times New Roman" w:hAnsi="Times New Roman" w:cs="Times New Roman"/>
        </w:rPr>
        <w:t>systémy vzdelávania a odbornej prípravy.</w:t>
      </w:r>
      <w:r w:rsidR="00BB7170" w:rsidRPr="00BB7170">
        <w:rPr>
          <w:rFonts w:ascii="Times New Roman" w:hAnsi="Times New Roman" w:cs="Times New Roman"/>
        </w:rPr>
        <w:t xml:space="preserve"> </w:t>
      </w:r>
    </w:p>
    <w:p w:rsidR="00C80CE1" w:rsidRDefault="00C80CE1" w:rsidP="00BB7170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884B12" w:rsidRPr="00C80CE1" w:rsidRDefault="00C80CE1" w:rsidP="00AD1799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i/>
          <w:color w:val="auto"/>
        </w:rPr>
      </w:pPr>
      <w:r w:rsidRPr="00C80CE1">
        <w:rPr>
          <w:rFonts w:ascii="Times New Roman" w:hAnsi="Times New Roman" w:cs="Times New Roman"/>
          <w:i/>
        </w:rPr>
        <w:t>Strategický rámec pre európsku spoluprácu vo vzdelávaní a odbornej príprave (ET 2020) dopĺňa vnútroštátne opatrenia a podporuje členské štáty formou výmeny skúseností, vzájomného učenia sa a získavania dôkazov a údajov, v uskutočňovaní reforiem s cieľom ďalej zlepšovať ich výsledky.</w:t>
      </w:r>
      <w:r w:rsidRPr="00C80CE1">
        <w:rPr>
          <w:color w:val="49494A"/>
          <w:sz w:val="15"/>
          <w:szCs w:val="15"/>
        </w:rPr>
        <w:t xml:space="preserve"> </w:t>
      </w:r>
      <w:r w:rsidR="001652B6" w:rsidRPr="00C80CE1">
        <w:rPr>
          <w:rFonts w:ascii="Times New Roman" w:hAnsi="Times New Roman" w:cs="Times New Roman"/>
          <w:i/>
        </w:rPr>
        <w:t>Strategický rámec pre euró</w:t>
      </w:r>
      <w:r w:rsidR="00FB1C51">
        <w:rPr>
          <w:rFonts w:ascii="Times New Roman" w:hAnsi="Times New Roman" w:cs="Times New Roman"/>
          <w:i/>
        </w:rPr>
        <w:t>psku spoluprácu vo vzdelávaní a </w:t>
      </w:r>
      <w:r w:rsidR="001652B6" w:rsidRPr="00C80CE1">
        <w:rPr>
          <w:rFonts w:ascii="Times New Roman" w:hAnsi="Times New Roman" w:cs="Times New Roman"/>
          <w:i/>
        </w:rPr>
        <w:t xml:space="preserve">odbornej príprave </w:t>
      </w:r>
      <w:r w:rsidRPr="00C80CE1">
        <w:rPr>
          <w:rFonts w:ascii="Times New Roman" w:hAnsi="Times New Roman" w:cs="Times New Roman"/>
          <w:i/>
          <w:color w:val="auto"/>
        </w:rPr>
        <w:t>je fórum na výmenu osvedčených postupov, vzájomné vzdelávanie, zhromažďovanie a šírenie informácií a údajov o tom, čo v prax</w:t>
      </w:r>
      <w:r w:rsidR="00FB1C51">
        <w:rPr>
          <w:rFonts w:ascii="Times New Roman" w:hAnsi="Times New Roman" w:cs="Times New Roman"/>
          <w:i/>
          <w:color w:val="auto"/>
        </w:rPr>
        <w:t>i funguje, ako aj poradenstvo a </w:t>
      </w:r>
      <w:r w:rsidRPr="00C80CE1">
        <w:rPr>
          <w:rFonts w:ascii="Times New Roman" w:hAnsi="Times New Roman" w:cs="Times New Roman"/>
          <w:i/>
          <w:color w:val="auto"/>
        </w:rPr>
        <w:t>podporu pre politické reformy.</w:t>
      </w:r>
    </w:p>
    <w:p w:rsidR="00DD64F5" w:rsidRDefault="00DD64F5" w:rsidP="00DD64F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B4408E" w:rsidRDefault="00D05147" w:rsidP="00AD1799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05147">
        <w:rPr>
          <w:rFonts w:ascii="Times New Roman" w:hAnsi="Times New Roman" w:cs="Times New Roman"/>
        </w:rPr>
        <w:t>Na zabez</w:t>
      </w:r>
      <w:r>
        <w:rPr>
          <w:rFonts w:ascii="Times New Roman" w:hAnsi="Times New Roman" w:cs="Times New Roman"/>
        </w:rPr>
        <w:t xml:space="preserve">pečenie úspešnej implementácie </w:t>
      </w:r>
      <w:r w:rsidR="00C80CE1">
        <w:rPr>
          <w:rFonts w:ascii="Times New Roman" w:hAnsi="Times New Roman" w:cs="Times New Roman"/>
        </w:rPr>
        <w:t xml:space="preserve">ET 2020 </w:t>
      </w:r>
      <w:r w:rsidRPr="00D05147">
        <w:rPr>
          <w:rFonts w:ascii="Times New Roman" w:hAnsi="Times New Roman" w:cs="Times New Roman"/>
        </w:rPr>
        <w:t>využíva</w:t>
      </w:r>
      <w:r w:rsidR="00C80CE1">
        <w:rPr>
          <w:rFonts w:ascii="Times New Roman" w:hAnsi="Times New Roman" w:cs="Times New Roman"/>
        </w:rPr>
        <w:t xml:space="preserve"> EÚ</w:t>
      </w:r>
      <w:r w:rsidRPr="00D05147">
        <w:rPr>
          <w:rFonts w:ascii="Times New Roman" w:hAnsi="Times New Roman" w:cs="Times New Roman"/>
        </w:rPr>
        <w:t xml:space="preserve"> aj </w:t>
      </w:r>
      <w:r w:rsidR="00CE4D6D" w:rsidRPr="00C1489C">
        <w:rPr>
          <w:rFonts w:ascii="Times New Roman" w:hAnsi="Times New Roman" w:cs="Times New Roman"/>
          <w:b/>
        </w:rPr>
        <w:t xml:space="preserve">technické </w:t>
      </w:r>
      <w:hyperlink r:id="rId9" w:tooltip="Informácie o expertných skupinách pre vzdelávanie a odbornú prípravu" w:history="1">
        <w:r w:rsidRPr="00C1489C">
          <w:rPr>
            <w:rStyle w:val="Hypertextovprepojenie"/>
            <w:rFonts w:ascii="Times New Roman" w:hAnsi="Times New Roman" w:cs="Times New Roman"/>
            <w:b/>
            <w:color w:val="auto"/>
          </w:rPr>
          <w:t>pracovné skupiny</w:t>
        </w:r>
      </w:hyperlink>
      <w:r w:rsidR="00D03984">
        <w:rPr>
          <w:rStyle w:val="Hypertextovprepojenie"/>
          <w:rFonts w:ascii="Times New Roman" w:hAnsi="Times New Roman" w:cs="Times New Roman"/>
          <w:b/>
          <w:color w:val="auto"/>
        </w:rPr>
        <w:t xml:space="preserve"> </w:t>
      </w:r>
      <w:r w:rsidR="00A05ECE">
        <w:rPr>
          <w:rStyle w:val="Hypertextovprepojenie"/>
          <w:rFonts w:ascii="Times New Roman" w:hAnsi="Times New Roman" w:cs="Times New Roman"/>
          <w:color w:val="auto"/>
        </w:rPr>
        <w:t xml:space="preserve">(ďalej aj </w:t>
      </w:r>
      <w:r w:rsidR="00D03984" w:rsidRPr="00D03984">
        <w:rPr>
          <w:rStyle w:val="Hypertextovprepojenie"/>
          <w:rFonts w:ascii="Times New Roman" w:hAnsi="Times New Roman" w:cs="Times New Roman"/>
          <w:color w:val="auto"/>
        </w:rPr>
        <w:t>„TPS“)</w:t>
      </w:r>
      <w:r w:rsidR="005A324C">
        <w:rPr>
          <w:rStyle w:val="Hypertextovprepojenie"/>
          <w:rFonts w:ascii="Times New Roman" w:hAnsi="Times New Roman" w:cs="Times New Roman"/>
          <w:color w:val="auto"/>
        </w:rPr>
        <w:t xml:space="preserve"> </w:t>
      </w:r>
      <w:r w:rsidRPr="00D05147">
        <w:rPr>
          <w:rFonts w:ascii="Times New Roman" w:hAnsi="Times New Roman" w:cs="Times New Roman"/>
        </w:rPr>
        <w:t>zložené z odborníkov, ktorých nominujú členské štáty</w:t>
      </w:r>
      <w:r w:rsidR="000A7501">
        <w:rPr>
          <w:rFonts w:ascii="Times New Roman" w:hAnsi="Times New Roman" w:cs="Times New Roman"/>
        </w:rPr>
        <w:t xml:space="preserve"> a ďalšie zainteresované strany</w:t>
      </w:r>
      <w:r w:rsidR="00F37E5C">
        <w:rPr>
          <w:rFonts w:ascii="Times New Roman" w:hAnsi="Times New Roman" w:cs="Times New Roman"/>
        </w:rPr>
        <w:t>.</w:t>
      </w:r>
      <w:r w:rsidRPr="000A7501">
        <w:rPr>
          <w:rFonts w:ascii="Times New Roman" w:hAnsi="Times New Roman" w:cs="Times New Roman"/>
          <w:color w:val="auto"/>
        </w:rPr>
        <w:t xml:space="preserve"> </w:t>
      </w:r>
      <w:r w:rsidRPr="00D05147">
        <w:rPr>
          <w:rFonts w:ascii="Times New Roman" w:hAnsi="Times New Roman" w:cs="Times New Roman"/>
        </w:rPr>
        <w:t>Táto práca je súčasťou širšej spolupráce známej ako otvorená metóda koordinácie, ktorej cieľom je podporovať vzájomné učenie sa, výmenu os</w:t>
      </w:r>
      <w:r>
        <w:rPr>
          <w:rFonts w:ascii="Times New Roman" w:hAnsi="Times New Roman" w:cs="Times New Roman"/>
        </w:rPr>
        <w:t>vedčených postupov, národné</w:t>
      </w:r>
      <w:r w:rsidRPr="00D05147">
        <w:rPr>
          <w:rFonts w:ascii="Times New Roman" w:hAnsi="Times New Roman" w:cs="Times New Roman"/>
        </w:rPr>
        <w:t xml:space="preserve"> reformy a rozvoj nástrojov na európskej úrovni.</w:t>
      </w:r>
      <w:r>
        <w:rPr>
          <w:rFonts w:ascii="Times New Roman" w:hAnsi="Times New Roman" w:cs="Times New Roman"/>
        </w:rPr>
        <w:t xml:space="preserve"> Mandáty </w:t>
      </w:r>
      <w:r w:rsidR="00C80CE1">
        <w:rPr>
          <w:rFonts w:ascii="Times New Roman" w:hAnsi="Times New Roman" w:cs="Times New Roman"/>
        </w:rPr>
        <w:t xml:space="preserve">predchádzajúcich </w:t>
      </w:r>
      <w:r w:rsidR="00D03984">
        <w:rPr>
          <w:rFonts w:ascii="Times New Roman" w:hAnsi="Times New Roman" w:cs="Times New Roman"/>
        </w:rPr>
        <w:t>TPS</w:t>
      </w:r>
      <w:r>
        <w:rPr>
          <w:rFonts w:ascii="Times New Roman" w:hAnsi="Times New Roman" w:cs="Times New Roman"/>
        </w:rPr>
        <w:t xml:space="preserve"> ET 2020 </w:t>
      </w:r>
      <w:r w:rsidR="00C80CE1">
        <w:rPr>
          <w:rFonts w:ascii="Times New Roman" w:hAnsi="Times New Roman" w:cs="Times New Roman"/>
        </w:rPr>
        <w:t>skončili</w:t>
      </w:r>
      <w:r>
        <w:rPr>
          <w:rFonts w:ascii="Times New Roman" w:hAnsi="Times New Roman" w:cs="Times New Roman"/>
        </w:rPr>
        <w:t xml:space="preserve"> v o</w:t>
      </w:r>
      <w:r w:rsidR="00C80CE1">
        <w:rPr>
          <w:rFonts w:ascii="Times New Roman" w:hAnsi="Times New Roman" w:cs="Times New Roman"/>
        </w:rPr>
        <w:t>któbri 2015. O ustanovení novej generácie</w:t>
      </w:r>
      <w:r>
        <w:rPr>
          <w:rFonts w:ascii="Times New Roman" w:hAnsi="Times New Roman" w:cs="Times New Roman"/>
        </w:rPr>
        <w:t xml:space="preserve"> </w:t>
      </w:r>
      <w:r w:rsidR="00D03984">
        <w:rPr>
          <w:rFonts w:ascii="Times New Roman" w:hAnsi="Times New Roman" w:cs="Times New Roman"/>
        </w:rPr>
        <w:t>TPS</w:t>
      </w:r>
      <w:r w:rsidR="00FB1C51">
        <w:rPr>
          <w:rFonts w:ascii="Times New Roman" w:hAnsi="Times New Roman" w:cs="Times New Roman"/>
        </w:rPr>
        <w:t xml:space="preserve"> sa </w:t>
      </w:r>
      <w:r w:rsidR="00C80CE1">
        <w:rPr>
          <w:rFonts w:ascii="Times New Roman" w:hAnsi="Times New Roman" w:cs="Times New Roman"/>
        </w:rPr>
        <w:t xml:space="preserve">diskutovalo </w:t>
      </w:r>
      <w:r w:rsidR="00F1743B">
        <w:rPr>
          <w:rFonts w:ascii="Times New Roman" w:hAnsi="Times New Roman" w:cs="Times New Roman"/>
        </w:rPr>
        <w:t>na zasadnutiach</w:t>
      </w:r>
      <w:r w:rsidR="000B5E8F">
        <w:rPr>
          <w:rFonts w:ascii="Times New Roman" w:hAnsi="Times New Roman" w:cs="Times New Roman"/>
        </w:rPr>
        <w:t xml:space="preserve"> generálnych riaditeľov, Vý</w:t>
      </w:r>
      <w:r w:rsidR="00FB1C51">
        <w:rPr>
          <w:rFonts w:ascii="Times New Roman" w:hAnsi="Times New Roman" w:cs="Times New Roman"/>
        </w:rPr>
        <w:t>bore pre vzdelávanie, ako aj na </w:t>
      </w:r>
      <w:r w:rsidR="000B5E8F">
        <w:rPr>
          <w:rFonts w:ascii="Times New Roman" w:hAnsi="Times New Roman" w:cs="Times New Roman"/>
        </w:rPr>
        <w:t>stretnutí skupiny na vysokej úrovni</w:t>
      </w:r>
      <w:r w:rsidR="00A05ECE">
        <w:rPr>
          <w:rFonts w:ascii="Times New Roman" w:hAnsi="Times New Roman" w:cs="Times New Roman"/>
        </w:rPr>
        <w:t xml:space="preserve"> pre vzdelávanie</w:t>
      </w:r>
      <w:r w:rsidR="000B5E8F">
        <w:rPr>
          <w:rFonts w:ascii="Times New Roman" w:hAnsi="Times New Roman" w:cs="Times New Roman"/>
        </w:rPr>
        <w:t xml:space="preserve"> (HLG) v</w:t>
      </w:r>
      <w:r w:rsidR="000A7501">
        <w:rPr>
          <w:rFonts w:ascii="Times New Roman" w:hAnsi="Times New Roman" w:cs="Times New Roman"/>
        </w:rPr>
        <w:t> </w:t>
      </w:r>
      <w:r w:rsidR="000B5E8F">
        <w:rPr>
          <w:rFonts w:ascii="Times New Roman" w:hAnsi="Times New Roman" w:cs="Times New Roman"/>
        </w:rPr>
        <w:t>Amsterdame</w:t>
      </w:r>
      <w:r w:rsidR="000A7501">
        <w:rPr>
          <w:rFonts w:ascii="Times New Roman" w:hAnsi="Times New Roman" w:cs="Times New Roman"/>
        </w:rPr>
        <w:t xml:space="preserve"> v decembri 2015</w:t>
      </w:r>
      <w:r w:rsidR="000B5E8F">
        <w:rPr>
          <w:rFonts w:ascii="Times New Roman" w:hAnsi="Times New Roman" w:cs="Times New Roman"/>
        </w:rPr>
        <w:t xml:space="preserve">. </w:t>
      </w:r>
      <w:r w:rsidR="000A7501">
        <w:rPr>
          <w:rFonts w:ascii="Times New Roman" w:hAnsi="Times New Roman" w:cs="Times New Roman"/>
        </w:rPr>
        <w:t xml:space="preserve">Nová generácia pracovných skupín ET 2020 </w:t>
      </w:r>
      <w:r w:rsidR="000B5E8F">
        <w:rPr>
          <w:rFonts w:ascii="Times New Roman" w:hAnsi="Times New Roman" w:cs="Times New Roman"/>
        </w:rPr>
        <w:t>vych</w:t>
      </w:r>
      <w:r w:rsidR="00A05ECE">
        <w:rPr>
          <w:rFonts w:ascii="Times New Roman" w:hAnsi="Times New Roman" w:cs="Times New Roman"/>
        </w:rPr>
        <w:t>ádza</w:t>
      </w:r>
      <w:r w:rsidR="000A7501">
        <w:rPr>
          <w:rFonts w:ascii="Times New Roman" w:hAnsi="Times New Roman" w:cs="Times New Roman"/>
        </w:rPr>
        <w:t xml:space="preserve"> z priorít ustanovených v S</w:t>
      </w:r>
      <w:r w:rsidR="000B5E8F">
        <w:rPr>
          <w:rFonts w:ascii="Times New Roman" w:hAnsi="Times New Roman" w:cs="Times New Roman"/>
        </w:rPr>
        <w:t xml:space="preserve">poločnej správe </w:t>
      </w:r>
      <w:r w:rsidR="000A7501">
        <w:rPr>
          <w:rFonts w:ascii="Times New Roman" w:hAnsi="Times New Roman" w:cs="Times New Roman"/>
        </w:rPr>
        <w:t>Rady a Komisie na rok 2015 o vykonávaní strategického rámca pre európsku spoluprácu vo vzdelávaní a odborne</w:t>
      </w:r>
      <w:r w:rsidR="00A05ECE">
        <w:rPr>
          <w:rFonts w:ascii="Times New Roman" w:hAnsi="Times New Roman" w:cs="Times New Roman"/>
        </w:rPr>
        <w:t xml:space="preserve">j príprave  (2015 </w:t>
      </w:r>
      <w:proofErr w:type="spellStart"/>
      <w:r w:rsidR="00A05ECE">
        <w:rPr>
          <w:rFonts w:ascii="Times New Roman" w:hAnsi="Times New Roman" w:cs="Times New Roman"/>
        </w:rPr>
        <w:t>Joint</w:t>
      </w:r>
      <w:proofErr w:type="spellEnd"/>
      <w:r w:rsidR="00A05ECE">
        <w:rPr>
          <w:rFonts w:ascii="Times New Roman" w:hAnsi="Times New Roman" w:cs="Times New Roman"/>
        </w:rPr>
        <w:t xml:space="preserve"> Report)</w:t>
      </w:r>
      <w:r w:rsidR="000A7501">
        <w:rPr>
          <w:rFonts w:ascii="Times New Roman" w:hAnsi="Times New Roman" w:cs="Times New Roman"/>
        </w:rPr>
        <w:t>, ktorá bola</w:t>
      </w:r>
      <w:r w:rsidR="000B5E8F">
        <w:rPr>
          <w:rFonts w:ascii="Times New Roman" w:hAnsi="Times New Roman" w:cs="Times New Roman"/>
        </w:rPr>
        <w:t xml:space="preserve"> prijatá na Rade ministrov</w:t>
      </w:r>
      <w:r w:rsidR="000A7501">
        <w:rPr>
          <w:rFonts w:ascii="Times New Roman" w:hAnsi="Times New Roman" w:cs="Times New Roman"/>
        </w:rPr>
        <w:t xml:space="preserve"> </w:t>
      </w:r>
      <w:r w:rsidR="000A7501" w:rsidRPr="000A7501">
        <w:rPr>
          <w:rFonts w:ascii="Times New Roman" w:hAnsi="Times New Roman" w:cs="Times New Roman"/>
        </w:rPr>
        <w:t>pre vzdelávanie, mládež, kultúru a šport</w:t>
      </w:r>
      <w:r w:rsidR="000B5E8F">
        <w:rPr>
          <w:rFonts w:ascii="Times New Roman" w:hAnsi="Times New Roman" w:cs="Times New Roman"/>
        </w:rPr>
        <w:t xml:space="preserve"> v novembri 2015</w:t>
      </w:r>
      <w:r w:rsidR="00B4408E">
        <w:rPr>
          <w:rFonts w:ascii="Times New Roman" w:hAnsi="Times New Roman" w:cs="Times New Roman"/>
        </w:rPr>
        <w:t>.</w:t>
      </w:r>
    </w:p>
    <w:p w:rsidR="00C1489C" w:rsidRDefault="00C1489C" w:rsidP="00FD674A">
      <w:pPr>
        <w:pStyle w:val="Default"/>
        <w:jc w:val="both"/>
        <w:rPr>
          <w:rFonts w:ascii="Times New Roman" w:hAnsi="Times New Roman" w:cs="Times New Roman"/>
        </w:rPr>
      </w:pPr>
    </w:p>
    <w:p w:rsidR="00F1743B" w:rsidRDefault="00F1743B" w:rsidP="00FD674A">
      <w:pPr>
        <w:pStyle w:val="Default"/>
        <w:jc w:val="both"/>
        <w:rPr>
          <w:rFonts w:ascii="Times New Roman" w:hAnsi="Times New Roman" w:cs="Times New Roman"/>
        </w:rPr>
      </w:pPr>
    </w:p>
    <w:p w:rsidR="00F1743B" w:rsidRDefault="00F1743B" w:rsidP="00FD674A">
      <w:pPr>
        <w:pStyle w:val="Default"/>
        <w:jc w:val="both"/>
        <w:rPr>
          <w:rFonts w:ascii="Times New Roman" w:hAnsi="Times New Roman" w:cs="Times New Roman"/>
        </w:rPr>
      </w:pPr>
    </w:p>
    <w:p w:rsidR="00F1743B" w:rsidRDefault="00F1743B" w:rsidP="00FD674A">
      <w:pPr>
        <w:pStyle w:val="Default"/>
        <w:jc w:val="both"/>
        <w:rPr>
          <w:rFonts w:ascii="Times New Roman" w:hAnsi="Times New Roman" w:cs="Times New Roman"/>
        </w:rPr>
      </w:pPr>
    </w:p>
    <w:p w:rsidR="00C36EF6" w:rsidRDefault="00C36EF6" w:rsidP="00FD674A">
      <w:pPr>
        <w:pStyle w:val="Default"/>
        <w:jc w:val="both"/>
        <w:rPr>
          <w:rFonts w:ascii="Times New Roman" w:hAnsi="Times New Roman" w:cs="Times New Roman"/>
        </w:rPr>
      </w:pPr>
    </w:p>
    <w:p w:rsidR="00F1743B" w:rsidRDefault="00F1743B" w:rsidP="00FD674A">
      <w:pPr>
        <w:pStyle w:val="Default"/>
        <w:jc w:val="both"/>
        <w:rPr>
          <w:rFonts w:ascii="Times New Roman" w:hAnsi="Times New Roman" w:cs="Times New Roman"/>
        </w:rPr>
      </w:pPr>
    </w:p>
    <w:p w:rsidR="00FD674A" w:rsidRDefault="00FD674A" w:rsidP="00AD1799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Priebežné hodnotenie ET 2020 potvrdilo význam </w:t>
      </w:r>
      <w:r w:rsidR="00FB1C51">
        <w:rPr>
          <w:rFonts w:ascii="Times New Roman" w:hAnsi="Times New Roman" w:cs="Times New Roman"/>
          <w:color w:val="auto"/>
        </w:rPr>
        <w:t>štyroch strategických cieľov ET </w:t>
      </w:r>
      <w:r>
        <w:rPr>
          <w:rFonts w:ascii="Times New Roman" w:hAnsi="Times New Roman" w:cs="Times New Roman"/>
          <w:color w:val="auto"/>
        </w:rPr>
        <w:t>2020, ktoré Rada stanovila ešte v roku 2009:</w:t>
      </w:r>
    </w:p>
    <w:p w:rsidR="00FD674A" w:rsidRDefault="00FD674A" w:rsidP="00AD1799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FD674A" w:rsidRPr="00FD674A" w:rsidRDefault="00FD674A" w:rsidP="00AD1799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color w:val="auto"/>
        </w:rPr>
      </w:pPr>
      <w:r w:rsidRPr="001652B6">
        <w:rPr>
          <w:rFonts w:ascii="Times New Roman" w:hAnsi="Times New Roman" w:cs="Times New Roman"/>
          <w:b/>
          <w:i/>
          <w:color w:val="auto"/>
          <w:u w:val="single"/>
        </w:rPr>
        <w:t>Postarať sa o realizáciu celoživotného vzdelávania a mobility</w:t>
      </w:r>
      <w:r w:rsidRPr="00FD674A">
        <w:rPr>
          <w:rFonts w:ascii="Times New Roman" w:hAnsi="Times New Roman" w:cs="Times New Roman"/>
          <w:b/>
          <w:i/>
          <w:color w:val="auto"/>
        </w:rPr>
        <w:t xml:space="preserve"> </w:t>
      </w:r>
    </w:p>
    <w:p w:rsidR="00FD674A" w:rsidRPr="00FD674A" w:rsidRDefault="00FD674A" w:rsidP="00AD1799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color w:val="auto"/>
        </w:rPr>
      </w:pPr>
      <w:r w:rsidRPr="001652B6">
        <w:rPr>
          <w:rFonts w:ascii="Times New Roman" w:hAnsi="Times New Roman" w:cs="Times New Roman"/>
          <w:b/>
          <w:i/>
          <w:color w:val="auto"/>
          <w:u w:val="single"/>
        </w:rPr>
        <w:t>Zlepšiť kvalitu a účinnosť vzdelávania a odbornej prípravy</w:t>
      </w:r>
      <w:r w:rsidRPr="00FD674A">
        <w:rPr>
          <w:rFonts w:ascii="Times New Roman" w:hAnsi="Times New Roman" w:cs="Times New Roman"/>
          <w:b/>
          <w:i/>
          <w:color w:val="auto"/>
        </w:rPr>
        <w:t xml:space="preserve"> </w:t>
      </w:r>
    </w:p>
    <w:p w:rsidR="00FD674A" w:rsidRPr="00FD674A" w:rsidRDefault="00FD674A" w:rsidP="00AD1799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color w:val="auto"/>
        </w:rPr>
      </w:pPr>
      <w:r w:rsidRPr="001652B6">
        <w:rPr>
          <w:rFonts w:ascii="Times New Roman" w:hAnsi="Times New Roman" w:cs="Times New Roman"/>
          <w:b/>
          <w:i/>
          <w:color w:val="auto"/>
          <w:u w:val="single"/>
        </w:rPr>
        <w:t>Podporovať spravodlivosť, sociálnu súdržnosť a aktívne občianstvo</w:t>
      </w:r>
      <w:r w:rsidRPr="00FD674A">
        <w:rPr>
          <w:rFonts w:ascii="Times New Roman" w:hAnsi="Times New Roman" w:cs="Times New Roman"/>
          <w:b/>
          <w:i/>
          <w:color w:val="auto"/>
        </w:rPr>
        <w:t xml:space="preserve"> </w:t>
      </w:r>
    </w:p>
    <w:p w:rsidR="00FD674A" w:rsidRPr="00FD674A" w:rsidRDefault="00FD674A" w:rsidP="00AD1799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color w:val="auto"/>
        </w:rPr>
      </w:pPr>
      <w:r w:rsidRPr="001652B6">
        <w:rPr>
          <w:rFonts w:ascii="Times New Roman" w:hAnsi="Times New Roman" w:cs="Times New Roman"/>
          <w:b/>
          <w:i/>
          <w:color w:val="auto"/>
          <w:u w:val="single"/>
        </w:rPr>
        <w:t>Posilniť tvorivosť a inovácie, a to aj v oblasti podnikania, na všetkých úrovniach vzdelávania a odbornej prípravy</w:t>
      </w:r>
      <w:r w:rsidRPr="00FD674A">
        <w:rPr>
          <w:rFonts w:ascii="Times New Roman" w:hAnsi="Times New Roman" w:cs="Times New Roman"/>
          <w:b/>
          <w:i/>
          <w:color w:val="auto"/>
        </w:rPr>
        <w:t>.</w:t>
      </w:r>
    </w:p>
    <w:p w:rsidR="00FD674A" w:rsidRDefault="00FD674A" w:rsidP="00FD674A">
      <w:pPr>
        <w:pStyle w:val="Default"/>
        <w:ind w:left="708"/>
        <w:jc w:val="both"/>
        <w:rPr>
          <w:rFonts w:ascii="Times New Roman" w:hAnsi="Times New Roman" w:cs="Times New Roman"/>
          <w:color w:val="auto"/>
        </w:rPr>
      </w:pPr>
    </w:p>
    <w:p w:rsidR="00FD674A" w:rsidRPr="00FD674A" w:rsidRDefault="00FD674A" w:rsidP="00AD1799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D674A">
        <w:rPr>
          <w:rFonts w:ascii="Times New Roman" w:hAnsi="Times New Roman" w:cs="Times New Roman"/>
        </w:rPr>
        <w:t xml:space="preserve">V rámci týchto strategických cieľov sa v hodnotení zdôraznil spoločný cieľ členských štátov zjednodušiť súčasné prioritné oblasti činností. </w:t>
      </w:r>
      <w:r w:rsidR="006667B3" w:rsidRPr="00C1489C">
        <w:rPr>
          <w:rFonts w:ascii="Times New Roman" w:hAnsi="Times New Roman" w:cs="Times New Roman"/>
          <w:color w:val="auto"/>
        </w:rPr>
        <w:t xml:space="preserve">Európska komisia a Rada Európskej únie </w:t>
      </w:r>
      <w:r w:rsidR="006667B3">
        <w:rPr>
          <w:rFonts w:ascii="Times New Roman" w:hAnsi="Times New Roman" w:cs="Times New Roman"/>
          <w:color w:val="auto"/>
        </w:rPr>
        <w:t xml:space="preserve">sa dohodli na </w:t>
      </w:r>
      <w:r w:rsidR="006667B3">
        <w:rPr>
          <w:rFonts w:ascii="Times New Roman" w:hAnsi="Times New Roman" w:cs="Times New Roman"/>
        </w:rPr>
        <w:t>znížení</w:t>
      </w:r>
      <w:r w:rsidRPr="00FD674A">
        <w:rPr>
          <w:rFonts w:ascii="Times New Roman" w:hAnsi="Times New Roman" w:cs="Times New Roman"/>
        </w:rPr>
        <w:t xml:space="preserve"> </w:t>
      </w:r>
      <w:r w:rsidRPr="00FD674A">
        <w:rPr>
          <w:rFonts w:ascii="Times New Roman" w:hAnsi="Times New Roman" w:cs="Times New Roman"/>
          <w:b/>
          <w:bCs/>
          <w:i/>
          <w:iCs/>
        </w:rPr>
        <w:t xml:space="preserve">prioritných oblastí </w:t>
      </w:r>
      <w:r w:rsidRPr="00FD674A">
        <w:rPr>
          <w:rFonts w:ascii="Times New Roman" w:hAnsi="Times New Roman" w:cs="Times New Roman"/>
        </w:rPr>
        <w:t>z 13 na 6, z ktorých každá môže prispieť k jednému alebo viacerým strategickým cieľom na obdobie do roku 2</w:t>
      </w:r>
      <w:r w:rsidR="00FB1C51">
        <w:rPr>
          <w:rFonts w:ascii="Times New Roman" w:hAnsi="Times New Roman" w:cs="Times New Roman"/>
        </w:rPr>
        <w:t>020, pričom sú v plnom súlade s </w:t>
      </w:r>
      <w:r w:rsidRPr="00FD674A">
        <w:rPr>
          <w:rFonts w:ascii="Times New Roman" w:hAnsi="Times New Roman" w:cs="Times New Roman"/>
        </w:rPr>
        <w:t>celkovými politickými pr</w:t>
      </w:r>
      <w:r w:rsidR="00A05ECE">
        <w:rPr>
          <w:rFonts w:ascii="Times New Roman" w:hAnsi="Times New Roman" w:cs="Times New Roman"/>
        </w:rPr>
        <w:t>ioritami EÚ a prispievajú k nim:</w:t>
      </w:r>
      <w:r w:rsidRPr="00FD674A">
        <w:rPr>
          <w:rFonts w:ascii="Times New Roman" w:hAnsi="Times New Roman" w:cs="Times New Roman"/>
        </w:rPr>
        <w:t xml:space="preserve"> </w:t>
      </w:r>
    </w:p>
    <w:p w:rsidR="00FD674A" w:rsidRDefault="00FD674A" w:rsidP="00C80CE1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6667B3" w:rsidRPr="006667B3" w:rsidRDefault="006667B3" w:rsidP="00AD1799">
      <w:pPr>
        <w:pStyle w:val="Default"/>
        <w:numPr>
          <w:ilvl w:val="0"/>
          <w:numId w:val="5"/>
        </w:numPr>
        <w:spacing w:line="276" w:lineRule="auto"/>
        <w:ind w:left="1134" w:hanging="425"/>
        <w:jc w:val="both"/>
        <w:rPr>
          <w:rFonts w:ascii="Times New Roman" w:hAnsi="Times New Roman" w:cs="Times New Roman"/>
          <w:i/>
          <w:color w:val="auto"/>
        </w:rPr>
      </w:pPr>
      <w:r w:rsidRPr="006667B3">
        <w:rPr>
          <w:rFonts w:ascii="Times New Roman" w:hAnsi="Times New Roman" w:cs="Times New Roman"/>
          <w:bCs/>
          <w:i/>
        </w:rPr>
        <w:t>Relevantné a vysokokvalitné vedomosti, zručnosti a kompetencie rozvíjané počas procesu celoživotného vzdelávania so zamer</w:t>
      </w:r>
      <w:r w:rsidR="00FB1C51">
        <w:rPr>
          <w:rFonts w:ascii="Times New Roman" w:hAnsi="Times New Roman" w:cs="Times New Roman"/>
          <w:bCs/>
          <w:i/>
        </w:rPr>
        <w:t>aním na výsledky vzdelávania vo </w:t>
      </w:r>
      <w:r w:rsidRPr="006667B3">
        <w:rPr>
          <w:rFonts w:ascii="Times New Roman" w:hAnsi="Times New Roman" w:cs="Times New Roman"/>
          <w:bCs/>
          <w:i/>
        </w:rPr>
        <w:t xml:space="preserve">vzťahu k </w:t>
      </w:r>
      <w:proofErr w:type="spellStart"/>
      <w:r w:rsidRPr="006667B3">
        <w:rPr>
          <w:rFonts w:ascii="Times New Roman" w:hAnsi="Times New Roman" w:cs="Times New Roman"/>
          <w:bCs/>
          <w:i/>
        </w:rPr>
        <w:t>zamestnateľnosti</w:t>
      </w:r>
      <w:proofErr w:type="spellEnd"/>
      <w:r w:rsidRPr="006667B3">
        <w:rPr>
          <w:rFonts w:ascii="Times New Roman" w:hAnsi="Times New Roman" w:cs="Times New Roman"/>
          <w:bCs/>
          <w:i/>
        </w:rPr>
        <w:t>, inovácii, aktívnemu občianstvu a blahobytu</w:t>
      </w:r>
    </w:p>
    <w:p w:rsidR="006667B3" w:rsidRPr="006667B3" w:rsidRDefault="006667B3" w:rsidP="00AD1799">
      <w:pPr>
        <w:pStyle w:val="Default"/>
        <w:numPr>
          <w:ilvl w:val="0"/>
          <w:numId w:val="5"/>
        </w:numPr>
        <w:spacing w:line="276" w:lineRule="auto"/>
        <w:ind w:left="1134" w:hanging="425"/>
        <w:jc w:val="both"/>
        <w:rPr>
          <w:rFonts w:ascii="Times New Roman" w:hAnsi="Times New Roman" w:cs="Times New Roman"/>
          <w:i/>
          <w:color w:val="auto"/>
        </w:rPr>
      </w:pPr>
      <w:proofErr w:type="spellStart"/>
      <w:r w:rsidRPr="006667B3">
        <w:rPr>
          <w:rFonts w:ascii="Times New Roman" w:hAnsi="Times New Roman" w:cs="Times New Roman"/>
          <w:bCs/>
          <w:i/>
        </w:rPr>
        <w:t>Inkluzívne</w:t>
      </w:r>
      <w:proofErr w:type="spellEnd"/>
      <w:r w:rsidRPr="006667B3">
        <w:rPr>
          <w:rFonts w:ascii="Times New Roman" w:hAnsi="Times New Roman" w:cs="Times New Roman"/>
          <w:bCs/>
          <w:i/>
        </w:rPr>
        <w:t xml:space="preserve"> vzdelávanie, rovnosť, spravodlivosť, nediskriminácia a podpora občianskych kompetencií</w:t>
      </w:r>
    </w:p>
    <w:p w:rsidR="006667B3" w:rsidRPr="006667B3" w:rsidRDefault="006667B3" w:rsidP="00AD1799">
      <w:pPr>
        <w:pStyle w:val="Default"/>
        <w:numPr>
          <w:ilvl w:val="0"/>
          <w:numId w:val="5"/>
        </w:numPr>
        <w:spacing w:line="276" w:lineRule="auto"/>
        <w:ind w:left="1134" w:hanging="425"/>
        <w:jc w:val="both"/>
        <w:rPr>
          <w:rFonts w:ascii="Times New Roman" w:hAnsi="Times New Roman" w:cs="Times New Roman"/>
          <w:i/>
          <w:color w:val="auto"/>
        </w:rPr>
      </w:pPr>
      <w:r w:rsidRPr="006667B3">
        <w:rPr>
          <w:rFonts w:ascii="Times New Roman" w:hAnsi="Times New Roman" w:cs="Times New Roman"/>
          <w:bCs/>
          <w:i/>
        </w:rPr>
        <w:t>Otvorené a inovačné vzdelávanie a odborná príprava, v rámci ktorých sa plne zohľadňuje digitálna éra</w:t>
      </w:r>
    </w:p>
    <w:p w:rsidR="006667B3" w:rsidRPr="006667B3" w:rsidRDefault="006667B3" w:rsidP="00AD1799">
      <w:pPr>
        <w:pStyle w:val="Default"/>
        <w:numPr>
          <w:ilvl w:val="0"/>
          <w:numId w:val="5"/>
        </w:numPr>
        <w:spacing w:line="276" w:lineRule="auto"/>
        <w:ind w:left="1134" w:hanging="425"/>
        <w:jc w:val="both"/>
        <w:rPr>
          <w:rFonts w:ascii="Times New Roman" w:hAnsi="Times New Roman" w:cs="Times New Roman"/>
          <w:i/>
          <w:color w:val="auto"/>
        </w:rPr>
      </w:pPr>
      <w:r w:rsidRPr="006667B3">
        <w:rPr>
          <w:rFonts w:ascii="Times New Roman" w:hAnsi="Times New Roman" w:cs="Times New Roman"/>
          <w:bCs/>
          <w:i/>
        </w:rPr>
        <w:t>Silná podpora pre učiteľov, školiteľov, vedenie škôl a pre ostatných pedagogických pracovníkov</w:t>
      </w:r>
    </w:p>
    <w:p w:rsidR="006667B3" w:rsidRPr="006667B3" w:rsidRDefault="006667B3" w:rsidP="00AD1799">
      <w:pPr>
        <w:pStyle w:val="Default"/>
        <w:numPr>
          <w:ilvl w:val="0"/>
          <w:numId w:val="5"/>
        </w:numPr>
        <w:spacing w:line="276" w:lineRule="auto"/>
        <w:ind w:left="1134" w:hanging="425"/>
        <w:jc w:val="both"/>
        <w:rPr>
          <w:rFonts w:ascii="Times New Roman" w:hAnsi="Times New Roman" w:cs="Times New Roman"/>
          <w:i/>
          <w:color w:val="auto"/>
        </w:rPr>
      </w:pPr>
      <w:r w:rsidRPr="006667B3">
        <w:rPr>
          <w:rFonts w:ascii="Times New Roman" w:hAnsi="Times New Roman" w:cs="Times New Roman"/>
          <w:bCs/>
          <w:i/>
        </w:rPr>
        <w:t>Transparentnosť a uznávanie zručností a kvalifikácií na uľahčenie vzdelávacej mobility a mobility pracovnej sily</w:t>
      </w:r>
    </w:p>
    <w:p w:rsidR="006667B3" w:rsidRPr="006667B3" w:rsidRDefault="006667B3" w:rsidP="00AD1799">
      <w:pPr>
        <w:pStyle w:val="Default"/>
        <w:numPr>
          <w:ilvl w:val="0"/>
          <w:numId w:val="5"/>
        </w:numPr>
        <w:spacing w:line="276" w:lineRule="auto"/>
        <w:ind w:left="1134" w:hanging="425"/>
        <w:jc w:val="both"/>
        <w:rPr>
          <w:rFonts w:ascii="Times New Roman" w:hAnsi="Times New Roman" w:cs="Times New Roman"/>
          <w:i/>
          <w:color w:val="auto"/>
        </w:rPr>
      </w:pPr>
      <w:r w:rsidRPr="006667B3">
        <w:rPr>
          <w:rFonts w:ascii="Times New Roman" w:hAnsi="Times New Roman" w:cs="Times New Roman"/>
          <w:bCs/>
          <w:i/>
        </w:rPr>
        <w:t>Udržateľné investície, kvalita a efektívnosť systémov vzdelávania a odbornej prípravy.</w:t>
      </w:r>
    </w:p>
    <w:p w:rsidR="005A324C" w:rsidRDefault="005A324C" w:rsidP="005A32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5A324C" w:rsidRPr="005A324C" w:rsidRDefault="00C1489C" w:rsidP="005A324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5A324C">
        <w:rPr>
          <w:rFonts w:ascii="Times New Roman" w:hAnsi="Times New Roman" w:cs="Times New Roman"/>
          <w:color w:val="auto"/>
        </w:rPr>
        <w:t>Dôraz sa bude klásť na účinnú realizáciu</w:t>
      </w:r>
      <w:r w:rsidR="00F1743B">
        <w:rPr>
          <w:rFonts w:ascii="Times New Roman" w:hAnsi="Times New Roman" w:cs="Times New Roman"/>
          <w:color w:val="auto"/>
        </w:rPr>
        <w:t xml:space="preserve"> </w:t>
      </w:r>
      <w:r w:rsidRPr="005A324C">
        <w:rPr>
          <w:rFonts w:ascii="Times New Roman" w:hAnsi="Times New Roman" w:cs="Times New Roman"/>
          <w:color w:val="auto"/>
        </w:rPr>
        <w:t>týchto priorít, predovšetkým prostredníctvom</w:t>
      </w:r>
      <w:r w:rsidR="00F37E5C" w:rsidRPr="005A324C">
        <w:rPr>
          <w:rFonts w:ascii="Times New Roman" w:hAnsi="Times New Roman" w:cs="Times New Roman"/>
          <w:color w:val="auto"/>
        </w:rPr>
        <w:t xml:space="preserve"> práce</w:t>
      </w:r>
      <w:r w:rsidRPr="005A324C">
        <w:rPr>
          <w:rFonts w:ascii="Times New Roman" w:hAnsi="Times New Roman" w:cs="Times New Roman"/>
          <w:color w:val="auto"/>
        </w:rPr>
        <w:t xml:space="preserve"> novej generácie</w:t>
      </w:r>
      <w:r w:rsidR="00076A61" w:rsidRPr="005A324C">
        <w:rPr>
          <w:rFonts w:ascii="Times New Roman" w:hAnsi="Times New Roman" w:cs="Times New Roman"/>
          <w:color w:val="auto"/>
        </w:rPr>
        <w:t xml:space="preserve"> šiestich</w:t>
      </w:r>
      <w:r w:rsidRPr="005A324C">
        <w:rPr>
          <w:rFonts w:ascii="Times New Roman" w:hAnsi="Times New Roman" w:cs="Times New Roman"/>
          <w:color w:val="auto"/>
        </w:rPr>
        <w:t xml:space="preserve"> </w:t>
      </w:r>
      <w:r w:rsidR="00D03984">
        <w:rPr>
          <w:rFonts w:ascii="Times New Roman" w:hAnsi="Times New Roman" w:cs="Times New Roman"/>
          <w:color w:val="auto"/>
        </w:rPr>
        <w:t>TPS ET2020</w:t>
      </w:r>
      <w:r w:rsidR="00076A61" w:rsidRPr="005A324C">
        <w:rPr>
          <w:rStyle w:val="Odkaznapoznmkupodiarou"/>
          <w:rFonts w:ascii="Times New Roman" w:hAnsi="Times New Roman" w:cs="Times New Roman"/>
          <w:color w:val="auto"/>
        </w:rPr>
        <w:footnoteReference w:id="1"/>
      </w:r>
      <w:r w:rsidR="00D03984">
        <w:rPr>
          <w:rFonts w:ascii="Times New Roman" w:hAnsi="Times New Roman" w:cs="Times New Roman"/>
          <w:color w:val="auto"/>
        </w:rPr>
        <w:t xml:space="preserve"> </w:t>
      </w:r>
      <w:r w:rsidR="005A324C" w:rsidRPr="005A324C">
        <w:rPr>
          <w:rFonts w:ascii="Times New Roman" w:hAnsi="Times New Roman" w:cs="Times New Roman"/>
          <w:color w:val="auto"/>
        </w:rPr>
        <w:t xml:space="preserve">, ktoré majú v nasledujúcich dva a pol rokoch rozpracovať vybrané problémové oblasti z jednotlivých subsystémov vzdelávania a odbornej prípravy. Činnosť a oblasti zamerania jednotlivých </w:t>
      </w:r>
      <w:r w:rsidR="00414B2C">
        <w:rPr>
          <w:rFonts w:ascii="Times New Roman" w:hAnsi="Times New Roman" w:cs="Times New Roman"/>
          <w:color w:val="auto"/>
        </w:rPr>
        <w:t>TPS</w:t>
      </w:r>
      <w:r w:rsidR="00A05ECE">
        <w:rPr>
          <w:rFonts w:ascii="Times New Roman" w:hAnsi="Times New Roman" w:cs="Times New Roman"/>
          <w:color w:val="auto"/>
        </w:rPr>
        <w:t xml:space="preserve"> sú hlbšie rozpracované</w:t>
      </w:r>
      <w:r w:rsidR="00FB1C51">
        <w:rPr>
          <w:rFonts w:ascii="Times New Roman" w:hAnsi="Times New Roman" w:cs="Times New Roman"/>
          <w:color w:val="auto"/>
        </w:rPr>
        <w:t xml:space="preserve"> v ich </w:t>
      </w:r>
      <w:r w:rsidR="005A324C" w:rsidRPr="005A324C">
        <w:rPr>
          <w:rFonts w:ascii="Times New Roman" w:hAnsi="Times New Roman" w:cs="Times New Roman"/>
          <w:color w:val="auto"/>
        </w:rPr>
        <w:t>mandáte</w:t>
      </w:r>
      <w:r w:rsidR="00F1743B">
        <w:rPr>
          <w:rStyle w:val="Odkaznapoznmkupodiarou"/>
          <w:rFonts w:ascii="Times New Roman" w:hAnsi="Times New Roman" w:cs="Times New Roman"/>
          <w:color w:val="auto"/>
        </w:rPr>
        <w:footnoteReference w:id="2"/>
      </w:r>
      <w:r w:rsidR="005A324C" w:rsidRPr="005A324C">
        <w:rPr>
          <w:rFonts w:ascii="Times New Roman" w:hAnsi="Times New Roman" w:cs="Times New Roman"/>
          <w:color w:val="auto"/>
        </w:rPr>
        <w:t>. Okrem národných expertov z členských a z kandidátskyc</w:t>
      </w:r>
      <w:r w:rsidR="00FB1C51">
        <w:rPr>
          <w:rFonts w:ascii="Times New Roman" w:hAnsi="Times New Roman" w:cs="Times New Roman"/>
          <w:color w:val="auto"/>
        </w:rPr>
        <w:t>h krajín sú v </w:t>
      </w:r>
      <w:r w:rsidR="00A05ECE">
        <w:rPr>
          <w:rFonts w:ascii="Times New Roman" w:hAnsi="Times New Roman" w:cs="Times New Roman"/>
          <w:color w:val="auto"/>
        </w:rPr>
        <w:t>súčasnej generácii</w:t>
      </w:r>
      <w:r w:rsidR="005A324C" w:rsidRPr="005A324C">
        <w:rPr>
          <w:rFonts w:ascii="Times New Roman" w:hAnsi="Times New Roman" w:cs="Times New Roman"/>
          <w:color w:val="auto"/>
        </w:rPr>
        <w:t xml:space="preserve"> </w:t>
      </w:r>
      <w:r w:rsidR="00414B2C">
        <w:rPr>
          <w:rFonts w:ascii="Times New Roman" w:hAnsi="Times New Roman" w:cs="Times New Roman"/>
          <w:color w:val="auto"/>
        </w:rPr>
        <w:t>TPS</w:t>
      </w:r>
      <w:r w:rsidR="005A324C" w:rsidRPr="005A324C">
        <w:rPr>
          <w:rFonts w:ascii="Times New Roman" w:hAnsi="Times New Roman" w:cs="Times New Roman"/>
          <w:color w:val="auto"/>
        </w:rPr>
        <w:t xml:space="preserve"> stálymi členmi aj zástupcovia sociálnych partnerov a ostatných zainteresovaných strán.</w:t>
      </w:r>
    </w:p>
    <w:p w:rsidR="007A51C3" w:rsidRDefault="007A51C3" w:rsidP="007A51C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A324C" w:rsidRDefault="005A324C" w:rsidP="007A51C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A324C" w:rsidRDefault="005A324C" w:rsidP="007A51C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A324C" w:rsidRDefault="005A324C" w:rsidP="007A51C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A324C" w:rsidRPr="00DD64F5" w:rsidRDefault="005A324C" w:rsidP="007A51C3">
      <w:pPr>
        <w:pStyle w:val="Default"/>
        <w:jc w:val="both"/>
      </w:pPr>
    </w:p>
    <w:p w:rsidR="00B4408E" w:rsidRDefault="001E67C5" w:rsidP="005A3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Ide o nasledovnú štruktúru a zameranie </w:t>
      </w:r>
      <w:r w:rsidR="00414B2C">
        <w:rPr>
          <w:rFonts w:ascii="Times New Roman" w:hAnsi="Times New Roman" w:cs="Times New Roman"/>
          <w:sz w:val="24"/>
          <w:szCs w:val="24"/>
        </w:rPr>
        <w:t>TPS</w:t>
      </w:r>
      <w:r w:rsidR="00254D42">
        <w:rPr>
          <w:rFonts w:ascii="Times New Roman" w:hAnsi="Times New Roman" w:cs="Times New Roman"/>
          <w:sz w:val="24"/>
          <w:szCs w:val="24"/>
        </w:rPr>
        <w:t>, v ktorým má svoje zastúpenie aj Ministerstvo</w:t>
      </w:r>
      <w:r w:rsidR="007A51C3">
        <w:rPr>
          <w:rFonts w:ascii="Times New Roman" w:hAnsi="Times New Roman" w:cs="Times New Roman"/>
          <w:sz w:val="24"/>
          <w:szCs w:val="24"/>
        </w:rPr>
        <w:t xml:space="preserve"> ško</w:t>
      </w:r>
      <w:r w:rsidR="006B1E9D">
        <w:rPr>
          <w:rFonts w:ascii="Times New Roman" w:hAnsi="Times New Roman" w:cs="Times New Roman"/>
          <w:sz w:val="24"/>
          <w:szCs w:val="24"/>
        </w:rPr>
        <w:t>lstva, vedy, výskumu a športu Slovenskej republiky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324C" w:rsidRDefault="005A324C" w:rsidP="005A3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06A3" w:rsidRPr="00652EDD" w:rsidRDefault="00414B2C" w:rsidP="009D5CDF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Technická p</w:t>
      </w:r>
      <w:r w:rsidR="00B4408E" w:rsidRPr="00652EDD">
        <w:rPr>
          <w:rFonts w:ascii="Times New Roman" w:hAnsi="Times New Roman" w:cs="Times New Roman"/>
          <w:sz w:val="24"/>
          <w:szCs w:val="24"/>
        </w:rPr>
        <w:t xml:space="preserve">racovná skupina pre </w:t>
      </w:r>
      <w:r w:rsidR="00B4408E" w:rsidRPr="00652EDD">
        <w:rPr>
          <w:rFonts w:ascii="Times New Roman" w:hAnsi="Times New Roman" w:cs="Times New Roman"/>
          <w:i/>
          <w:sz w:val="24"/>
          <w:szCs w:val="24"/>
        </w:rPr>
        <w:t>školské vzdelávanie</w:t>
      </w:r>
      <w:r w:rsidR="00B4408E" w:rsidRPr="0065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2FD" w:rsidRDefault="00E702FD" w:rsidP="00A4793E">
      <w:pPr>
        <w:pStyle w:val="Odsekzoznamu"/>
        <w:spacing w:after="0"/>
        <w:jc w:val="both"/>
      </w:pPr>
    </w:p>
    <w:p w:rsidR="006406A3" w:rsidRDefault="00414B2C" w:rsidP="008C4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TPS pre školské vzdelávanie </w:t>
      </w:r>
      <w:r w:rsidR="006B1E9D">
        <w:rPr>
          <w:rFonts w:ascii="Times New Roman" w:hAnsi="Times New Roman" w:cs="Times New Roman"/>
          <w:sz w:val="24"/>
          <w:szCs w:val="24"/>
        </w:rPr>
        <w:t>sa zameriava</w:t>
      </w:r>
      <w:r w:rsidR="002010D0">
        <w:rPr>
          <w:rFonts w:ascii="Times New Roman" w:hAnsi="Times New Roman" w:cs="Times New Roman"/>
          <w:sz w:val="24"/>
          <w:szCs w:val="24"/>
        </w:rPr>
        <w:t xml:space="preserve"> na riadenie školských vzdelávacích systémov s cieľom zvýšiť ich kvalitu prostredníctvom udržateľných inovácií a inklúzie.  Bude poskytovať podporu </w:t>
      </w:r>
      <w:r w:rsidR="00AD1799" w:rsidRPr="00652EDD">
        <w:rPr>
          <w:rFonts w:ascii="Times New Roman" w:hAnsi="Times New Roman" w:cs="Times New Roman"/>
          <w:sz w:val="24"/>
          <w:szCs w:val="24"/>
        </w:rPr>
        <w:t>členským štátom pri stimulácii systémových zmien</w:t>
      </w:r>
      <w:r w:rsidR="00CA0CD8">
        <w:rPr>
          <w:rFonts w:ascii="Times New Roman" w:hAnsi="Times New Roman" w:cs="Times New Roman"/>
          <w:sz w:val="24"/>
          <w:szCs w:val="24"/>
        </w:rPr>
        <w:t xml:space="preserve"> v oblasti mechanizmov</w:t>
      </w:r>
      <w:r w:rsidR="00E702FD" w:rsidRPr="00652EDD">
        <w:rPr>
          <w:rFonts w:ascii="Times New Roman" w:hAnsi="Times New Roman" w:cs="Times New Roman"/>
          <w:sz w:val="24"/>
          <w:szCs w:val="24"/>
        </w:rPr>
        <w:t xml:space="preserve"> </w:t>
      </w:r>
      <w:r w:rsidR="00AD1799" w:rsidRPr="00652EDD">
        <w:rPr>
          <w:rFonts w:ascii="Times New Roman" w:hAnsi="Times New Roman" w:cs="Times New Roman"/>
          <w:sz w:val="24"/>
          <w:szCs w:val="24"/>
        </w:rPr>
        <w:t xml:space="preserve">financovania, riadenia ľudských zdrojov, </w:t>
      </w:r>
      <w:r w:rsidR="00E702FD" w:rsidRPr="00652EDD">
        <w:rPr>
          <w:rFonts w:ascii="Times New Roman" w:hAnsi="Times New Roman" w:cs="Times New Roman"/>
          <w:sz w:val="24"/>
          <w:szCs w:val="24"/>
        </w:rPr>
        <w:t>rozho</w:t>
      </w:r>
      <w:r w:rsidR="00FB1C51">
        <w:rPr>
          <w:rFonts w:ascii="Times New Roman" w:hAnsi="Times New Roman" w:cs="Times New Roman"/>
          <w:sz w:val="24"/>
          <w:szCs w:val="24"/>
        </w:rPr>
        <w:t>dovacích procesov a </w:t>
      </w:r>
      <w:r w:rsidR="00AD1799" w:rsidRPr="00652EDD">
        <w:rPr>
          <w:rFonts w:ascii="Times New Roman" w:hAnsi="Times New Roman" w:cs="Times New Roman"/>
          <w:sz w:val="24"/>
          <w:szCs w:val="24"/>
        </w:rPr>
        <w:t>zabezpečovania</w:t>
      </w:r>
      <w:r w:rsidR="00E702FD" w:rsidRPr="00652EDD">
        <w:rPr>
          <w:rFonts w:ascii="Times New Roman" w:hAnsi="Times New Roman" w:cs="Times New Roman"/>
          <w:sz w:val="24"/>
          <w:szCs w:val="24"/>
        </w:rPr>
        <w:t xml:space="preserve"> kvality. </w:t>
      </w:r>
      <w:r w:rsidR="002158EE">
        <w:rPr>
          <w:rFonts w:ascii="Times New Roman" w:hAnsi="Times New Roman" w:cs="Times New Roman"/>
          <w:sz w:val="24"/>
          <w:szCs w:val="24"/>
        </w:rPr>
        <w:t>Jednou z hlavných oblastí</w:t>
      </w:r>
      <w:r w:rsidR="008C4416">
        <w:rPr>
          <w:rFonts w:ascii="Times New Roman" w:hAnsi="Times New Roman" w:cs="Times New Roman"/>
          <w:sz w:val="24"/>
          <w:szCs w:val="24"/>
        </w:rPr>
        <w:t xml:space="preserve"> práce </w:t>
      </w:r>
      <w:r w:rsidR="00CA0CD8">
        <w:rPr>
          <w:rFonts w:ascii="Times New Roman" w:hAnsi="Times New Roman" w:cs="Times New Roman"/>
          <w:sz w:val="24"/>
          <w:szCs w:val="24"/>
        </w:rPr>
        <w:t>TPS</w:t>
      </w:r>
      <w:r w:rsidR="008C4416">
        <w:rPr>
          <w:rFonts w:ascii="Times New Roman" w:hAnsi="Times New Roman" w:cs="Times New Roman"/>
          <w:sz w:val="24"/>
          <w:szCs w:val="24"/>
        </w:rPr>
        <w:t xml:space="preserve"> bude</w:t>
      </w:r>
      <w:r w:rsidR="00E702FD" w:rsidRPr="00652EDD">
        <w:rPr>
          <w:rFonts w:ascii="Times New Roman" w:hAnsi="Times New Roman" w:cs="Times New Roman"/>
          <w:sz w:val="24"/>
          <w:szCs w:val="24"/>
        </w:rPr>
        <w:t xml:space="preserve"> tiež </w:t>
      </w:r>
      <w:r w:rsidR="002158EE">
        <w:rPr>
          <w:rFonts w:ascii="Times New Roman" w:hAnsi="Times New Roman" w:cs="Times New Roman"/>
          <w:sz w:val="24"/>
          <w:szCs w:val="24"/>
        </w:rPr>
        <w:t>systémová podpora</w:t>
      </w:r>
      <w:r w:rsidR="00E702FD" w:rsidRPr="00652EDD">
        <w:rPr>
          <w:rFonts w:ascii="Times New Roman" w:hAnsi="Times New Roman" w:cs="Times New Roman"/>
          <w:sz w:val="24"/>
          <w:szCs w:val="24"/>
        </w:rPr>
        <w:t xml:space="preserve"> inovatívnych vzdelávacích prostredí a postupov.</w:t>
      </w:r>
    </w:p>
    <w:p w:rsidR="00A85D79" w:rsidRPr="00652EDD" w:rsidRDefault="00A85D79" w:rsidP="002158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52B6" w:rsidRPr="00652EDD" w:rsidRDefault="00414B2C" w:rsidP="009D5CDF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Technická p</w:t>
      </w:r>
      <w:r w:rsidR="00B4408E" w:rsidRPr="00652EDD">
        <w:rPr>
          <w:rFonts w:ascii="Times New Roman" w:hAnsi="Times New Roman" w:cs="Times New Roman"/>
          <w:sz w:val="24"/>
          <w:szCs w:val="24"/>
        </w:rPr>
        <w:t xml:space="preserve">racovná skupina pre </w:t>
      </w:r>
      <w:r w:rsidR="001E67C5">
        <w:rPr>
          <w:rFonts w:ascii="Times New Roman" w:hAnsi="Times New Roman" w:cs="Times New Roman"/>
          <w:i/>
          <w:sz w:val="24"/>
          <w:szCs w:val="24"/>
        </w:rPr>
        <w:t>modernizáciu vysokoškolského vzdelávania</w:t>
      </w:r>
      <w:r w:rsidR="00B65E13" w:rsidRPr="0065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2B6" w:rsidRDefault="001652B6" w:rsidP="009D5CDF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2B6" w:rsidRDefault="001C233F" w:rsidP="002715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8EF">
        <w:rPr>
          <w:rFonts w:ascii="Times New Roman" w:hAnsi="Times New Roman" w:cs="Times New Roman"/>
          <w:sz w:val="24"/>
          <w:szCs w:val="24"/>
        </w:rPr>
        <w:t xml:space="preserve">V rámci </w:t>
      </w:r>
      <w:r w:rsidR="00414B2C">
        <w:rPr>
          <w:rFonts w:ascii="Times New Roman" w:hAnsi="Times New Roman" w:cs="Times New Roman"/>
          <w:sz w:val="24"/>
          <w:szCs w:val="24"/>
        </w:rPr>
        <w:t xml:space="preserve">TPS pre modernizáciu vysokoškolského vzdelávania </w:t>
      </w:r>
      <w:r w:rsidRPr="002978EF">
        <w:rPr>
          <w:rFonts w:ascii="Times New Roman" w:hAnsi="Times New Roman" w:cs="Times New Roman"/>
          <w:sz w:val="24"/>
          <w:szCs w:val="24"/>
        </w:rPr>
        <w:t xml:space="preserve">je </w:t>
      </w:r>
      <w:r w:rsidR="008958C2">
        <w:rPr>
          <w:rFonts w:ascii="Times New Roman" w:hAnsi="Times New Roman" w:cs="Times New Roman"/>
          <w:sz w:val="24"/>
          <w:szCs w:val="24"/>
        </w:rPr>
        <w:t xml:space="preserve">identifikovaných šesť nosných </w:t>
      </w:r>
      <w:r w:rsidRPr="002978EF">
        <w:rPr>
          <w:rFonts w:ascii="Times New Roman" w:hAnsi="Times New Roman" w:cs="Times New Roman"/>
          <w:sz w:val="24"/>
          <w:szCs w:val="24"/>
        </w:rPr>
        <w:t>tém resp. prioritných oblastí</w:t>
      </w:r>
      <w:r w:rsidR="002978EF" w:rsidRPr="002978EF">
        <w:rPr>
          <w:rFonts w:ascii="Times New Roman" w:hAnsi="Times New Roman" w:cs="Times New Roman"/>
          <w:sz w:val="24"/>
          <w:szCs w:val="24"/>
        </w:rPr>
        <w:t>:</w:t>
      </w:r>
      <w:r w:rsidRPr="002978EF">
        <w:rPr>
          <w:rFonts w:ascii="Times New Roman" w:hAnsi="Times New Roman" w:cs="Times New Roman"/>
          <w:sz w:val="24"/>
          <w:szCs w:val="24"/>
        </w:rPr>
        <w:t xml:space="preserve"> relevantnosť, inovácie, inklúzia, učenie, internacionalizácia a udržateľné investície a systém riadenia.</w:t>
      </w:r>
      <w:r w:rsidR="002978EF" w:rsidRPr="002978EF">
        <w:rPr>
          <w:rFonts w:ascii="Times New Roman" w:hAnsi="Times New Roman" w:cs="Times New Roman"/>
          <w:sz w:val="24"/>
          <w:szCs w:val="24"/>
        </w:rPr>
        <w:t xml:space="preserve"> </w:t>
      </w:r>
      <w:r w:rsidR="00414B2C">
        <w:rPr>
          <w:rFonts w:ascii="Times New Roman" w:hAnsi="Times New Roman" w:cs="Times New Roman"/>
          <w:sz w:val="24"/>
          <w:szCs w:val="24"/>
        </w:rPr>
        <w:t>TPS</w:t>
      </w:r>
      <w:r w:rsidR="002978EF" w:rsidRPr="002978EF">
        <w:rPr>
          <w:rFonts w:ascii="Times New Roman" w:hAnsi="Times New Roman" w:cs="Times New Roman"/>
          <w:sz w:val="24"/>
          <w:szCs w:val="24"/>
        </w:rPr>
        <w:t xml:space="preserve"> bude aj naďalej podporovať reformy členských štátov s cieľom maximalizovať potenciál systémov vysokoškolského vzdelávania</w:t>
      </w:r>
      <w:r w:rsidR="00310330">
        <w:rPr>
          <w:rFonts w:ascii="Times New Roman" w:hAnsi="Times New Roman" w:cs="Times New Roman"/>
          <w:sz w:val="24"/>
          <w:szCs w:val="24"/>
        </w:rPr>
        <w:t>, a</w:t>
      </w:r>
      <w:r w:rsidR="002978EF" w:rsidRPr="002978EF">
        <w:rPr>
          <w:rFonts w:ascii="Times New Roman" w:hAnsi="Times New Roman" w:cs="Times New Roman"/>
          <w:sz w:val="24"/>
          <w:szCs w:val="24"/>
        </w:rPr>
        <w:t xml:space="preserve"> poskytovať vysoko kvalitné vysokoškolské vzdelanie</w:t>
      </w:r>
      <w:r w:rsidR="00496A3C">
        <w:rPr>
          <w:rFonts w:ascii="Times New Roman" w:hAnsi="Times New Roman" w:cs="Times New Roman"/>
          <w:sz w:val="24"/>
          <w:szCs w:val="24"/>
        </w:rPr>
        <w:t xml:space="preserve"> a prípravu absolventov na meniace sa podmienky trhu práce</w:t>
      </w:r>
      <w:r w:rsidR="002978EF" w:rsidRPr="002978EF">
        <w:rPr>
          <w:rFonts w:ascii="Times New Roman" w:hAnsi="Times New Roman" w:cs="Times New Roman"/>
          <w:sz w:val="24"/>
          <w:szCs w:val="24"/>
        </w:rPr>
        <w:t>, čím sa zvýši in</w:t>
      </w:r>
      <w:r w:rsidR="00FB1C51">
        <w:rPr>
          <w:rFonts w:ascii="Times New Roman" w:hAnsi="Times New Roman" w:cs="Times New Roman"/>
          <w:sz w:val="24"/>
          <w:szCs w:val="24"/>
        </w:rPr>
        <w:t>ovačná schopnosť Európy, rast a </w:t>
      </w:r>
      <w:r w:rsidR="002978EF" w:rsidRPr="002978EF">
        <w:rPr>
          <w:rFonts w:ascii="Times New Roman" w:hAnsi="Times New Roman" w:cs="Times New Roman"/>
          <w:sz w:val="24"/>
          <w:szCs w:val="24"/>
        </w:rPr>
        <w:t>zamestnanosť.</w:t>
      </w:r>
    </w:p>
    <w:p w:rsidR="001652B6" w:rsidRPr="00254D42" w:rsidRDefault="001652B6" w:rsidP="00254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06A3" w:rsidRPr="006406A3" w:rsidRDefault="00414B2C" w:rsidP="009D5CDF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Technická p</w:t>
      </w:r>
      <w:r w:rsidR="00B4408E">
        <w:rPr>
          <w:rFonts w:ascii="Times New Roman" w:hAnsi="Times New Roman" w:cs="Times New Roman"/>
          <w:sz w:val="24"/>
          <w:szCs w:val="24"/>
        </w:rPr>
        <w:t xml:space="preserve">racovná skupina pre </w:t>
      </w:r>
      <w:r w:rsidR="00B4408E" w:rsidRPr="00ED3AE8">
        <w:rPr>
          <w:rFonts w:ascii="Times New Roman" w:hAnsi="Times New Roman" w:cs="Times New Roman"/>
          <w:i/>
          <w:sz w:val="24"/>
          <w:szCs w:val="24"/>
        </w:rPr>
        <w:t>vzdelávanie dospelých</w:t>
      </w:r>
    </w:p>
    <w:p w:rsidR="001652B6" w:rsidRDefault="001652B6" w:rsidP="002D11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4D42" w:rsidRDefault="00414B2C" w:rsidP="00254D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TPS pre vzdelávanie dospelých </w:t>
      </w:r>
      <w:r w:rsidR="006B1E9D">
        <w:rPr>
          <w:rFonts w:ascii="Times New Roman" w:hAnsi="Times New Roman" w:cs="Times New Roman"/>
          <w:sz w:val="24"/>
          <w:szCs w:val="24"/>
        </w:rPr>
        <w:t>skúma</w:t>
      </w:r>
      <w:r w:rsidR="00827F07" w:rsidRPr="00C42331">
        <w:rPr>
          <w:rFonts w:ascii="Times New Roman" w:hAnsi="Times New Roman" w:cs="Times New Roman"/>
          <w:sz w:val="24"/>
          <w:szCs w:val="24"/>
        </w:rPr>
        <w:t xml:space="preserve"> spôsoby prístupu politík tak, aby každé miesto výkonu práce bolo tiež miestom učenia sa. </w:t>
      </w:r>
      <w:r w:rsidR="00A71CCB" w:rsidRPr="00C42331">
        <w:rPr>
          <w:rFonts w:ascii="Times New Roman" w:hAnsi="Times New Roman" w:cs="Times New Roman"/>
          <w:sz w:val="24"/>
          <w:szCs w:val="24"/>
        </w:rPr>
        <w:t xml:space="preserve">Učenie sa na pracovisku </w:t>
      </w:r>
      <w:r w:rsidR="00A71CCB">
        <w:rPr>
          <w:rFonts w:ascii="Times New Roman" w:hAnsi="Times New Roman" w:cs="Times New Roman"/>
          <w:sz w:val="24"/>
          <w:szCs w:val="24"/>
        </w:rPr>
        <w:t>je prioritou Obnovenej európskej agendy</w:t>
      </w:r>
      <w:r w:rsidR="00A71CCB" w:rsidRPr="00C42331">
        <w:rPr>
          <w:rFonts w:ascii="Times New Roman" w:hAnsi="Times New Roman" w:cs="Times New Roman"/>
          <w:sz w:val="24"/>
          <w:szCs w:val="24"/>
        </w:rPr>
        <w:t xml:space="preserve"> pre vzdelávanie dospelých</w:t>
      </w:r>
      <w:r w:rsidR="00A71CCB">
        <w:rPr>
          <w:rFonts w:ascii="Times New Roman" w:hAnsi="Times New Roman" w:cs="Times New Roman"/>
          <w:sz w:val="24"/>
          <w:szCs w:val="24"/>
        </w:rPr>
        <w:t xml:space="preserve"> na roky </w:t>
      </w:r>
      <w:r w:rsidR="00A71CCB" w:rsidRPr="00C42331">
        <w:rPr>
          <w:rFonts w:ascii="Times New Roman" w:hAnsi="Times New Roman" w:cs="Times New Roman"/>
          <w:sz w:val="24"/>
          <w:szCs w:val="24"/>
        </w:rPr>
        <w:t xml:space="preserve"> 2016 -</w:t>
      </w:r>
      <w:r w:rsidR="00A71CCB">
        <w:rPr>
          <w:rFonts w:ascii="Times New Roman" w:hAnsi="Times New Roman" w:cs="Times New Roman"/>
          <w:sz w:val="24"/>
          <w:szCs w:val="24"/>
        </w:rPr>
        <w:t xml:space="preserve"> </w:t>
      </w:r>
      <w:r w:rsidR="00A71CCB" w:rsidRPr="00C42331">
        <w:rPr>
          <w:rFonts w:ascii="Times New Roman" w:hAnsi="Times New Roman" w:cs="Times New Roman"/>
          <w:sz w:val="24"/>
          <w:szCs w:val="24"/>
        </w:rPr>
        <w:t xml:space="preserve">2020. </w:t>
      </w:r>
      <w:r>
        <w:rPr>
          <w:rFonts w:ascii="Times New Roman" w:hAnsi="Times New Roman" w:cs="Times New Roman"/>
          <w:sz w:val="24"/>
          <w:szCs w:val="24"/>
        </w:rPr>
        <w:t xml:space="preserve">TPS </w:t>
      </w:r>
      <w:r w:rsidR="00EF456F">
        <w:rPr>
          <w:rFonts w:ascii="Times New Roman" w:hAnsi="Times New Roman" w:cs="Times New Roman"/>
          <w:sz w:val="24"/>
          <w:szCs w:val="24"/>
        </w:rPr>
        <w:t xml:space="preserve">sa bude </w:t>
      </w:r>
      <w:r w:rsidR="00A71CCB">
        <w:rPr>
          <w:rFonts w:ascii="Times New Roman" w:hAnsi="Times New Roman" w:cs="Times New Roman"/>
          <w:sz w:val="24"/>
          <w:szCs w:val="24"/>
        </w:rPr>
        <w:t>z</w:t>
      </w:r>
      <w:r w:rsidR="00827F07" w:rsidRPr="00C42331">
        <w:rPr>
          <w:rFonts w:ascii="Times New Roman" w:hAnsi="Times New Roman" w:cs="Times New Roman"/>
          <w:sz w:val="24"/>
          <w:szCs w:val="24"/>
        </w:rPr>
        <w:t>am</w:t>
      </w:r>
      <w:r w:rsidR="00C42331" w:rsidRPr="00C42331">
        <w:rPr>
          <w:rFonts w:ascii="Times New Roman" w:hAnsi="Times New Roman" w:cs="Times New Roman"/>
          <w:sz w:val="24"/>
          <w:szCs w:val="24"/>
        </w:rPr>
        <w:t>eria</w:t>
      </w:r>
      <w:r w:rsidR="00EF456F">
        <w:rPr>
          <w:rFonts w:ascii="Times New Roman" w:hAnsi="Times New Roman" w:cs="Times New Roman"/>
          <w:sz w:val="24"/>
          <w:szCs w:val="24"/>
        </w:rPr>
        <w:t>vať</w:t>
      </w:r>
      <w:r w:rsidR="00C42331" w:rsidRPr="00C42331">
        <w:rPr>
          <w:rFonts w:ascii="Times New Roman" w:hAnsi="Times New Roman" w:cs="Times New Roman"/>
          <w:sz w:val="24"/>
          <w:szCs w:val="24"/>
        </w:rPr>
        <w:t xml:space="preserve"> na rozšírenie prístupu</w:t>
      </w:r>
      <w:r w:rsidR="00827F07" w:rsidRPr="00C42331">
        <w:rPr>
          <w:rFonts w:ascii="Times New Roman" w:hAnsi="Times New Roman" w:cs="Times New Roman"/>
          <w:sz w:val="24"/>
          <w:szCs w:val="24"/>
        </w:rPr>
        <w:t xml:space="preserve"> k vzdelávaniu dospelých zvýšením</w:t>
      </w:r>
      <w:r w:rsidR="00C42331" w:rsidRPr="00C42331">
        <w:rPr>
          <w:rFonts w:ascii="Times New Roman" w:hAnsi="Times New Roman" w:cs="Times New Roman"/>
          <w:sz w:val="24"/>
          <w:szCs w:val="24"/>
        </w:rPr>
        <w:t xml:space="preserve"> jeho</w:t>
      </w:r>
      <w:r w:rsidR="00FB1C51">
        <w:rPr>
          <w:rFonts w:ascii="Times New Roman" w:hAnsi="Times New Roman" w:cs="Times New Roman"/>
          <w:sz w:val="24"/>
          <w:szCs w:val="24"/>
        </w:rPr>
        <w:t xml:space="preserve"> dostupnosti priamo na </w:t>
      </w:r>
      <w:r w:rsidR="00827F07" w:rsidRPr="00C42331">
        <w:rPr>
          <w:rFonts w:ascii="Times New Roman" w:hAnsi="Times New Roman" w:cs="Times New Roman"/>
          <w:sz w:val="24"/>
          <w:szCs w:val="24"/>
        </w:rPr>
        <w:t>pracovisku</w:t>
      </w:r>
      <w:r w:rsidR="00C42331" w:rsidRPr="00C42331">
        <w:rPr>
          <w:rFonts w:ascii="Times New Roman" w:hAnsi="Times New Roman" w:cs="Times New Roman"/>
          <w:sz w:val="24"/>
          <w:szCs w:val="24"/>
        </w:rPr>
        <w:t xml:space="preserve">, vrátane poskytovania možností na zvýšenie </w:t>
      </w:r>
      <w:r w:rsidR="00FB1C51">
        <w:rPr>
          <w:rFonts w:ascii="Times New Roman" w:hAnsi="Times New Roman" w:cs="Times New Roman"/>
          <w:sz w:val="24"/>
          <w:szCs w:val="24"/>
        </w:rPr>
        <w:t>základných zručností, ako je </w:t>
      </w:r>
      <w:r w:rsidR="00C42331" w:rsidRPr="00C42331">
        <w:rPr>
          <w:rFonts w:ascii="Times New Roman" w:hAnsi="Times New Roman" w:cs="Times New Roman"/>
          <w:sz w:val="24"/>
          <w:szCs w:val="24"/>
        </w:rPr>
        <w:t>čitateľská a matematická gramotnosť</w:t>
      </w:r>
      <w:r w:rsidR="00827F07" w:rsidRPr="00C42331">
        <w:rPr>
          <w:rFonts w:ascii="Times New Roman" w:hAnsi="Times New Roman" w:cs="Times New Roman"/>
          <w:sz w:val="24"/>
          <w:szCs w:val="24"/>
        </w:rPr>
        <w:t xml:space="preserve"> a</w:t>
      </w:r>
      <w:r w:rsidR="00C42331">
        <w:rPr>
          <w:rFonts w:ascii="Times New Roman" w:hAnsi="Times New Roman" w:cs="Times New Roman"/>
          <w:sz w:val="24"/>
          <w:szCs w:val="24"/>
        </w:rPr>
        <w:t xml:space="preserve"> rozvoj</w:t>
      </w:r>
      <w:r w:rsidR="00827F07" w:rsidRPr="00C42331">
        <w:rPr>
          <w:rFonts w:ascii="Times New Roman" w:hAnsi="Times New Roman" w:cs="Times New Roman"/>
          <w:sz w:val="24"/>
          <w:szCs w:val="24"/>
        </w:rPr>
        <w:t xml:space="preserve"> digitálnych zručností</w:t>
      </w:r>
      <w:r w:rsidR="00A71CCB">
        <w:rPr>
          <w:rFonts w:ascii="Times New Roman" w:hAnsi="Times New Roman" w:cs="Times New Roman"/>
          <w:sz w:val="24"/>
          <w:szCs w:val="24"/>
        </w:rPr>
        <w:t>.</w:t>
      </w:r>
      <w:r w:rsidR="00827F07" w:rsidRPr="00C42331">
        <w:rPr>
          <w:rFonts w:ascii="Times New Roman" w:hAnsi="Times New Roman" w:cs="Times New Roman"/>
          <w:sz w:val="24"/>
          <w:szCs w:val="24"/>
        </w:rPr>
        <w:t xml:space="preserve"> </w:t>
      </w:r>
      <w:r w:rsidR="00FB1C51">
        <w:rPr>
          <w:rFonts w:ascii="Times New Roman" w:hAnsi="Times New Roman" w:cs="Times New Roman"/>
          <w:sz w:val="24"/>
          <w:szCs w:val="24"/>
        </w:rPr>
        <w:t>S tým bude súvisieť aj </w:t>
      </w:r>
      <w:r w:rsidR="001F4629">
        <w:rPr>
          <w:rFonts w:ascii="Times New Roman" w:hAnsi="Times New Roman" w:cs="Times New Roman"/>
          <w:sz w:val="24"/>
          <w:szCs w:val="24"/>
        </w:rPr>
        <w:t xml:space="preserve">zavedenie </w:t>
      </w:r>
      <w:r w:rsidR="00C42331" w:rsidRPr="00C42331">
        <w:rPr>
          <w:rFonts w:ascii="Times New Roman" w:hAnsi="Times New Roman" w:cs="Times New Roman"/>
          <w:sz w:val="24"/>
          <w:szCs w:val="24"/>
        </w:rPr>
        <w:t>postupov</w:t>
      </w:r>
      <w:r w:rsidR="00827F07" w:rsidRPr="00C42331">
        <w:rPr>
          <w:rFonts w:ascii="Times New Roman" w:hAnsi="Times New Roman" w:cs="Times New Roman"/>
          <w:sz w:val="24"/>
          <w:szCs w:val="24"/>
        </w:rPr>
        <w:t xml:space="preserve"> n</w:t>
      </w:r>
      <w:r w:rsidR="00C42331" w:rsidRPr="00C42331">
        <w:rPr>
          <w:rFonts w:ascii="Times New Roman" w:hAnsi="Times New Roman" w:cs="Times New Roman"/>
          <w:sz w:val="24"/>
          <w:szCs w:val="24"/>
        </w:rPr>
        <w:t>a určenie a</w:t>
      </w:r>
      <w:r w:rsidR="00C42331">
        <w:rPr>
          <w:rFonts w:ascii="Times New Roman" w:hAnsi="Times New Roman" w:cs="Times New Roman"/>
          <w:sz w:val="24"/>
          <w:szCs w:val="24"/>
        </w:rPr>
        <w:t xml:space="preserve"> zhodnotenie </w:t>
      </w:r>
      <w:r w:rsidR="00C42331" w:rsidRPr="00C42331">
        <w:rPr>
          <w:rFonts w:ascii="Times New Roman" w:hAnsi="Times New Roman" w:cs="Times New Roman"/>
          <w:sz w:val="24"/>
          <w:szCs w:val="24"/>
        </w:rPr>
        <w:t>zručností</w:t>
      </w:r>
      <w:r w:rsidR="00827F07" w:rsidRPr="00C42331">
        <w:rPr>
          <w:rFonts w:ascii="Times New Roman" w:hAnsi="Times New Roman" w:cs="Times New Roman"/>
          <w:sz w:val="24"/>
          <w:szCs w:val="24"/>
        </w:rPr>
        <w:t xml:space="preserve"> málo kvalifikovaných dospelých, </w:t>
      </w:r>
      <w:r w:rsidR="00C42331" w:rsidRPr="00C42331">
        <w:rPr>
          <w:rFonts w:ascii="Times New Roman" w:hAnsi="Times New Roman" w:cs="Times New Roman"/>
          <w:sz w:val="24"/>
          <w:szCs w:val="24"/>
        </w:rPr>
        <w:t>príležitostí druhej šance a</w:t>
      </w:r>
      <w:r w:rsidR="00AC7611">
        <w:rPr>
          <w:rFonts w:ascii="Times New Roman" w:hAnsi="Times New Roman" w:cs="Times New Roman"/>
          <w:sz w:val="24"/>
          <w:szCs w:val="24"/>
        </w:rPr>
        <w:t xml:space="preserve"> s tým spojené </w:t>
      </w:r>
      <w:r w:rsidR="00C42331" w:rsidRPr="00C42331">
        <w:rPr>
          <w:rFonts w:ascii="Times New Roman" w:hAnsi="Times New Roman" w:cs="Times New Roman"/>
          <w:sz w:val="24"/>
          <w:szCs w:val="24"/>
        </w:rPr>
        <w:t>zapo</w:t>
      </w:r>
      <w:r w:rsidR="00AC7611">
        <w:rPr>
          <w:rFonts w:ascii="Times New Roman" w:hAnsi="Times New Roman" w:cs="Times New Roman"/>
          <w:sz w:val="24"/>
          <w:szCs w:val="24"/>
        </w:rPr>
        <w:t>jenie</w:t>
      </w:r>
      <w:r w:rsidR="00271544">
        <w:rPr>
          <w:rFonts w:ascii="Times New Roman" w:hAnsi="Times New Roman" w:cs="Times New Roman"/>
          <w:sz w:val="24"/>
          <w:szCs w:val="24"/>
        </w:rPr>
        <w:t xml:space="preserve"> </w:t>
      </w:r>
      <w:r w:rsidR="00271544" w:rsidRPr="00C42331">
        <w:rPr>
          <w:rFonts w:ascii="Times New Roman" w:hAnsi="Times New Roman" w:cs="Times New Roman"/>
          <w:sz w:val="24"/>
          <w:szCs w:val="24"/>
        </w:rPr>
        <w:t>poskytovateľov vzdelávania</w:t>
      </w:r>
      <w:r w:rsidR="00271544">
        <w:rPr>
          <w:rFonts w:ascii="Times New Roman" w:hAnsi="Times New Roman" w:cs="Times New Roman"/>
          <w:sz w:val="24"/>
          <w:szCs w:val="24"/>
        </w:rPr>
        <w:t xml:space="preserve">, </w:t>
      </w:r>
      <w:r w:rsidR="00C42331" w:rsidRPr="00C42331">
        <w:rPr>
          <w:rFonts w:ascii="Times New Roman" w:hAnsi="Times New Roman" w:cs="Times New Roman"/>
          <w:sz w:val="24"/>
          <w:szCs w:val="24"/>
        </w:rPr>
        <w:t>soci</w:t>
      </w:r>
      <w:r w:rsidR="00271544">
        <w:rPr>
          <w:rFonts w:ascii="Times New Roman" w:hAnsi="Times New Roman" w:cs="Times New Roman"/>
          <w:sz w:val="24"/>
          <w:szCs w:val="24"/>
        </w:rPr>
        <w:t xml:space="preserve">álnych partnerov, firiem a </w:t>
      </w:r>
      <w:r w:rsidR="00C42331" w:rsidRPr="00C42331">
        <w:rPr>
          <w:rFonts w:ascii="Times New Roman" w:hAnsi="Times New Roman" w:cs="Times New Roman"/>
          <w:sz w:val="24"/>
          <w:szCs w:val="24"/>
        </w:rPr>
        <w:t xml:space="preserve">obchodných </w:t>
      </w:r>
      <w:r w:rsidR="00271544">
        <w:rPr>
          <w:rFonts w:ascii="Times New Roman" w:hAnsi="Times New Roman" w:cs="Times New Roman"/>
          <w:sz w:val="24"/>
          <w:szCs w:val="24"/>
        </w:rPr>
        <w:t xml:space="preserve">komôr do procesu </w:t>
      </w:r>
      <w:r w:rsidR="00AC7611">
        <w:rPr>
          <w:rFonts w:ascii="Times New Roman" w:hAnsi="Times New Roman" w:cs="Times New Roman"/>
          <w:sz w:val="24"/>
          <w:szCs w:val="24"/>
        </w:rPr>
        <w:t>vzdelávania</w:t>
      </w:r>
      <w:r w:rsidR="00271544">
        <w:rPr>
          <w:rFonts w:ascii="Times New Roman" w:hAnsi="Times New Roman" w:cs="Times New Roman"/>
          <w:sz w:val="24"/>
          <w:szCs w:val="24"/>
        </w:rPr>
        <w:t xml:space="preserve"> dospelých</w:t>
      </w:r>
      <w:r w:rsidR="00827F07" w:rsidRPr="00C42331">
        <w:rPr>
          <w:rFonts w:ascii="Times New Roman" w:hAnsi="Times New Roman" w:cs="Times New Roman"/>
          <w:sz w:val="24"/>
          <w:szCs w:val="24"/>
        </w:rPr>
        <w:t>.</w:t>
      </w:r>
    </w:p>
    <w:p w:rsidR="00254D42" w:rsidRPr="00254D42" w:rsidRDefault="00254D42" w:rsidP="00254D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08E" w:rsidRDefault="00414B2C" w:rsidP="009D5CDF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Technická p</w:t>
      </w:r>
      <w:r w:rsidR="00B4408E">
        <w:rPr>
          <w:rFonts w:ascii="Times New Roman" w:hAnsi="Times New Roman" w:cs="Times New Roman"/>
          <w:sz w:val="24"/>
          <w:szCs w:val="24"/>
        </w:rPr>
        <w:t xml:space="preserve">racovná skupina pre </w:t>
      </w:r>
      <w:r w:rsidR="00B4408E" w:rsidRPr="00ED3AE8">
        <w:rPr>
          <w:rFonts w:ascii="Times New Roman" w:hAnsi="Times New Roman" w:cs="Times New Roman"/>
          <w:i/>
          <w:sz w:val="24"/>
          <w:szCs w:val="24"/>
        </w:rPr>
        <w:t>odborné vzdelávanie a</w:t>
      </w:r>
      <w:r w:rsidR="001652B6">
        <w:rPr>
          <w:rFonts w:ascii="Times New Roman" w:hAnsi="Times New Roman" w:cs="Times New Roman"/>
          <w:i/>
          <w:sz w:val="24"/>
          <w:szCs w:val="24"/>
        </w:rPr>
        <w:t> </w:t>
      </w:r>
      <w:r w:rsidR="00B4408E" w:rsidRPr="00ED3AE8">
        <w:rPr>
          <w:rFonts w:ascii="Times New Roman" w:hAnsi="Times New Roman" w:cs="Times New Roman"/>
          <w:i/>
          <w:sz w:val="24"/>
          <w:szCs w:val="24"/>
        </w:rPr>
        <w:t>prípravu</w:t>
      </w:r>
    </w:p>
    <w:p w:rsidR="002D11DE" w:rsidRPr="00A4793E" w:rsidRDefault="002D11DE" w:rsidP="00A4793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A4793E" w:rsidRPr="001C233F" w:rsidRDefault="00A4793E" w:rsidP="00A479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33F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Pr="00A47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lavným zameraním </w:t>
      </w:r>
      <w:r w:rsidR="00414B2C">
        <w:rPr>
          <w:rFonts w:ascii="Times New Roman" w:eastAsia="Times New Roman" w:hAnsi="Times New Roman" w:cs="Times New Roman"/>
          <w:sz w:val="24"/>
          <w:szCs w:val="24"/>
          <w:lang w:eastAsia="cs-CZ"/>
        </w:rPr>
        <w:t>TPS pre odborné vzdelávanie a prípravu</w:t>
      </w:r>
      <w:r w:rsidRPr="00A47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sú učitelia odborných predmetov, majstri odbornej výchovy a inštruktori, ktorí </w:t>
      </w:r>
      <w:r w:rsidR="002158EE" w:rsidRPr="001C233F">
        <w:rPr>
          <w:rFonts w:ascii="Times New Roman" w:eastAsia="Times New Roman" w:hAnsi="Times New Roman" w:cs="Times New Roman"/>
          <w:sz w:val="24"/>
          <w:szCs w:val="24"/>
          <w:lang w:eastAsia="cs-CZ"/>
        </w:rPr>
        <w:t>sa podieľajú na príprave žiakov/</w:t>
      </w:r>
      <w:r w:rsidRPr="00A47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učňov. Oblasti </w:t>
      </w:r>
      <w:r w:rsidRPr="001C233F">
        <w:rPr>
          <w:rFonts w:ascii="Times New Roman" w:eastAsia="Times New Roman" w:hAnsi="Times New Roman" w:cs="Times New Roman"/>
          <w:sz w:val="24"/>
          <w:szCs w:val="24"/>
          <w:lang w:eastAsia="cs-CZ"/>
        </w:rPr>
        <w:t>agendy pracovnej skupiny</w:t>
      </w:r>
      <w:r w:rsidRPr="00A47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sú</w:t>
      </w:r>
      <w:r w:rsidRPr="001C23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nasledovné</w:t>
      </w:r>
      <w:r w:rsidRPr="00A4793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4793E" w:rsidRPr="00A4793E" w:rsidRDefault="00A4793E" w:rsidP="00A479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793E" w:rsidRPr="00C31C31" w:rsidRDefault="00A4793E" w:rsidP="00C31C31">
      <w:pPr>
        <w:pStyle w:val="Bezriadkovania"/>
        <w:numPr>
          <w:ilvl w:val="0"/>
          <w:numId w:val="8"/>
        </w:numPr>
        <w:spacing w:line="276" w:lineRule="auto"/>
        <w:ind w:left="1134" w:hanging="425"/>
        <w:rPr>
          <w:rFonts w:ascii="Times New Roman" w:hAnsi="Times New Roman" w:cs="Times New Roman"/>
          <w:sz w:val="24"/>
          <w:szCs w:val="24"/>
          <w:lang w:eastAsia="cs-CZ"/>
        </w:rPr>
      </w:pPr>
      <w:r w:rsidRPr="00C31C31">
        <w:rPr>
          <w:rFonts w:ascii="Times New Roman" w:hAnsi="Times New Roman" w:cs="Times New Roman"/>
          <w:sz w:val="24"/>
          <w:szCs w:val="24"/>
          <w:lang w:eastAsia="cs-CZ"/>
        </w:rPr>
        <w:t>Riadenie a vytváranie partnerstiev</w:t>
      </w:r>
    </w:p>
    <w:p w:rsidR="00A4793E" w:rsidRPr="00C31C31" w:rsidRDefault="00A4793E" w:rsidP="00C31C31">
      <w:pPr>
        <w:pStyle w:val="Bezriadkovania"/>
        <w:numPr>
          <w:ilvl w:val="0"/>
          <w:numId w:val="8"/>
        </w:numPr>
        <w:spacing w:line="276" w:lineRule="auto"/>
        <w:ind w:left="1134" w:hanging="425"/>
        <w:rPr>
          <w:rFonts w:ascii="Times New Roman" w:hAnsi="Times New Roman" w:cs="Times New Roman"/>
          <w:sz w:val="24"/>
          <w:szCs w:val="24"/>
          <w:lang w:eastAsia="cs-CZ"/>
        </w:rPr>
      </w:pPr>
      <w:r w:rsidRPr="00C31C31">
        <w:rPr>
          <w:rFonts w:ascii="Times New Roman" w:hAnsi="Times New Roman" w:cs="Times New Roman"/>
          <w:sz w:val="24"/>
          <w:szCs w:val="24"/>
          <w:lang w:eastAsia="cs-CZ"/>
        </w:rPr>
        <w:t>Kvalita, relevantnosť a</w:t>
      </w:r>
      <w:r w:rsidR="00C31C31" w:rsidRPr="00C31C31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C31C31">
        <w:rPr>
          <w:rFonts w:ascii="Times New Roman" w:hAnsi="Times New Roman" w:cs="Times New Roman"/>
          <w:sz w:val="24"/>
          <w:szCs w:val="24"/>
          <w:lang w:eastAsia="cs-CZ"/>
        </w:rPr>
        <w:t>atraktivita</w:t>
      </w:r>
    </w:p>
    <w:p w:rsidR="00A4793E" w:rsidRPr="00C31C31" w:rsidRDefault="00A4793E" w:rsidP="00C31C31">
      <w:pPr>
        <w:pStyle w:val="Bezriadkovania"/>
        <w:numPr>
          <w:ilvl w:val="0"/>
          <w:numId w:val="8"/>
        </w:numPr>
        <w:spacing w:line="276" w:lineRule="auto"/>
        <w:ind w:left="1134" w:hanging="425"/>
        <w:rPr>
          <w:rFonts w:ascii="Times New Roman" w:hAnsi="Times New Roman" w:cs="Times New Roman"/>
          <w:sz w:val="24"/>
          <w:szCs w:val="24"/>
          <w:lang w:eastAsia="cs-CZ"/>
        </w:rPr>
      </w:pPr>
      <w:r w:rsidRPr="00C31C31">
        <w:rPr>
          <w:rFonts w:ascii="Times New Roman" w:hAnsi="Times New Roman" w:cs="Times New Roman"/>
          <w:sz w:val="24"/>
          <w:szCs w:val="24"/>
          <w:lang w:eastAsia="cs-CZ"/>
        </w:rPr>
        <w:t>Podpora implementácie reforiem</w:t>
      </w:r>
      <w:r w:rsidR="002158EE" w:rsidRPr="00C31C31">
        <w:rPr>
          <w:rFonts w:ascii="Times New Roman" w:hAnsi="Times New Roman" w:cs="Times New Roman"/>
          <w:sz w:val="24"/>
          <w:szCs w:val="24"/>
          <w:lang w:eastAsia="cs-CZ"/>
        </w:rPr>
        <w:t xml:space="preserve"> odborného vzdelávania a prípravy</w:t>
      </w:r>
      <w:r w:rsidRPr="00C31C31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2158EE" w:rsidRPr="00C31C31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Pr="00C31C31">
        <w:rPr>
          <w:rFonts w:ascii="Times New Roman" w:hAnsi="Times New Roman" w:cs="Times New Roman"/>
          <w:sz w:val="24"/>
          <w:szCs w:val="24"/>
          <w:lang w:eastAsia="cs-CZ"/>
        </w:rPr>
        <w:t>OVP</w:t>
      </w:r>
      <w:r w:rsidR="002158EE" w:rsidRPr="00C31C31">
        <w:rPr>
          <w:rFonts w:ascii="Times New Roman" w:hAnsi="Times New Roman" w:cs="Times New Roman"/>
          <w:sz w:val="24"/>
          <w:szCs w:val="24"/>
          <w:lang w:eastAsia="cs-CZ"/>
        </w:rPr>
        <w:t>)</w:t>
      </w:r>
    </w:p>
    <w:p w:rsidR="00A4793E" w:rsidRPr="001C233F" w:rsidRDefault="00A4793E" w:rsidP="00A479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4D42" w:rsidRDefault="00A4793E" w:rsidP="00254D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33F">
        <w:rPr>
          <w:rFonts w:ascii="Times New Roman" w:hAnsi="Times New Roman" w:cs="Times New Roman"/>
          <w:sz w:val="24"/>
          <w:szCs w:val="24"/>
        </w:rPr>
        <w:t>Ďalšími relevantnými témami tejto</w:t>
      </w:r>
      <w:r w:rsidR="00414B2C">
        <w:rPr>
          <w:rFonts w:ascii="Times New Roman" w:hAnsi="Times New Roman" w:cs="Times New Roman"/>
          <w:sz w:val="24"/>
          <w:szCs w:val="24"/>
        </w:rPr>
        <w:t xml:space="preserve"> TPS</w:t>
      </w:r>
      <w:r w:rsidRPr="001C233F">
        <w:rPr>
          <w:rFonts w:ascii="Times New Roman" w:hAnsi="Times New Roman" w:cs="Times New Roman"/>
          <w:sz w:val="24"/>
          <w:szCs w:val="24"/>
        </w:rPr>
        <w:t xml:space="preserve"> bude </w:t>
      </w:r>
      <w:proofErr w:type="spellStart"/>
      <w:r w:rsidRPr="001C233F">
        <w:rPr>
          <w:rFonts w:ascii="Times New Roman" w:hAnsi="Times New Roman" w:cs="Times New Roman"/>
          <w:sz w:val="24"/>
          <w:szCs w:val="24"/>
        </w:rPr>
        <w:t>excelentnosť</w:t>
      </w:r>
      <w:proofErr w:type="spellEnd"/>
      <w:r w:rsidRPr="001C233F">
        <w:rPr>
          <w:rFonts w:ascii="Times New Roman" w:hAnsi="Times New Roman" w:cs="Times New Roman"/>
          <w:sz w:val="24"/>
          <w:szCs w:val="24"/>
        </w:rPr>
        <w:t xml:space="preserve"> a neustále sa zvyšujúce nároky na aktualizované zručnosti nevyhnutné pre trh práce a tvorbu pracovných miest; digitalizácia a globalizácia (vrátane mobility a migrácie).</w:t>
      </w:r>
      <w:r w:rsidR="002158EE" w:rsidRPr="001C233F">
        <w:rPr>
          <w:rFonts w:ascii="Times New Roman" w:hAnsi="Times New Roman" w:cs="Times New Roman"/>
          <w:sz w:val="24"/>
          <w:szCs w:val="24"/>
        </w:rPr>
        <w:t xml:space="preserve"> </w:t>
      </w:r>
      <w:r w:rsidR="00BA6983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="002158EE" w:rsidRPr="001C23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lavným zameraním </w:t>
      </w:r>
      <w:r w:rsidR="00414B2C">
        <w:rPr>
          <w:rFonts w:ascii="Times New Roman" w:eastAsia="Times New Roman" w:hAnsi="Times New Roman" w:cs="Times New Roman"/>
          <w:sz w:val="24"/>
          <w:szCs w:val="24"/>
          <w:lang w:eastAsia="cs-CZ"/>
        </w:rPr>
        <w:t>TPS</w:t>
      </w:r>
      <w:r w:rsidR="002158EE" w:rsidRPr="001C23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</w:t>
      </w:r>
      <w:r w:rsidR="008C4416" w:rsidRPr="001C233F">
        <w:rPr>
          <w:rFonts w:ascii="Times New Roman" w:eastAsia="Times New Roman" w:hAnsi="Times New Roman" w:cs="Times New Roman"/>
          <w:sz w:val="24"/>
          <w:szCs w:val="24"/>
          <w:lang w:eastAsia="cs-CZ"/>
        </w:rPr>
        <w:t>y malo byť počiatočné OVP</w:t>
      </w:r>
      <w:r w:rsidR="002158EE" w:rsidRPr="001C233F">
        <w:rPr>
          <w:rFonts w:ascii="Times New Roman" w:eastAsia="Times New Roman" w:hAnsi="Times New Roman" w:cs="Times New Roman"/>
          <w:sz w:val="24"/>
          <w:szCs w:val="24"/>
          <w:lang w:eastAsia="cs-CZ"/>
        </w:rPr>
        <w:t>, avšak je potrebné rešpektovať aj jeho presah na ď</w:t>
      </w:r>
      <w:r w:rsidR="008C4416" w:rsidRPr="001C233F">
        <w:rPr>
          <w:rFonts w:ascii="Times New Roman" w:eastAsia="Times New Roman" w:hAnsi="Times New Roman" w:cs="Times New Roman"/>
          <w:sz w:val="24"/>
          <w:szCs w:val="24"/>
          <w:lang w:eastAsia="cs-CZ"/>
        </w:rPr>
        <w:t>alšie odborné vzdelávanie</w:t>
      </w:r>
      <w:r w:rsidR="002158EE" w:rsidRPr="001C233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54D42" w:rsidRPr="00254D42" w:rsidRDefault="00254D42" w:rsidP="00254D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20B1" w:rsidRPr="00E420B1" w:rsidRDefault="00414B2C" w:rsidP="009D5CDF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Technická p</w:t>
      </w:r>
      <w:r w:rsidR="00B4408E">
        <w:rPr>
          <w:rFonts w:ascii="Times New Roman" w:hAnsi="Times New Roman" w:cs="Times New Roman"/>
          <w:sz w:val="24"/>
          <w:szCs w:val="24"/>
        </w:rPr>
        <w:t xml:space="preserve">racovná skupina pre </w:t>
      </w:r>
      <w:r w:rsidR="00E420B1" w:rsidRPr="00E420B1">
        <w:rPr>
          <w:rFonts w:ascii="Times New Roman" w:hAnsi="Times New Roman" w:cs="Times New Roman"/>
          <w:i/>
          <w:sz w:val="24"/>
          <w:szCs w:val="24"/>
        </w:rPr>
        <w:t xml:space="preserve">digitálne </w:t>
      </w:r>
      <w:r w:rsidR="00B4408E" w:rsidRPr="00ED3AE8">
        <w:rPr>
          <w:rFonts w:ascii="Times New Roman" w:hAnsi="Times New Roman" w:cs="Times New Roman"/>
          <w:i/>
          <w:sz w:val="24"/>
          <w:szCs w:val="24"/>
        </w:rPr>
        <w:t>zručnosti</w:t>
      </w:r>
      <w:r w:rsidR="00B65E13">
        <w:rPr>
          <w:rFonts w:ascii="Times New Roman" w:hAnsi="Times New Roman" w:cs="Times New Roman"/>
          <w:sz w:val="24"/>
          <w:szCs w:val="24"/>
        </w:rPr>
        <w:t xml:space="preserve"> </w:t>
      </w:r>
      <w:r w:rsidR="00E420B1">
        <w:rPr>
          <w:rFonts w:ascii="Times New Roman" w:hAnsi="Times New Roman" w:cs="Times New Roman"/>
          <w:sz w:val="24"/>
          <w:szCs w:val="24"/>
        </w:rPr>
        <w:t>a </w:t>
      </w:r>
      <w:r w:rsidR="00E420B1" w:rsidRPr="00E420B1">
        <w:rPr>
          <w:rFonts w:ascii="Times New Roman" w:hAnsi="Times New Roman" w:cs="Times New Roman"/>
          <w:i/>
          <w:sz w:val="24"/>
          <w:szCs w:val="24"/>
        </w:rPr>
        <w:t>kompetencie</w:t>
      </w:r>
      <w:r w:rsidR="00E42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24C" w:rsidRDefault="005A324C" w:rsidP="005A324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17920" w:rsidRDefault="00414B2C" w:rsidP="00017920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TPS pre digitálne zručnosti a kompetencie </w:t>
      </w:r>
      <w:r w:rsidR="000179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5A324C" w:rsidRPr="005A324C">
        <w:rPr>
          <w:rFonts w:ascii="Times New Roman" w:eastAsia="Times New Roman" w:hAnsi="Times New Roman" w:cs="Times New Roman"/>
          <w:sz w:val="24"/>
          <w:szCs w:val="24"/>
          <w:lang w:eastAsia="sk-SK"/>
        </w:rPr>
        <w:t>zameria</w:t>
      </w:r>
      <w:r w:rsidR="00EF01BD">
        <w:rPr>
          <w:rFonts w:ascii="Times New Roman" w:eastAsia="Times New Roman" w:hAnsi="Times New Roman" w:cs="Times New Roman"/>
          <w:sz w:val="24"/>
          <w:szCs w:val="24"/>
          <w:lang w:eastAsia="sk-SK"/>
        </w:rPr>
        <w:t>va</w:t>
      </w:r>
      <w:r w:rsidR="000179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predovšetkým  na nasledovné </w:t>
      </w:r>
      <w:r w:rsidR="005A324C" w:rsidRPr="005A32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témy:</w:t>
      </w:r>
    </w:p>
    <w:p w:rsidR="00017920" w:rsidRDefault="00017920" w:rsidP="00017920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17920" w:rsidRDefault="00017920" w:rsidP="00C31C31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Predvídanie dopytu po zručnostiach a prepojenie na možnosti vzdelávania</w:t>
      </w:r>
    </w:p>
    <w:p w:rsidR="00017920" w:rsidRDefault="00017920" w:rsidP="00C31C31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Riadenie a manažment ako rozhodujúci krok pri podpore modernizácie vzdelávania, digitálnych technológií a inovatívneho vzdelávacieho prostredia</w:t>
      </w:r>
    </w:p>
    <w:p w:rsidR="00017920" w:rsidRDefault="00017920" w:rsidP="00C31C31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kódovania v digitálnom vzdelávaní</w:t>
      </w:r>
    </w:p>
    <w:p w:rsidR="00017920" w:rsidRDefault="00017920" w:rsidP="00C31C31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Inovatívne učebné metódy ako spôsob rozvoja digitálnych zručností a kompetencií</w:t>
      </w:r>
    </w:p>
    <w:p w:rsidR="00EF01BD" w:rsidRPr="00254D42" w:rsidRDefault="00017920" w:rsidP="00E420B1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Zabezpečenie kvality: uznávanie a akreditácia nadobudnutých digitálnych zručností a kompetencií</w:t>
      </w:r>
    </w:p>
    <w:p w:rsidR="00E420B1" w:rsidRDefault="00E420B1" w:rsidP="00E420B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E420B1" w:rsidRDefault="00414B2C" w:rsidP="009D5CDF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Technická p</w:t>
      </w:r>
      <w:r w:rsidR="00B4408E">
        <w:rPr>
          <w:rFonts w:ascii="Times New Roman" w:hAnsi="Times New Roman" w:cs="Times New Roman"/>
          <w:sz w:val="24"/>
          <w:szCs w:val="24"/>
        </w:rPr>
        <w:t xml:space="preserve">racovná skupina </w:t>
      </w:r>
      <w:r w:rsidR="00B4408E" w:rsidRPr="001652B6">
        <w:rPr>
          <w:rFonts w:ascii="Times New Roman" w:hAnsi="Times New Roman" w:cs="Times New Roman"/>
          <w:i/>
          <w:sz w:val="24"/>
          <w:szCs w:val="24"/>
        </w:rPr>
        <w:t>pre</w:t>
      </w:r>
      <w:r w:rsidR="00E420B1" w:rsidRPr="001652B6">
        <w:rPr>
          <w:rFonts w:ascii="Times New Roman" w:hAnsi="Times New Roman" w:cs="Times New Roman"/>
          <w:i/>
          <w:sz w:val="24"/>
          <w:szCs w:val="24"/>
        </w:rPr>
        <w:t xml:space="preserve"> podporu občianstva a spoločných hodnôt slobody, tolerancie a nediskriminácie prostredníctvom vzdelávania</w:t>
      </w:r>
    </w:p>
    <w:p w:rsidR="00E420B1" w:rsidRDefault="00E420B1" w:rsidP="00414B2C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B2C" w:rsidRPr="00414B2C" w:rsidRDefault="00414B2C" w:rsidP="00414B2C">
      <w:pPr>
        <w:spacing w:before="120"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B2C">
        <w:rPr>
          <w:rFonts w:ascii="Times New Roman" w:eastAsia="Times New Roman" w:hAnsi="Times New Roman" w:cs="Times New Roman"/>
          <w:sz w:val="24"/>
          <w:szCs w:val="24"/>
          <w:lang w:eastAsia="cs-CZ"/>
        </w:rPr>
        <w:t>TPS by mala zahŕňať všetky štyri piliere Parížskej deklarácie:</w:t>
      </w:r>
    </w:p>
    <w:p w:rsidR="00414B2C" w:rsidRPr="00414B2C" w:rsidRDefault="00414B2C" w:rsidP="00414B2C">
      <w:pPr>
        <w:pStyle w:val="Odsekzoznamu"/>
        <w:numPr>
          <w:ilvl w:val="0"/>
          <w:numId w:val="9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B2C">
        <w:rPr>
          <w:rFonts w:ascii="Times New Roman" w:eastAsia="Times New Roman" w:hAnsi="Times New Roman" w:cs="Times New Roman"/>
          <w:sz w:val="24"/>
          <w:szCs w:val="24"/>
          <w:lang w:eastAsia="cs-CZ"/>
        </w:rPr>
        <w:t>Zaistenie, aby deti a mladí ľudia získavali sociálne, občianske a interkultúrne kompetencie presadzovaním demokratických hodnôt a základných práv, sociálnej inklúzie a nediskriminovania, ako aj aktívneho občianstva</w:t>
      </w:r>
    </w:p>
    <w:p w:rsidR="00414B2C" w:rsidRPr="00414B2C" w:rsidRDefault="00414B2C" w:rsidP="00414B2C">
      <w:pPr>
        <w:pStyle w:val="Odsekzoznamu"/>
        <w:numPr>
          <w:ilvl w:val="0"/>
          <w:numId w:val="9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B2C">
        <w:rPr>
          <w:rFonts w:ascii="Times New Roman" w:eastAsia="Times New Roman" w:hAnsi="Times New Roman" w:cs="Times New Roman"/>
          <w:sz w:val="24"/>
          <w:szCs w:val="24"/>
          <w:lang w:eastAsia="cs-CZ"/>
        </w:rPr>
        <w:t>Posilnenie kritického myslenia a mediálnej gramotnosti, a to najmä pri používaní internetu a sociálnych médií, rovnako ak</w:t>
      </w:r>
      <w:r w:rsidR="00EF456F">
        <w:rPr>
          <w:rFonts w:ascii="Times New Roman" w:eastAsia="Times New Roman" w:hAnsi="Times New Roman" w:cs="Times New Roman"/>
          <w:sz w:val="24"/>
          <w:szCs w:val="24"/>
          <w:lang w:eastAsia="cs-CZ"/>
        </w:rPr>
        <w:t>o aj rozvinutie odolnosti</w:t>
      </w:r>
      <w:r w:rsidRPr="00414B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proti všetkým formám diskriminácie a </w:t>
      </w:r>
      <w:proofErr w:type="spellStart"/>
      <w:r w:rsidRPr="00414B2C">
        <w:rPr>
          <w:rFonts w:ascii="Times New Roman" w:eastAsia="Times New Roman" w:hAnsi="Times New Roman" w:cs="Times New Roman"/>
          <w:sz w:val="24"/>
          <w:szCs w:val="24"/>
          <w:lang w:eastAsia="cs-CZ"/>
        </w:rPr>
        <w:t>indoktrinácie</w:t>
      </w:r>
      <w:proofErr w:type="spellEnd"/>
    </w:p>
    <w:p w:rsidR="00414B2C" w:rsidRPr="00414B2C" w:rsidRDefault="00414B2C" w:rsidP="00414B2C">
      <w:pPr>
        <w:pStyle w:val="Odsekzoznamu"/>
        <w:numPr>
          <w:ilvl w:val="0"/>
          <w:numId w:val="9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B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Zabezpečenie vzdelávania znevýhodnených </w:t>
      </w:r>
      <w:r w:rsidR="000464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detí a mladých ľudí tým, že </w:t>
      </w:r>
      <w:r w:rsidRPr="00414B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systémy vzdelávania a odbornej prípravy budú reagovať na ich potreby</w:t>
      </w:r>
    </w:p>
    <w:p w:rsidR="00414B2C" w:rsidRPr="00414B2C" w:rsidRDefault="00414B2C" w:rsidP="00414B2C">
      <w:pPr>
        <w:pStyle w:val="Odsekzoznamu"/>
        <w:numPr>
          <w:ilvl w:val="0"/>
          <w:numId w:val="9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B2C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Podporovanie interkultúrneho dialógu prostredníctvom všetkých foriem vzdelávania v spolupráci s ostatnými príslušnými politikami a zainteresovanými stranami.</w:t>
      </w:r>
    </w:p>
    <w:p w:rsidR="00414B2C" w:rsidRDefault="00414B2C" w:rsidP="00414B2C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24C" w:rsidRDefault="005A324C" w:rsidP="00E420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CDF" w:rsidRDefault="009D5CDF" w:rsidP="00ED1FE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CF3FFF" w:rsidRPr="0031387D" w:rsidRDefault="00CF3FFF">
      <w:pPr>
        <w:rPr>
          <w:rFonts w:ascii="Times New Roman" w:hAnsi="Times New Roman" w:cs="Times New Roman"/>
          <w:sz w:val="24"/>
          <w:szCs w:val="24"/>
        </w:rPr>
      </w:pPr>
    </w:p>
    <w:sectPr w:rsidR="00CF3FFF" w:rsidRPr="0031387D" w:rsidSect="00C26FC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66B" w:rsidRDefault="00A4366B" w:rsidP="00FD674A">
      <w:pPr>
        <w:spacing w:after="0" w:line="240" w:lineRule="auto"/>
      </w:pPr>
      <w:r>
        <w:separator/>
      </w:r>
    </w:p>
  </w:endnote>
  <w:endnote w:type="continuationSeparator" w:id="0">
    <w:p w:rsidR="00A4366B" w:rsidRDefault="00A4366B" w:rsidP="00FD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66B" w:rsidRDefault="00A4366B" w:rsidP="00FD674A">
      <w:pPr>
        <w:spacing w:after="0" w:line="240" w:lineRule="auto"/>
      </w:pPr>
      <w:r>
        <w:separator/>
      </w:r>
    </w:p>
  </w:footnote>
  <w:footnote w:type="continuationSeparator" w:id="0">
    <w:p w:rsidR="00A4366B" w:rsidRDefault="00A4366B" w:rsidP="00FD674A">
      <w:pPr>
        <w:spacing w:after="0" w:line="240" w:lineRule="auto"/>
      </w:pPr>
      <w:r>
        <w:continuationSeparator/>
      </w:r>
    </w:p>
  </w:footnote>
  <w:footnote w:id="1">
    <w:p w:rsidR="00414B2C" w:rsidRPr="00AD1799" w:rsidRDefault="00414B2C">
      <w:pPr>
        <w:pStyle w:val="Textpoznmkypodiarou"/>
        <w:rPr>
          <w:rFonts w:ascii="Times New Roman" w:hAnsi="Times New Roman" w:cs="Times New Roman"/>
        </w:rPr>
      </w:pPr>
      <w:r w:rsidRPr="00AD1799">
        <w:rPr>
          <w:rStyle w:val="Odkaznapoznmkupodiarou"/>
          <w:rFonts w:ascii="Times New Roman" w:hAnsi="Times New Roman" w:cs="Times New Roman"/>
        </w:rPr>
        <w:footnoteRef/>
      </w:r>
      <w:r w:rsidRPr="00AD1799">
        <w:rPr>
          <w:rFonts w:ascii="Times New Roman" w:hAnsi="Times New Roman" w:cs="Times New Roman"/>
        </w:rPr>
        <w:t xml:space="preserve"> Prvá generácia technických pracovných skupín ET 2020 je aktívna od januára 2016 do konca júna 2018 a druhá </w:t>
      </w:r>
      <w:r w:rsidR="00FB1C51">
        <w:rPr>
          <w:rFonts w:ascii="Times New Roman" w:hAnsi="Times New Roman" w:cs="Times New Roman"/>
        </w:rPr>
        <w:t xml:space="preserve"> </w:t>
      </w:r>
      <w:r w:rsidRPr="00AD1799">
        <w:rPr>
          <w:rFonts w:ascii="Times New Roman" w:hAnsi="Times New Roman" w:cs="Times New Roman"/>
        </w:rPr>
        <w:t xml:space="preserve">generácia bude aktívna od júla 2018 do konca decembra 2020.  </w:t>
      </w:r>
    </w:p>
  </w:footnote>
  <w:footnote w:id="2">
    <w:p w:rsidR="00F1743B" w:rsidRDefault="00F1743B">
      <w:pPr>
        <w:pStyle w:val="Textpoznmkypodiarou"/>
      </w:pPr>
      <w:r w:rsidRPr="00F1743B">
        <w:rPr>
          <w:rStyle w:val="Odkaznapoznmkupodiarou"/>
          <w:rFonts w:ascii="Times New Roman" w:hAnsi="Times New Roman" w:cs="Times New Roman"/>
        </w:rPr>
        <w:footnoteRef/>
      </w:r>
      <w:r w:rsidRPr="00F1743B">
        <w:rPr>
          <w:rFonts w:ascii="Times New Roman" w:hAnsi="Times New Roman" w:cs="Times New Roman"/>
        </w:rPr>
        <w:t xml:space="preserve"> Dostupné na:</w:t>
      </w:r>
      <w:r>
        <w:t xml:space="preserve"> </w:t>
      </w:r>
      <w:hyperlink r:id="rId1" w:history="1">
        <w:r w:rsidRPr="00F1743B">
          <w:rPr>
            <w:rStyle w:val="Hypertextovprepojenie"/>
            <w:rFonts w:ascii="Times New Roman" w:hAnsi="Times New Roman" w:cs="Times New Roman"/>
          </w:rPr>
          <w:t>http://ec.europa.eu/education/policy/strategic-framework/expert-groups_en.htm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1FA"/>
    <w:multiLevelType w:val="hybridMultilevel"/>
    <w:tmpl w:val="3528AC8A"/>
    <w:lvl w:ilvl="0" w:tplc="041B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12E6303F"/>
    <w:multiLevelType w:val="hybridMultilevel"/>
    <w:tmpl w:val="5356A4A0"/>
    <w:lvl w:ilvl="0" w:tplc="84D45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3D3777"/>
    <w:multiLevelType w:val="hybridMultilevel"/>
    <w:tmpl w:val="518852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25E18"/>
    <w:multiLevelType w:val="hybridMultilevel"/>
    <w:tmpl w:val="11900F9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065344"/>
    <w:multiLevelType w:val="hybridMultilevel"/>
    <w:tmpl w:val="6306511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37D2AC2"/>
    <w:multiLevelType w:val="hybridMultilevel"/>
    <w:tmpl w:val="B25026E4"/>
    <w:lvl w:ilvl="0" w:tplc="EF82E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6625F1"/>
    <w:multiLevelType w:val="hybridMultilevel"/>
    <w:tmpl w:val="8256A3A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4C835AC"/>
    <w:multiLevelType w:val="hybridMultilevel"/>
    <w:tmpl w:val="71AC4CA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2E7F1B"/>
    <w:multiLevelType w:val="hybridMultilevel"/>
    <w:tmpl w:val="CC3A8A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FF"/>
    <w:rsid w:val="00017920"/>
    <w:rsid w:val="00022516"/>
    <w:rsid w:val="00046450"/>
    <w:rsid w:val="00072DD8"/>
    <w:rsid w:val="00076A61"/>
    <w:rsid w:val="000A7501"/>
    <w:rsid w:val="000B5E8F"/>
    <w:rsid w:val="000E4AE5"/>
    <w:rsid w:val="0014290E"/>
    <w:rsid w:val="00164765"/>
    <w:rsid w:val="001652B6"/>
    <w:rsid w:val="001C233F"/>
    <w:rsid w:val="001E67C5"/>
    <w:rsid w:val="001F4629"/>
    <w:rsid w:val="002010D0"/>
    <w:rsid w:val="002158EE"/>
    <w:rsid w:val="00254D42"/>
    <w:rsid w:val="00271544"/>
    <w:rsid w:val="002978EF"/>
    <w:rsid w:val="002D11DE"/>
    <w:rsid w:val="002F0EC0"/>
    <w:rsid w:val="00310330"/>
    <w:rsid w:val="0031387D"/>
    <w:rsid w:val="003450CA"/>
    <w:rsid w:val="003E7396"/>
    <w:rsid w:val="004130B8"/>
    <w:rsid w:val="0041374B"/>
    <w:rsid w:val="00414B2C"/>
    <w:rsid w:val="00433959"/>
    <w:rsid w:val="00446D88"/>
    <w:rsid w:val="00467B5B"/>
    <w:rsid w:val="00496A3C"/>
    <w:rsid w:val="004A409E"/>
    <w:rsid w:val="005A324C"/>
    <w:rsid w:val="005E6EA3"/>
    <w:rsid w:val="00600799"/>
    <w:rsid w:val="00602175"/>
    <w:rsid w:val="00636626"/>
    <w:rsid w:val="006406A3"/>
    <w:rsid w:val="00652EDD"/>
    <w:rsid w:val="006667B3"/>
    <w:rsid w:val="006B1E9D"/>
    <w:rsid w:val="006C5003"/>
    <w:rsid w:val="006D471F"/>
    <w:rsid w:val="006D7DCA"/>
    <w:rsid w:val="00730598"/>
    <w:rsid w:val="007A51C3"/>
    <w:rsid w:val="007A664E"/>
    <w:rsid w:val="00827F07"/>
    <w:rsid w:val="00884B12"/>
    <w:rsid w:val="008958C2"/>
    <w:rsid w:val="008C2D26"/>
    <w:rsid w:val="008C4416"/>
    <w:rsid w:val="008D646B"/>
    <w:rsid w:val="009232AD"/>
    <w:rsid w:val="00977AB1"/>
    <w:rsid w:val="009D5CDF"/>
    <w:rsid w:val="00A05ECE"/>
    <w:rsid w:val="00A4366B"/>
    <w:rsid w:val="00A4793E"/>
    <w:rsid w:val="00A71CCB"/>
    <w:rsid w:val="00A85D79"/>
    <w:rsid w:val="00AB3B2A"/>
    <w:rsid w:val="00AB3F89"/>
    <w:rsid w:val="00AC7611"/>
    <w:rsid w:val="00AD1799"/>
    <w:rsid w:val="00AF270E"/>
    <w:rsid w:val="00B270DA"/>
    <w:rsid w:val="00B273DE"/>
    <w:rsid w:val="00B4408E"/>
    <w:rsid w:val="00B61E54"/>
    <w:rsid w:val="00B64B68"/>
    <w:rsid w:val="00B65E13"/>
    <w:rsid w:val="00B66870"/>
    <w:rsid w:val="00B96031"/>
    <w:rsid w:val="00BA6983"/>
    <w:rsid w:val="00BB7170"/>
    <w:rsid w:val="00BD7722"/>
    <w:rsid w:val="00C06683"/>
    <w:rsid w:val="00C1489C"/>
    <w:rsid w:val="00C26FC3"/>
    <w:rsid w:val="00C31C31"/>
    <w:rsid w:val="00C36EF6"/>
    <w:rsid w:val="00C41143"/>
    <w:rsid w:val="00C42331"/>
    <w:rsid w:val="00C441AD"/>
    <w:rsid w:val="00C80CE1"/>
    <w:rsid w:val="00C945C9"/>
    <w:rsid w:val="00CA03D2"/>
    <w:rsid w:val="00CA0CD8"/>
    <w:rsid w:val="00CA143D"/>
    <w:rsid w:val="00CC7FBF"/>
    <w:rsid w:val="00CE4D6D"/>
    <w:rsid w:val="00CF3FFF"/>
    <w:rsid w:val="00D030C8"/>
    <w:rsid w:val="00D03984"/>
    <w:rsid w:val="00D05147"/>
    <w:rsid w:val="00DD64F5"/>
    <w:rsid w:val="00E1381B"/>
    <w:rsid w:val="00E420B1"/>
    <w:rsid w:val="00E702FD"/>
    <w:rsid w:val="00E76E38"/>
    <w:rsid w:val="00E858F9"/>
    <w:rsid w:val="00EB3323"/>
    <w:rsid w:val="00ED1FE0"/>
    <w:rsid w:val="00ED3AE8"/>
    <w:rsid w:val="00EF01BD"/>
    <w:rsid w:val="00EF456F"/>
    <w:rsid w:val="00F1743B"/>
    <w:rsid w:val="00F37E5C"/>
    <w:rsid w:val="00FA1D63"/>
    <w:rsid w:val="00FB1C51"/>
    <w:rsid w:val="00FB2E04"/>
    <w:rsid w:val="00FD674A"/>
    <w:rsid w:val="00FF5D22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3FFF"/>
    <w:pPr>
      <w:ind w:left="720"/>
      <w:contextualSpacing/>
    </w:pPr>
  </w:style>
  <w:style w:type="character" w:customStyle="1" w:styleId="hps">
    <w:name w:val="hps"/>
    <w:basedOn w:val="Predvolenpsmoodseku"/>
    <w:rsid w:val="00E76E38"/>
  </w:style>
  <w:style w:type="character" w:styleId="Hypertextovprepojenie">
    <w:name w:val="Hyperlink"/>
    <w:basedOn w:val="Predvolenpsmoodseku"/>
    <w:uiPriority w:val="99"/>
    <w:unhideWhenUsed/>
    <w:rsid w:val="00D05147"/>
    <w:rPr>
      <w:strike w:val="0"/>
      <w:dstrike w:val="0"/>
      <w:color w:val="009DC7"/>
      <w:u w:val="none"/>
      <w:effect w:val="none"/>
    </w:rPr>
  </w:style>
  <w:style w:type="paragraph" w:styleId="Bezriadkovania">
    <w:name w:val="No Spacing"/>
    <w:uiPriority w:val="1"/>
    <w:qFormat/>
    <w:rsid w:val="00ED3AE8"/>
    <w:pPr>
      <w:spacing w:after="0" w:line="240" w:lineRule="auto"/>
    </w:pPr>
  </w:style>
  <w:style w:type="paragraph" w:customStyle="1" w:styleId="Default">
    <w:name w:val="Default"/>
    <w:rsid w:val="00DD64F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674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674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67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3FFF"/>
    <w:pPr>
      <w:ind w:left="720"/>
      <w:contextualSpacing/>
    </w:pPr>
  </w:style>
  <w:style w:type="character" w:customStyle="1" w:styleId="hps">
    <w:name w:val="hps"/>
    <w:basedOn w:val="Predvolenpsmoodseku"/>
    <w:rsid w:val="00E76E38"/>
  </w:style>
  <w:style w:type="character" w:styleId="Hypertextovprepojenie">
    <w:name w:val="Hyperlink"/>
    <w:basedOn w:val="Predvolenpsmoodseku"/>
    <w:uiPriority w:val="99"/>
    <w:unhideWhenUsed/>
    <w:rsid w:val="00D05147"/>
    <w:rPr>
      <w:strike w:val="0"/>
      <w:dstrike w:val="0"/>
      <w:color w:val="009DC7"/>
      <w:u w:val="none"/>
      <w:effect w:val="none"/>
    </w:rPr>
  </w:style>
  <w:style w:type="paragraph" w:styleId="Bezriadkovania">
    <w:name w:val="No Spacing"/>
    <w:uiPriority w:val="1"/>
    <w:qFormat/>
    <w:rsid w:val="00ED3AE8"/>
    <w:pPr>
      <w:spacing w:after="0" w:line="240" w:lineRule="auto"/>
    </w:pPr>
  </w:style>
  <w:style w:type="paragraph" w:customStyle="1" w:styleId="Default">
    <w:name w:val="Default"/>
    <w:rsid w:val="00DD64F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674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674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67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2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8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0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1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0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5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08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65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education/policy/strategic-framework/expert-groups_sk.ht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ducation/policy/strategic-framework/expert-groups_en.h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D7874-AC11-4FCA-895B-42C5D01F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Auxtová Lucia</dc:creator>
  <cp:lastModifiedBy>Auxtová Lucia</cp:lastModifiedBy>
  <cp:revision>2</cp:revision>
  <cp:lastPrinted>2015-07-17T08:44:00Z</cp:lastPrinted>
  <dcterms:created xsi:type="dcterms:W3CDTF">2017-02-10T13:14:00Z</dcterms:created>
  <dcterms:modified xsi:type="dcterms:W3CDTF">2017-02-10T13:14:00Z</dcterms:modified>
</cp:coreProperties>
</file>