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BF6" w:rsidRPr="00F454D0" w:rsidRDefault="00DE2BF6" w:rsidP="00DE2BF6">
      <w:pPr>
        <w:pStyle w:val="Nadpis5"/>
        <w:jc w:val="both"/>
      </w:pPr>
      <w:r w:rsidRPr="00F454D0">
        <w:t>Príloha č. 8</w:t>
      </w:r>
      <w:r>
        <w:t xml:space="preserve"> k metodike rozpisu dotácií zo štátneho rozpočtu verejným vysokým školám na rok 2021</w:t>
      </w:r>
      <w:r w:rsidRPr="00F454D0">
        <w:t xml:space="preserve"> – Poskytovanie dotácie na úhradu nákladov spojených s účasťou študentov na medzinárodných súťažiach</w:t>
      </w:r>
    </w:p>
    <w:p w:rsidR="00DE2BF6" w:rsidRDefault="00DE2BF6" w:rsidP="00DE2BF6">
      <w:pPr>
        <w:rPr>
          <w:highlight w:val="yellow"/>
        </w:rPr>
      </w:pPr>
    </w:p>
    <w:p w:rsidR="00DE2BF6" w:rsidRPr="00F454D0" w:rsidRDefault="00DE2BF6" w:rsidP="00DE2BF6">
      <w:pPr>
        <w:jc w:val="both"/>
      </w:pPr>
      <w:r w:rsidRPr="00F454D0">
        <w:t>Pri poskytovaní dotácie sa postupuje nasledujúcim spôsobom:</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8251"/>
      </w:tblGrid>
      <w:tr w:rsidR="00DE2BF6" w:rsidRPr="00F454D0" w:rsidTr="006D7ACC">
        <w:tc>
          <w:tcPr>
            <w:tcW w:w="851" w:type="dxa"/>
            <w:hideMark/>
          </w:tcPr>
          <w:p w:rsidR="00DE2BF6" w:rsidRPr="00F454D0" w:rsidRDefault="00DE2BF6" w:rsidP="006D7ACC">
            <w:r w:rsidRPr="00F454D0">
              <w:t>Krok</w:t>
            </w:r>
          </w:p>
        </w:tc>
        <w:tc>
          <w:tcPr>
            <w:tcW w:w="8471" w:type="dxa"/>
            <w:hideMark/>
          </w:tcPr>
          <w:p w:rsidR="00DE2BF6" w:rsidRPr="00F454D0" w:rsidRDefault="00DE2BF6" w:rsidP="006D7ACC">
            <w:r w:rsidRPr="00F454D0">
              <w:t>Opis</w:t>
            </w:r>
          </w:p>
        </w:tc>
      </w:tr>
      <w:tr w:rsidR="00DE2BF6" w:rsidRPr="00F454D0" w:rsidTr="006D7ACC">
        <w:tc>
          <w:tcPr>
            <w:tcW w:w="851" w:type="dxa"/>
            <w:hideMark/>
          </w:tcPr>
          <w:p w:rsidR="00DE2BF6" w:rsidRPr="00F454D0" w:rsidRDefault="00DE2BF6" w:rsidP="006D7ACC">
            <w:pPr>
              <w:jc w:val="center"/>
            </w:pPr>
            <w:r w:rsidRPr="00F454D0">
              <w:t>1</w:t>
            </w:r>
          </w:p>
        </w:tc>
        <w:tc>
          <w:tcPr>
            <w:tcW w:w="8471" w:type="dxa"/>
            <w:hideMark/>
          </w:tcPr>
          <w:p w:rsidR="00DE2BF6" w:rsidRPr="00F454D0" w:rsidRDefault="00DE2BF6" w:rsidP="006D7ACC">
            <w:pPr>
              <w:jc w:val="both"/>
            </w:pPr>
            <w:r w:rsidRPr="00F454D0">
              <w:rPr>
                <w:b/>
              </w:rPr>
              <w:t>Predloženie žiadosti o refundáciu (vyúčtovania) po uskutočnení podujatia:</w:t>
            </w:r>
          </w:p>
          <w:p w:rsidR="00DE2BF6" w:rsidRPr="00F454D0" w:rsidRDefault="00DE2BF6" w:rsidP="00DE2BF6">
            <w:pPr>
              <w:numPr>
                <w:ilvl w:val="0"/>
                <w:numId w:val="1"/>
              </w:numPr>
              <w:spacing w:after="0"/>
              <w:jc w:val="both"/>
            </w:pPr>
            <w:r w:rsidRPr="00F454D0">
              <w:t>žiadosť sa predkladá do 4 týždňov po uskutočnení podujatia vo forme prílohy A, ktorá je súčasťou tohto dokumentu</w:t>
            </w:r>
          </w:p>
          <w:p w:rsidR="00DE2BF6" w:rsidRPr="00F454D0" w:rsidRDefault="00DE2BF6" w:rsidP="00DE2BF6">
            <w:pPr>
              <w:numPr>
                <w:ilvl w:val="0"/>
                <w:numId w:val="1"/>
              </w:numPr>
              <w:spacing w:after="0"/>
              <w:jc w:val="both"/>
            </w:pPr>
            <w:r w:rsidRPr="00F454D0">
              <w:t xml:space="preserve">žiadosť sa doručuje elektronicky na </w:t>
            </w:r>
            <w:hyperlink r:id="rId7" w:history="1">
              <w:r w:rsidRPr="00F454D0">
                <w:rPr>
                  <w:color w:val="0000FF"/>
                  <w:u w:val="single"/>
                </w:rPr>
                <w:t>svs@minedu.sk</w:t>
              </w:r>
            </w:hyperlink>
            <w:r w:rsidRPr="00F454D0">
              <w:t xml:space="preserve"> a zároveň v listinnej forme na Ministerstvo školstva, vedy, výskumu a športu SR, sekcia vysokých škôl, Stromová 1, 813 30  Bratislava 1</w:t>
            </w:r>
          </w:p>
          <w:p w:rsidR="00DE2BF6" w:rsidRPr="00F454D0" w:rsidRDefault="00DE2BF6" w:rsidP="00DE2BF6">
            <w:pPr>
              <w:numPr>
                <w:ilvl w:val="0"/>
                <w:numId w:val="1"/>
              </w:numPr>
              <w:spacing w:after="0"/>
              <w:jc w:val="both"/>
            </w:pPr>
            <w:r w:rsidRPr="00F454D0">
              <w:t xml:space="preserve">žiadosť sa podáva </w:t>
            </w:r>
            <w:r w:rsidRPr="00F454D0">
              <w:rPr>
                <w:b/>
              </w:rPr>
              <w:t>do 31. 10. 2021 (vrátane</w:t>
            </w:r>
            <w:r w:rsidRPr="00F454D0">
              <w:t>) alebo do vyčerpania vyčlenených finančných prostriedkov na dané účely</w:t>
            </w:r>
          </w:p>
          <w:p w:rsidR="00DE2BF6" w:rsidRPr="00F454D0" w:rsidRDefault="00DE2BF6" w:rsidP="00DE2BF6">
            <w:pPr>
              <w:numPr>
                <w:ilvl w:val="0"/>
                <w:numId w:val="1"/>
              </w:numPr>
              <w:spacing w:after="0"/>
              <w:jc w:val="both"/>
              <w:rPr>
                <w:b/>
              </w:rPr>
            </w:pPr>
            <w:r w:rsidRPr="00F454D0">
              <w:t>súčasťou žiadosti je aj vyhlásenie vysokej školy o správnosti poskytnutých údajov, o súlade oprávnených nákladov so všeobecne záväznými právnymi predpismi a s jej vnútornými predpismi</w:t>
            </w:r>
          </w:p>
          <w:p w:rsidR="00DE2BF6" w:rsidRPr="00F454D0" w:rsidRDefault="00DE2BF6" w:rsidP="00DE2BF6">
            <w:pPr>
              <w:numPr>
                <w:ilvl w:val="0"/>
                <w:numId w:val="1"/>
              </w:numPr>
              <w:spacing w:after="0"/>
              <w:jc w:val="both"/>
              <w:rPr>
                <w:b/>
              </w:rPr>
            </w:pPr>
            <w:r w:rsidRPr="00F454D0">
              <w:t xml:space="preserve">vysoká škola potvrdí, že v žiadosti o refundáciu sú uvedené len oprávnené výdavky (príloha A) a uvedie číslo registratúrneho záznamu, v ktorom je relevantná dokumentácia na zúčtovanie (cestovný príkaz, správa z cesty, účtovné doklady, príp. ďalšie dokumenty súvisiace s účasťou študentov na uvedenom podujatí) </w:t>
            </w:r>
          </w:p>
          <w:p w:rsidR="00DE2BF6" w:rsidRPr="00F454D0" w:rsidRDefault="00DE2BF6" w:rsidP="00DE2BF6">
            <w:pPr>
              <w:numPr>
                <w:ilvl w:val="0"/>
                <w:numId w:val="1"/>
              </w:numPr>
              <w:spacing w:after="0"/>
              <w:jc w:val="both"/>
            </w:pPr>
            <w:r w:rsidRPr="00F454D0">
              <w:t>žiadosť o refundáciu za cesty, ktoré sa uskutočnia koncom októbra 2021, je potrebné predložiť do 5 pracovných dní od ich skončenia. Cesty, ktoré sa uskutočnia v novembri a decembri 2021, sa nebudú refundovať.</w:t>
            </w:r>
            <w:r w:rsidRPr="00F454D0">
              <w:rPr>
                <w:vertAlign w:val="superscript"/>
              </w:rPr>
              <w:footnoteReference w:id="1"/>
            </w:r>
            <w:r w:rsidRPr="00F454D0">
              <w:t>)</w:t>
            </w:r>
          </w:p>
        </w:tc>
      </w:tr>
      <w:tr w:rsidR="00DE2BF6" w:rsidRPr="00F454D0" w:rsidTr="006D7ACC">
        <w:tc>
          <w:tcPr>
            <w:tcW w:w="851" w:type="dxa"/>
            <w:hideMark/>
          </w:tcPr>
          <w:p w:rsidR="00DE2BF6" w:rsidRPr="00F454D0" w:rsidRDefault="00DE2BF6" w:rsidP="006D7ACC">
            <w:pPr>
              <w:jc w:val="center"/>
            </w:pPr>
            <w:r w:rsidRPr="00F454D0">
              <w:t>2</w:t>
            </w:r>
          </w:p>
        </w:tc>
        <w:tc>
          <w:tcPr>
            <w:tcW w:w="8471" w:type="dxa"/>
            <w:hideMark/>
          </w:tcPr>
          <w:p w:rsidR="00DE2BF6" w:rsidRPr="00F454D0" w:rsidRDefault="00DE2BF6" w:rsidP="006D7ACC">
            <w:pPr>
              <w:jc w:val="both"/>
              <w:rPr>
                <w:b/>
              </w:rPr>
            </w:pPr>
            <w:r w:rsidRPr="00F454D0">
              <w:rPr>
                <w:b/>
              </w:rPr>
              <w:t>Posúdenie žiadosti a poskytnutých informácií:</w:t>
            </w:r>
          </w:p>
          <w:p w:rsidR="00DE2BF6" w:rsidRPr="00F454D0" w:rsidRDefault="00DE2BF6" w:rsidP="00DE2BF6">
            <w:pPr>
              <w:numPr>
                <w:ilvl w:val="0"/>
                <w:numId w:val="1"/>
              </w:numPr>
              <w:spacing w:after="0"/>
              <w:jc w:val="both"/>
            </w:pPr>
            <w:r w:rsidRPr="00F454D0">
              <w:t>ministerstvo posúdi podľa informácií v žiadosti, či sú splnené podmienky      na refundovanie</w:t>
            </w:r>
          </w:p>
          <w:p w:rsidR="00DE2BF6" w:rsidRPr="00F454D0" w:rsidRDefault="00DE2BF6" w:rsidP="00DE2BF6">
            <w:pPr>
              <w:numPr>
                <w:ilvl w:val="0"/>
                <w:numId w:val="1"/>
              </w:numPr>
              <w:spacing w:after="0"/>
              <w:jc w:val="both"/>
            </w:pPr>
            <w:r w:rsidRPr="00F454D0">
              <w:t>ak je žiadosť vyhodnotená ako sporná, k žiadosti si sekcia vysokých škôl vyžiada vyjadrenie externých posudzovateľov</w:t>
            </w:r>
          </w:p>
          <w:p w:rsidR="00DE2BF6" w:rsidRPr="00F454D0" w:rsidRDefault="00DE2BF6" w:rsidP="00DE2BF6">
            <w:pPr>
              <w:numPr>
                <w:ilvl w:val="0"/>
                <w:numId w:val="1"/>
              </w:numPr>
              <w:spacing w:after="0"/>
              <w:jc w:val="both"/>
            </w:pPr>
            <w:r w:rsidRPr="00F454D0">
              <w:t>po doručení žiadosti na ministerstvo a jej pridelení na vybavenie, poverený zamestnanec ministerstva následne posúdi splnenie potrebných náležitostí:</w:t>
            </w:r>
          </w:p>
          <w:p w:rsidR="00DE2BF6" w:rsidRPr="00F454D0" w:rsidRDefault="00DE2BF6" w:rsidP="00DE2BF6">
            <w:pPr>
              <w:numPr>
                <w:ilvl w:val="0"/>
                <w:numId w:val="2"/>
              </w:numPr>
              <w:spacing w:after="0"/>
              <w:jc w:val="both"/>
            </w:pPr>
            <w:r w:rsidRPr="00F454D0">
              <w:t>či žiadosť podala verejná vysoká škola,</w:t>
            </w:r>
          </w:p>
          <w:p w:rsidR="00DE2BF6" w:rsidRPr="00F454D0" w:rsidRDefault="00DE2BF6" w:rsidP="00DE2BF6">
            <w:pPr>
              <w:numPr>
                <w:ilvl w:val="0"/>
                <w:numId w:val="2"/>
              </w:numPr>
              <w:spacing w:after="0"/>
              <w:jc w:val="both"/>
            </w:pPr>
            <w:r w:rsidRPr="00F454D0">
              <w:t>či nebol vyčerpaný limit finančných prostriedkov na daný účel,</w:t>
            </w:r>
          </w:p>
          <w:p w:rsidR="00DE2BF6" w:rsidRPr="00F454D0" w:rsidRDefault="00DE2BF6" w:rsidP="00DE2BF6">
            <w:pPr>
              <w:numPr>
                <w:ilvl w:val="0"/>
                <w:numId w:val="2"/>
              </w:numPr>
              <w:spacing w:after="0"/>
              <w:jc w:val="both"/>
            </w:pPr>
            <w:r w:rsidRPr="00F454D0">
              <w:t>či bola žiadosť podaná v určenej lehote,</w:t>
            </w:r>
          </w:p>
          <w:p w:rsidR="00DE2BF6" w:rsidRPr="00F454D0" w:rsidRDefault="00DE2BF6" w:rsidP="00DE2BF6">
            <w:pPr>
              <w:numPr>
                <w:ilvl w:val="0"/>
                <w:numId w:val="2"/>
              </w:numPr>
              <w:spacing w:after="0"/>
              <w:jc w:val="both"/>
            </w:pPr>
            <w:r w:rsidRPr="00F454D0">
              <w:t>či sa podujatie koná v roku 2021,</w:t>
            </w:r>
          </w:p>
          <w:p w:rsidR="00DE2BF6" w:rsidRPr="00F454D0" w:rsidRDefault="00DE2BF6" w:rsidP="00DE2BF6">
            <w:pPr>
              <w:numPr>
                <w:ilvl w:val="0"/>
                <w:numId w:val="2"/>
              </w:numPr>
              <w:spacing w:after="0"/>
              <w:jc w:val="both"/>
            </w:pPr>
            <w:r w:rsidRPr="00F454D0">
              <w:t>či sa podujatie koná mimo územia SR,</w:t>
            </w:r>
          </w:p>
          <w:p w:rsidR="00DE2BF6" w:rsidRPr="00F454D0" w:rsidRDefault="00DE2BF6" w:rsidP="00DE2BF6">
            <w:pPr>
              <w:numPr>
                <w:ilvl w:val="0"/>
                <w:numId w:val="2"/>
              </w:numPr>
              <w:spacing w:after="0"/>
              <w:jc w:val="both"/>
            </w:pPr>
            <w:r w:rsidRPr="00F454D0">
              <w:t>či sa majú refundovať náklady spojené s účasťou študenta vysokej školy, ktorá žiadosť podala,</w:t>
            </w:r>
          </w:p>
          <w:p w:rsidR="00DE2BF6" w:rsidRPr="00F454D0" w:rsidRDefault="00DE2BF6" w:rsidP="00DE2BF6">
            <w:pPr>
              <w:numPr>
                <w:ilvl w:val="0"/>
                <w:numId w:val="2"/>
              </w:numPr>
              <w:spacing w:after="0"/>
              <w:jc w:val="both"/>
            </w:pPr>
            <w:r w:rsidRPr="00F454D0">
              <w:t xml:space="preserve">či má podujatie súťažný charakter, či je určené pre študentov vysokých škôl, či existuje súvislosť medzi obsahom podujatia a štúdiom študentov vysokej školy, ktorá žiadosť predkladá, </w:t>
            </w:r>
          </w:p>
          <w:p w:rsidR="00DE2BF6" w:rsidRPr="00F454D0" w:rsidRDefault="00DE2BF6" w:rsidP="00DE2BF6">
            <w:pPr>
              <w:numPr>
                <w:ilvl w:val="0"/>
                <w:numId w:val="2"/>
              </w:numPr>
              <w:spacing w:after="0"/>
              <w:jc w:val="both"/>
            </w:pPr>
            <w:r w:rsidRPr="00F454D0">
              <w:t>kalkulácia výdavkov je prehľadná a opodstatnená, sú jasne rozlíšené výdavky spojené s účasťou na podujatí,</w:t>
            </w:r>
          </w:p>
          <w:p w:rsidR="00DE2BF6" w:rsidRPr="00F454D0" w:rsidRDefault="00DE2BF6" w:rsidP="00DE2BF6">
            <w:pPr>
              <w:numPr>
                <w:ilvl w:val="0"/>
                <w:numId w:val="2"/>
              </w:numPr>
              <w:spacing w:after="0"/>
              <w:jc w:val="both"/>
            </w:pPr>
            <w:r w:rsidRPr="00F454D0">
              <w:lastRenderedPageBreak/>
              <w:t>či je žiadosť kompletná,</w:t>
            </w:r>
          </w:p>
          <w:p w:rsidR="00DE2BF6" w:rsidRPr="00F454D0" w:rsidRDefault="00DE2BF6" w:rsidP="00DE2BF6">
            <w:pPr>
              <w:numPr>
                <w:ilvl w:val="0"/>
                <w:numId w:val="2"/>
              </w:numPr>
              <w:spacing w:after="0"/>
              <w:jc w:val="both"/>
            </w:pPr>
            <w:r w:rsidRPr="00F454D0">
              <w:t>či sú k dispozícii všetky údaje potrebné na posúdenie žiadosti.</w:t>
            </w:r>
          </w:p>
          <w:p w:rsidR="00DE2BF6" w:rsidRPr="00F454D0" w:rsidRDefault="00DE2BF6" w:rsidP="00DE2BF6">
            <w:pPr>
              <w:numPr>
                <w:ilvl w:val="0"/>
                <w:numId w:val="1"/>
              </w:numPr>
              <w:spacing w:after="0"/>
              <w:jc w:val="both"/>
            </w:pPr>
            <w:r w:rsidRPr="00F454D0">
              <w:t>ak ministerstvo zistí v niektorom bode nejasnosti o údajoch, kontaktuje žiadateľa za účelom objasnenia, resp. doplnenia, obvykle telefonicky alebo elektronickou poštou</w:t>
            </w:r>
          </w:p>
          <w:p w:rsidR="00DE2BF6" w:rsidRPr="00F454D0" w:rsidRDefault="00DE2BF6" w:rsidP="00DE2BF6">
            <w:pPr>
              <w:numPr>
                <w:ilvl w:val="0"/>
                <w:numId w:val="1"/>
              </w:numPr>
              <w:spacing w:after="0"/>
              <w:jc w:val="both"/>
            </w:pPr>
            <w:r w:rsidRPr="00F454D0">
              <w:t>ak podujatie alebo jeho účastníci nespĺňajú podmienky refundácie podľa tohto dokumentu, ministerstvo oznámi vysokej škole zamietnutie žiadosti. Ak by dôvodom zamietnutia žiadosti malo byť to, že podujatie nie je relevantné k obsahu štúdia študenta, prípadne jeho nesúťažný charakter, požiadajú sa o stanovisko zástupcovia navrhnutí reprezentáciami vysokých škôl. V prípade, že všetci potvrdia, že podujatie je z ich pohľadu relevantné a má v prípade medzinárodných súťaží súťažný charakter, ministerstvo bude tieto podmienky považovať za splnené, inak vyrozumie žiadateľa, že žiadosť zamieta.</w:t>
            </w:r>
          </w:p>
          <w:p w:rsidR="00DE2BF6" w:rsidRPr="00F454D0" w:rsidRDefault="00DE2BF6" w:rsidP="00DE2BF6">
            <w:pPr>
              <w:numPr>
                <w:ilvl w:val="0"/>
                <w:numId w:val="1"/>
              </w:numPr>
              <w:spacing w:after="0"/>
              <w:jc w:val="both"/>
            </w:pPr>
            <w:r w:rsidRPr="00F454D0">
              <w:t>v prípade potreby, ministerstvo vyžiada doplnenie podkladov/informácií.</w:t>
            </w:r>
          </w:p>
        </w:tc>
      </w:tr>
      <w:tr w:rsidR="00DE2BF6" w:rsidRPr="00F454D0" w:rsidTr="006D7ACC">
        <w:tc>
          <w:tcPr>
            <w:tcW w:w="851" w:type="dxa"/>
            <w:hideMark/>
          </w:tcPr>
          <w:p w:rsidR="00DE2BF6" w:rsidRPr="00F454D0" w:rsidRDefault="00DE2BF6" w:rsidP="006D7ACC">
            <w:pPr>
              <w:jc w:val="center"/>
            </w:pPr>
            <w:r w:rsidRPr="00F454D0">
              <w:lastRenderedPageBreak/>
              <w:t>3</w:t>
            </w:r>
          </w:p>
        </w:tc>
        <w:tc>
          <w:tcPr>
            <w:tcW w:w="8471" w:type="dxa"/>
            <w:hideMark/>
          </w:tcPr>
          <w:p w:rsidR="00DE2BF6" w:rsidRPr="00F454D0" w:rsidRDefault="00DE2BF6" w:rsidP="006D7ACC">
            <w:pPr>
              <w:jc w:val="both"/>
              <w:rPr>
                <w:b/>
              </w:rPr>
            </w:pPr>
            <w:r w:rsidRPr="00F454D0">
              <w:rPr>
                <w:b/>
              </w:rPr>
              <w:t xml:space="preserve">Ministerstvo najneskôr do 30 dní odo dňa doručenia žiadosti oznámi žiadateľovi, či budú náklady refundované a ak áno, v akej výške: </w:t>
            </w:r>
          </w:p>
          <w:p w:rsidR="00DE2BF6" w:rsidRPr="00F454D0" w:rsidRDefault="00DE2BF6" w:rsidP="00DE2BF6">
            <w:pPr>
              <w:numPr>
                <w:ilvl w:val="0"/>
                <w:numId w:val="1"/>
              </w:numPr>
              <w:spacing w:after="0"/>
              <w:jc w:val="both"/>
            </w:pPr>
            <w:r w:rsidRPr="00F454D0">
              <w:t xml:space="preserve">ministerstvo môže obmedziť výšku dotácie, alebo ju znížiť, najmä v prípadoch, ak cena ubytovania, použité dopravné prostriedky, cena dopravy, dĺžka pobytu nezodpovedá obvyklým cenám spojených s cestovaním do danej oblasti prostredníctvom verejne dostupných údajov, prípadne, ak je cesta spojená s účasťou aj na iných podujatiach, ktoré nie sú súčasťou súťažného podujatia a z tohto dôvodu je dlhšia ako je potrebné, obmedzí sa refundovanie nákladov na cestovné náhrady na menší počet dní </w:t>
            </w:r>
          </w:p>
          <w:p w:rsidR="00DE2BF6" w:rsidRPr="00F454D0" w:rsidRDefault="00DE2BF6" w:rsidP="00DE2BF6">
            <w:pPr>
              <w:numPr>
                <w:ilvl w:val="0"/>
                <w:numId w:val="1"/>
              </w:numPr>
              <w:spacing w:after="0"/>
              <w:jc w:val="both"/>
            </w:pPr>
            <w:r w:rsidRPr="00F454D0">
              <w:t>v prípade, ak dôjde k predĺženiu cesty na podujatie z  objektívnych dôvodov (problémy spôsobené dopravou, prírodnou katastrofou a pod.), vysoká škola to v žiadosti odôvodní a dôvody preukáže (napr. potvrdením od leteckého dopravcu o zrušení spoja a pod.). Po posúdení uvedených okolností a v prípade voľných finančných prostriedkov ministerstvo takejto žiadosti vyhovie.</w:t>
            </w:r>
          </w:p>
          <w:p w:rsidR="00DE2BF6" w:rsidRPr="00F454D0" w:rsidRDefault="00DE2BF6" w:rsidP="00DE2BF6">
            <w:pPr>
              <w:numPr>
                <w:ilvl w:val="0"/>
                <w:numId w:val="1"/>
              </w:numPr>
              <w:spacing w:after="0"/>
              <w:jc w:val="both"/>
            </w:pPr>
            <w:r w:rsidRPr="00F454D0">
              <w:t>do oprávnených výdavkov vysokej školy sa nezapočítavajú výdavky refundované z iných zdrojov (napr. hradené organizátorom)</w:t>
            </w:r>
          </w:p>
          <w:p w:rsidR="00DE2BF6" w:rsidRPr="00F454D0" w:rsidRDefault="00DE2BF6" w:rsidP="00DE2BF6">
            <w:pPr>
              <w:numPr>
                <w:ilvl w:val="0"/>
                <w:numId w:val="1"/>
              </w:numPr>
              <w:spacing w:after="0"/>
              <w:jc w:val="both"/>
            </w:pPr>
            <w:r w:rsidRPr="00F454D0">
              <w:t>účastník cesty si vyúčtuje cestu na vysokej škole</w:t>
            </w:r>
          </w:p>
          <w:p w:rsidR="00DE2BF6" w:rsidRPr="00F454D0" w:rsidRDefault="00DE2BF6" w:rsidP="00DE2BF6">
            <w:pPr>
              <w:numPr>
                <w:ilvl w:val="0"/>
                <w:numId w:val="1"/>
              </w:numPr>
              <w:spacing w:after="0"/>
              <w:jc w:val="both"/>
            </w:pPr>
            <w:r w:rsidRPr="00F454D0">
              <w:t>pri vyúčtovaní cesty sa postupuje podľa interných pravidiel vysokej školy       (z pohľadu výšky vreckového, kategória použitých dopravných prostriedkov – vlak 1. triedy/2. triedy, možnosť použitia taxi služby, nutné vedľajšie výdavky a pod.)</w:t>
            </w:r>
          </w:p>
        </w:tc>
      </w:tr>
      <w:tr w:rsidR="00DE2BF6" w:rsidRPr="00F454D0" w:rsidTr="006D7ACC">
        <w:trPr>
          <w:trHeight w:val="3426"/>
        </w:trPr>
        <w:tc>
          <w:tcPr>
            <w:tcW w:w="851" w:type="dxa"/>
            <w:hideMark/>
          </w:tcPr>
          <w:p w:rsidR="00DE2BF6" w:rsidRPr="00F454D0" w:rsidRDefault="00DE2BF6" w:rsidP="006D7ACC">
            <w:pPr>
              <w:jc w:val="center"/>
            </w:pPr>
            <w:r w:rsidRPr="00F454D0">
              <w:t>4</w:t>
            </w:r>
          </w:p>
        </w:tc>
        <w:tc>
          <w:tcPr>
            <w:tcW w:w="8471" w:type="dxa"/>
            <w:hideMark/>
          </w:tcPr>
          <w:p w:rsidR="00DE2BF6" w:rsidRPr="00F454D0" w:rsidRDefault="00DE2BF6" w:rsidP="006D7ACC">
            <w:pPr>
              <w:jc w:val="both"/>
              <w:rPr>
                <w:b/>
              </w:rPr>
            </w:pPr>
            <w:r w:rsidRPr="00F454D0">
              <w:rPr>
                <w:b/>
              </w:rPr>
              <w:t>Ministerstvo vykoná refundáciu prostredníctvom navýšenia dotácie pre vysokú školu:</w:t>
            </w:r>
          </w:p>
          <w:p w:rsidR="00DE2BF6" w:rsidRPr="00F454D0" w:rsidRDefault="00DE2BF6" w:rsidP="00DE2BF6">
            <w:pPr>
              <w:numPr>
                <w:ilvl w:val="0"/>
                <w:numId w:val="1"/>
              </w:numPr>
              <w:spacing w:after="0"/>
              <w:jc w:val="both"/>
              <w:rPr>
                <w:b/>
              </w:rPr>
            </w:pPr>
            <w:r w:rsidRPr="00F454D0">
              <w:t xml:space="preserve">v roku 2021 ministerstvo vyčleňuje na úhradu nákladov spojených s účasťou študentov na medzinárodných študentských súťažiach sumu </w:t>
            </w:r>
            <w:r w:rsidRPr="00F454D0">
              <w:rPr>
                <w:b/>
              </w:rPr>
              <w:t>60 000,- €</w:t>
            </w:r>
            <w:r w:rsidRPr="00F454D0">
              <w:t xml:space="preserve"> refundácia je možná najviac do výšky 80 % oprávnených výdavkov                 na cestovné náhrady spojené s účasťou študentov na medzinárodných súťažiach a do vyčerpania finančných prostriedkov určených na dané účely</w:t>
            </w:r>
          </w:p>
          <w:p w:rsidR="00DE2BF6" w:rsidRPr="00F454D0" w:rsidRDefault="00DE2BF6" w:rsidP="00DE2BF6">
            <w:pPr>
              <w:numPr>
                <w:ilvl w:val="0"/>
                <w:numId w:val="1"/>
              </w:numPr>
              <w:spacing w:after="0"/>
              <w:jc w:val="both"/>
              <w:rPr>
                <w:b/>
              </w:rPr>
            </w:pPr>
            <w:r w:rsidRPr="00F454D0">
              <w:t xml:space="preserve">uvedené finančné prostriedky budú vysokým školám poskytnuté jednorazovo vo forme dodatku k dotačnej zmluve v 4. štvrťroku príslušného roka, resp. v 1. štvrťroku nasledujúceho roka. </w:t>
            </w:r>
          </w:p>
        </w:tc>
      </w:tr>
      <w:tr w:rsidR="00DE2BF6" w:rsidRPr="00F454D0" w:rsidTr="006D7ACC">
        <w:trPr>
          <w:trHeight w:val="3426"/>
        </w:trPr>
        <w:tc>
          <w:tcPr>
            <w:tcW w:w="851" w:type="dxa"/>
          </w:tcPr>
          <w:p w:rsidR="00DE2BF6" w:rsidRPr="00F454D0" w:rsidRDefault="00DE2BF6" w:rsidP="006D7ACC">
            <w:pPr>
              <w:jc w:val="center"/>
            </w:pPr>
            <w:r w:rsidRPr="00F454D0">
              <w:lastRenderedPageBreak/>
              <w:t>5</w:t>
            </w:r>
          </w:p>
        </w:tc>
        <w:tc>
          <w:tcPr>
            <w:tcW w:w="8471" w:type="dxa"/>
          </w:tcPr>
          <w:p w:rsidR="00DE2BF6" w:rsidRPr="00F454D0" w:rsidRDefault="00DE2BF6" w:rsidP="006D7ACC">
            <w:pPr>
              <w:jc w:val="both"/>
              <w:rPr>
                <w:b/>
              </w:rPr>
            </w:pPr>
            <w:r w:rsidRPr="00F454D0">
              <w:rPr>
                <w:b/>
              </w:rPr>
              <w:t>Ďalšie podrobnejšie informácie:</w:t>
            </w:r>
          </w:p>
          <w:p w:rsidR="00DE2BF6" w:rsidRPr="00F454D0" w:rsidRDefault="00DE2BF6" w:rsidP="00DE2BF6">
            <w:pPr>
              <w:numPr>
                <w:ilvl w:val="0"/>
                <w:numId w:val="1"/>
              </w:numPr>
              <w:spacing w:after="0"/>
              <w:jc w:val="both"/>
            </w:pPr>
            <w:r w:rsidRPr="00F454D0">
              <w:t>žiadosť o refundáciu môžu podávať len verejné vysoké školy</w:t>
            </w:r>
          </w:p>
          <w:p w:rsidR="00DE2BF6" w:rsidRPr="00F454D0" w:rsidRDefault="00DE2BF6" w:rsidP="00DE2BF6">
            <w:pPr>
              <w:numPr>
                <w:ilvl w:val="0"/>
                <w:numId w:val="1"/>
              </w:numPr>
              <w:spacing w:after="0"/>
              <w:jc w:val="both"/>
            </w:pPr>
            <w:r w:rsidRPr="00F454D0">
              <w:t>pri poskytnutí dotácie má prednosť žiadosť, ktorá bola (elektronicky) doručená skôr, avšak za splnenia podmienok na refundovanie nákladov</w:t>
            </w:r>
          </w:p>
          <w:p w:rsidR="00DE2BF6" w:rsidRPr="00F454D0" w:rsidRDefault="00DE2BF6" w:rsidP="00DE2BF6">
            <w:pPr>
              <w:numPr>
                <w:ilvl w:val="0"/>
                <w:numId w:val="1"/>
              </w:numPr>
              <w:spacing w:after="0"/>
              <w:jc w:val="both"/>
            </w:pPr>
            <w:r w:rsidRPr="00F454D0">
              <w:t xml:space="preserve">po vyčerpaní finančných prostriedkov určených na dané účely, ministerstvo oznámi túto skutočnosť na svojom webovom sídle v časti venovanej financovaniu vysokých škôl. </w:t>
            </w:r>
          </w:p>
          <w:p w:rsidR="00DE2BF6" w:rsidRPr="00F454D0" w:rsidRDefault="00DE2BF6" w:rsidP="00DE2BF6">
            <w:pPr>
              <w:numPr>
                <w:ilvl w:val="0"/>
                <w:numId w:val="1"/>
              </w:numPr>
              <w:spacing w:after="0"/>
              <w:jc w:val="both"/>
            </w:pPr>
            <w:r w:rsidRPr="00F454D0">
              <w:t>po vyčerpaní uvedených finančných prostriedkov budú doručené žiadosti zamietnuté</w:t>
            </w:r>
          </w:p>
          <w:p w:rsidR="00DE2BF6" w:rsidRPr="00F454D0" w:rsidRDefault="00DE2BF6" w:rsidP="00DE2BF6">
            <w:pPr>
              <w:numPr>
                <w:ilvl w:val="0"/>
                <w:numId w:val="1"/>
              </w:numPr>
              <w:spacing w:after="0"/>
              <w:jc w:val="both"/>
            </w:pPr>
            <w:r w:rsidRPr="00F454D0">
              <w:t>v prípade dodatočného navýšenia objemu finančných prostriedkov určených na dané účely sa ministerstvo bude zamietnutými žiadosťami opätovne zaoberať</w:t>
            </w:r>
          </w:p>
          <w:p w:rsidR="00DE2BF6" w:rsidRPr="00F454D0" w:rsidRDefault="00DE2BF6" w:rsidP="00DE2BF6">
            <w:pPr>
              <w:numPr>
                <w:ilvl w:val="0"/>
                <w:numId w:val="1"/>
              </w:numPr>
              <w:spacing w:after="0"/>
              <w:jc w:val="both"/>
            </w:pPr>
            <w:r w:rsidRPr="00F454D0">
              <w:t>žiadosti sa musia týkať len tých podujatí, ktoré sa uskutočnili v roku 2021</w:t>
            </w:r>
          </w:p>
          <w:p w:rsidR="00DE2BF6" w:rsidRPr="00F454D0" w:rsidRDefault="00DE2BF6" w:rsidP="00DE2BF6">
            <w:pPr>
              <w:numPr>
                <w:ilvl w:val="0"/>
                <w:numId w:val="1"/>
              </w:numPr>
              <w:spacing w:after="0"/>
              <w:jc w:val="both"/>
            </w:pPr>
            <w:r w:rsidRPr="00F454D0">
              <w:t xml:space="preserve">pod pojmom „podujatie“ sa rozumie účasť študentov na medzinárodnej súťaži, na ktorej súťažia jednotlivci alebo kolektívy, pričom využívajú vedomosti, ktoré majú priamy súvis s ich štúdiom na vysokej škole (nepatrí sem účasť na šachových turnajoch, športových podujatiach, súťažiach v rámci iných voľno časových aktivít – napr. folklórne, spevácke, tanečné súbory pri vysokých školách, ak nejde o súťaž študentov umeleckých študijných odborov). </w:t>
            </w:r>
          </w:p>
          <w:p w:rsidR="00DE2BF6" w:rsidRPr="00F454D0" w:rsidRDefault="00DE2BF6" w:rsidP="00DE2BF6">
            <w:pPr>
              <w:numPr>
                <w:ilvl w:val="0"/>
                <w:numId w:val="1"/>
              </w:numPr>
              <w:spacing w:after="0"/>
              <w:jc w:val="both"/>
            </w:pPr>
            <w:r w:rsidRPr="00F454D0">
              <w:t>pri medzinárodných súťažiach sa vyžaduje, aby podujatie bolo výberové, to znamená, že účasti na podujatí štandardne predchádza národné kolo, resp. iná forma výberu. Ak je podujatie otvorené, očakáva sa, že vysoká škola zorganizovala školské/fakultné kolo a na podujatie vysiela len víťazov školského/fakultného kola, príp. je účasť inak limitovaná a výberová, resp. vysoká škola relevantne odôvodní, prečo vysiela práve vybraných študentov,</w:t>
            </w:r>
          </w:p>
          <w:p w:rsidR="00DE2BF6" w:rsidRPr="00F454D0" w:rsidRDefault="00DE2BF6" w:rsidP="00DE2BF6">
            <w:pPr>
              <w:numPr>
                <w:ilvl w:val="0"/>
                <w:numId w:val="1"/>
              </w:numPr>
              <w:spacing w:after="0"/>
              <w:jc w:val="both"/>
            </w:pPr>
            <w:r w:rsidRPr="00F454D0">
              <w:t>v prípade, že sa cesty na medzinárodnú súťaž zúčastnil aj sprievod zo strany zamestnancov vysokej školy, pričom nie je možné jednoznačne vymedziť výdavky zamestnancov a študentov (napr. pri spoločnom použití taxislužby, hromadných vstupoch a pod.), výdavky sa rozpočítajú parciálne medzi jednotlivé osoby a refundácia je možná len do výšky nákladov študentov.</w:t>
            </w:r>
          </w:p>
          <w:p w:rsidR="00DE2BF6" w:rsidRPr="00F454D0" w:rsidRDefault="00DE2BF6" w:rsidP="00DE2BF6">
            <w:pPr>
              <w:numPr>
                <w:ilvl w:val="0"/>
                <w:numId w:val="1"/>
              </w:numPr>
              <w:spacing w:after="0"/>
              <w:jc w:val="both"/>
            </w:pPr>
            <w:r w:rsidRPr="00F454D0">
              <w:t>nie je možné žiadať o refundáciu nákladov za študenta, ktorý nebol súťažiacim, ale len dozorom alebo spoluorganizátorom (napr. študent doktorandského štúdia, ktorý sprevádza študentov bakalárskeho štúdia, ale nie je súťažiacim alebo členom súťažného tímu).</w:t>
            </w:r>
          </w:p>
          <w:p w:rsidR="00DE2BF6" w:rsidRPr="00F454D0" w:rsidRDefault="00DE2BF6" w:rsidP="00DE2BF6">
            <w:pPr>
              <w:numPr>
                <w:ilvl w:val="0"/>
                <w:numId w:val="1"/>
              </w:numPr>
              <w:spacing w:after="0"/>
              <w:jc w:val="both"/>
            </w:pPr>
            <w:r w:rsidRPr="00F454D0">
              <w:t>samotné doklady alebo ich kópie sa nepredkladajú; to nevylučuje, že ministerstvo vykoná ich kontrolu na mieste v rámci kontroly na vysokej škole. V prípade potreby si ministerstvo vyžiada podrobnejšie informácie/resp. kópiu dokladov.</w:t>
            </w:r>
          </w:p>
          <w:p w:rsidR="00DE2BF6" w:rsidRPr="00F454D0" w:rsidRDefault="00DE2BF6" w:rsidP="00DE2BF6">
            <w:pPr>
              <w:numPr>
                <w:ilvl w:val="0"/>
                <w:numId w:val="1"/>
              </w:numPr>
              <w:spacing w:after="0"/>
              <w:jc w:val="both"/>
            </w:pPr>
            <w:r w:rsidRPr="00F454D0">
              <w:t xml:space="preserve">žiadosť o refundáciu, ktorá bude doručená po 1. novembri 2021 (vrátane), sa už nemusí spracovať a nie je pri nej záruka poskytnutia refundácie. Ministerstvo oznámi vysokej škole, či refundáciu poskytne alebo nie. </w:t>
            </w:r>
          </w:p>
          <w:p w:rsidR="00DE2BF6" w:rsidRPr="00F454D0" w:rsidRDefault="00DE2BF6" w:rsidP="00DE2BF6">
            <w:pPr>
              <w:numPr>
                <w:ilvl w:val="0"/>
                <w:numId w:val="1"/>
              </w:numPr>
              <w:spacing w:after="0"/>
              <w:jc w:val="both"/>
            </w:pPr>
            <w:r w:rsidRPr="00F454D0">
              <w:t>vysoká škola deklaruje, že pri zúčtovaní zohľadňovala efektívnosť vynaložených prostriedkov (napr. využitie lacnejšej formy prepravy</w:t>
            </w:r>
            <w:r w:rsidRPr="00F454D0">
              <w:rPr>
                <w:vertAlign w:val="superscript"/>
              </w:rPr>
              <w:footnoteReference w:id="2"/>
            </w:r>
            <w:r w:rsidRPr="00F454D0">
              <w:rPr>
                <w:vertAlign w:val="superscript"/>
              </w:rPr>
              <w:t>)</w:t>
            </w:r>
            <w:r w:rsidRPr="00F454D0">
              <w:t xml:space="preserve"> a pod.) </w:t>
            </w:r>
          </w:p>
          <w:p w:rsidR="00DE2BF6" w:rsidRPr="00F454D0" w:rsidRDefault="00DE2BF6" w:rsidP="00DE2BF6">
            <w:pPr>
              <w:numPr>
                <w:ilvl w:val="0"/>
                <w:numId w:val="1"/>
              </w:numPr>
              <w:spacing w:after="0"/>
              <w:jc w:val="both"/>
            </w:pPr>
            <w:r w:rsidRPr="00F454D0">
              <w:t xml:space="preserve">pri medzinárodných súťažiach sú náklady určené výhradne na cestovné náhrady (vreckové a diéty), cestovné poistenie, náklady na ubytovanie, nutné vedľajšie výdavky – miestna doprava, registračné poplatky, výdavky na víza </w:t>
            </w:r>
            <w:r w:rsidRPr="00F454D0">
              <w:lastRenderedPageBreak/>
              <w:t>a pod. Štandardne sa nezohľadňujú telekomunikačné služby, preprava materiálov a pod.</w:t>
            </w:r>
          </w:p>
          <w:p w:rsidR="00DE2BF6" w:rsidRPr="00F454D0" w:rsidRDefault="00DE2BF6" w:rsidP="00DE2BF6">
            <w:pPr>
              <w:numPr>
                <w:ilvl w:val="0"/>
                <w:numId w:val="1"/>
              </w:numPr>
              <w:spacing w:after="0"/>
              <w:jc w:val="both"/>
            </w:pPr>
            <w:r w:rsidRPr="00F454D0">
              <w:t>vysoká škola v žiadosti o refundáciu v časti „Informácia o výsledkoch cesty“ uvádza stručnú informáciu o priebehu podujatia a tiež celkový počet účastníkov, umiestnenie účastníkov, ktorých cesta sa refunduje (ak sa súťažilo v kategóriách, s vymedzením takýchto kategórií). Ak účastníci postupujú do ďalšieho kola, uvádza sa tiež informácia o tomto postupe a odkaz na webovú stránku, kde je možné získať ďalšie informácie.</w:t>
            </w:r>
          </w:p>
          <w:p w:rsidR="00DE2BF6" w:rsidRPr="00F454D0" w:rsidRDefault="00DE2BF6" w:rsidP="00DE2BF6">
            <w:pPr>
              <w:numPr>
                <w:ilvl w:val="0"/>
                <w:numId w:val="1"/>
              </w:numPr>
              <w:spacing w:after="0"/>
              <w:jc w:val="both"/>
            </w:pPr>
            <w:r w:rsidRPr="00F454D0">
              <w:t>ak vysoká škola v žiadosti alebo v iných dokumentoch uvedie osobné údaje fyzických osôb, považuje sa to za jej súhlas s ich sprístupnením ministerstvu. Proces je nastavený tak, že žiadne osobné údaje fyzických osôb sa nevyžadujú.</w:t>
            </w:r>
          </w:p>
          <w:p w:rsidR="00DE2BF6" w:rsidRPr="00F454D0" w:rsidRDefault="00DE2BF6" w:rsidP="00DE2BF6">
            <w:pPr>
              <w:numPr>
                <w:ilvl w:val="0"/>
                <w:numId w:val="1"/>
              </w:numPr>
              <w:spacing w:after="0"/>
              <w:jc w:val="both"/>
            </w:pPr>
            <w:r w:rsidRPr="00F454D0">
              <w:t>prípadné nejasnosti rieši ministerstvo obvykle telefonicky alebo elektronickou poštou. Ak si to povaha veci vyžiada, ministerstvo si vyžiada k zúčtovaniu                 (pred refundáciou) aj ďalšie dokumenty.</w:t>
            </w:r>
          </w:p>
          <w:p w:rsidR="00DE2BF6" w:rsidRPr="00F454D0" w:rsidRDefault="00DE2BF6" w:rsidP="00DE2BF6">
            <w:pPr>
              <w:numPr>
                <w:ilvl w:val="0"/>
                <w:numId w:val="1"/>
              </w:numPr>
              <w:spacing w:after="0"/>
              <w:jc w:val="both"/>
            </w:pPr>
            <w:r w:rsidRPr="00F454D0">
              <w:t>ak nie sú zistené nezrovnalosti a vec je možné uzavrieť, refundácia sa vykoná poskytnutím dotácie prostredníctvom dodatku k dotačnej zmluve (úprava je štandardne začlenená do iného dodatku k dotačnej zmluve a nie je sama o sebe dôvodom na iniciovanie uzatvorenia dodatku k dotačnej zmluve)</w:t>
            </w:r>
          </w:p>
        </w:tc>
      </w:tr>
      <w:tr w:rsidR="00DE2BF6" w:rsidRPr="00F454D0" w:rsidTr="006D7ACC">
        <w:trPr>
          <w:trHeight w:val="410"/>
        </w:trPr>
        <w:tc>
          <w:tcPr>
            <w:tcW w:w="851" w:type="dxa"/>
          </w:tcPr>
          <w:p w:rsidR="00DE2BF6" w:rsidRPr="00F454D0" w:rsidRDefault="00DE2BF6" w:rsidP="006D7ACC">
            <w:pPr>
              <w:jc w:val="center"/>
            </w:pPr>
            <w:r w:rsidRPr="00F454D0">
              <w:lastRenderedPageBreak/>
              <w:t>6</w:t>
            </w:r>
          </w:p>
        </w:tc>
        <w:tc>
          <w:tcPr>
            <w:tcW w:w="8471" w:type="dxa"/>
          </w:tcPr>
          <w:p w:rsidR="00DE2BF6" w:rsidRPr="00F454D0" w:rsidRDefault="00DE2BF6" w:rsidP="006D7ACC">
            <w:pPr>
              <w:jc w:val="both"/>
              <w:rPr>
                <w:b/>
              </w:rPr>
            </w:pPr>
            <w:r w:rsidRPr="00F454D0">
              <w:rPr>
                <w:b/>
              </w:rPr>
              <w:t>Vyrozumenie žiadateľa a určenie maximálnej výšky refundácie:</w:t>
            </w:r>
          </w:p>
          <w:p w:rsidR="00DE2BF6" w:rsidRPr="00F454D0" w:rsidRDefault="00DE2BF6" w:rsidP="00DE2BF6">
            <w:pPr>
              <w:numPr>
                <w:ilvl w:val="0"/>
                <w:numId w:val="1"/>
              </w:numPr>
              <w:spacing w:after="0"/>
              <w:jc w:val="both"/>
            </w:pPr>
            <w:r w:rsidRPr="00F454D0">
              <w:t xml:space="preserve">ak sú splnené podmienky na refundovanie, ministerstvo oznámi žiadateľovi do akej maximálnej výšky bude refundovať výdavky spojené s účasťou </w:t>
            </w:r>
            <w:r w:rsidRPr="00F454D0">
              <w:br/>
              <w:t xml:space="preserve">na podujatí, </w:t>
            </w:r>
          </w:p>
          <w:p w:rsidR="00DE2BF6" w:rsidRPr="00F454D0" w:rsidRDefault="00DE2BF6" w:rsidP="00DE2BF6">
            <w:pPr>
              <w:numPr>
                <w:ilvl w:val="0"/>
                <w:numId w:val="1"/>
              </w:numPr>
              <w:spacing w:after="0"/>
              <w:jc w:val="both"/>
            </w:pPr>
            <w:r w:rsidRPr="00F454D0">
              <w:t xml:space="preserve">maximálna výška refundovaných výdavkov bude predstavovať 80 % oprávnených výdavkov v zmysle predloženej žiadosti. Nezohľadňujú sa výdavky, ktoré prepláca/uhrádza organizátor podujatia alebo jeho partner (napr. ak náklady na ubytovanie hradí organizátor/jeho sponzor, náklady na letenku a pod.). </w:t>
            </w:r>
          </w:p>
          <w:p w:rsidR="00DE2BF6" w:rsidRPr="00F454D0" w:rsidRDefault="00DE2BF6" w:rsidP="00DE2BF6">
            <w:pPr>
              <w:numPr>
                <w:ilvl w:val="0"/>
                <w:numId w:val="1"/>
              </w:numPr>
              <w:spacing w:after="0"/>
              <w:jc w:val="both"/>
            </w:pPr>
            <w:r w:rsidRPr="00F454D0">
              <w:t>vysoká škola môže požadovať aj refundáciu nižšiu ako 80 %, napr. ak sa                  na financovaní účasti, resp. podujatia podieľajú ďalší sponzori a pod. (napr. ak sú výdavky spojené s účasťou 1 000,- eur, pričom vysoká škola získala na tento účel sponzorsky 500,- eur, vysoká škola môže požiadať maximálne o refundáciu do výšky 50 %.) V zásade je na vysokej škole, aby sa dohodla s darcom na použití daru, nie je však možné, aby na ten istý výdavok bolo vykázané použitie napr. daru a dotácie zo strany ministerstva.</w:t>
            </w:r>
          </w:p>
          <w:p w:rsidR="00DE2BF6" w:rsidRPr="00F454D0" w:rsidRDefault="00DE2BF6" w:rsidP="00DE2BF6">
            <w:pPr>
              <w:numPr>
                <w:ilvl w:val="0"/>
                <w:numId w:val="1"/>
              </w:numPr>
              <w:spacing w:after="0"/>
              <w:jc w:val="both"/>
            </w:pPr>
            <w:r w:rsidRPr="00F454D0">
              <w:t>ministerstvo zníži mieru refundácie, ak nie je možné vyhovieť v plnej výške z dôvodu zostatkovej sumy ministerstva na tento účel.</w:t>
            </w:r>
          </w:p>
        </w:tc>
      </w:tr>
    </w:tbl>
    <w:p w:rsidR="00DE2BF6" w:rsidRDefault="00DE2BF6" w:rsidP="00DE2BF6">
      <w:pPr>
        <w:spacing w:line="276" w:lineRule="auto"/>
        <w:jc w:val="both"/>
        <w:rPr>
          <w:b/>
        </w:rPr>
      </w:pPr>
      <w:r>
        <w:rPr>
          <w:b/>
        </w:rPr>
        <w:br w:type="page"/>
      </w:r>
    </w:p>
    <w:p w:rsidR="00DE2BF6" w:rsidRPr="00F454D0" w:rsidRDefault="00DE2BF6" w:rsidP="00DE2BF6">
      <w:pPr>
        <w:spacing w:line="276" w:lineRule="auto"/>
        <w:jc w:val="both"/>
        <w:rPr>
          <w:b/>
        </w:rPr>
      </w:pPr>
      <w:r w:rsidRPr="00F454D0">
        <w:rPr>
          <w:b/>
        </w:rPr>
        <w:lastRenderedPageBreak/>
        <w:t>Príloha A – Žiadosť o refundáciu – úhradu</w:t>
      </w:r>
      <w:r w:rsidRPr="00F454D0">
        <w:t xml:space="preserve"> </w:t>
      </w:r>
      <w:r w:rsidRPr="00F454D0">
        <w:rPr>
          <w:b/>
        </w:rPr>
        <w:t>nákladov VŠ spojených s účasťou študentov na medzinárodných študentských súťažiach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9"/>
        <w:gridCol w:w="4773"/>
      </w:tblGrid>
      <w:tr w:rsidR="00DE2BF6" w:rsidRPr="00F454D0" w:rsidTr="006D7ACC">
        <w:tc>
          <w:tcPr>
            <w:tcW w:w="4361" w:type="dxa"/>
            <w:hideMark/>
          </w:tcPr>
          <w:p w:rsidR="00DE2BF6" w:rsidRPr="00F454D0" w:rsidRDefault="00DE2BF6" w:rsidP="006D7ACC">
            <w:pPr>
              <w:spacing w:line="276" w:lineRule="auto"/>
              <w:jc w:val="both"/>
              <w:rPr>
                <w:b/>
              </w:rPr>
            </w:pPr>
            <w:r w:rsidRPr="00F454D0">
              <w:rPr>
                <w:b/>
              </w:rPr>
              <w:t>Názov vysokej školy</w:t>
            </w:r>
          </w:p>
        </w:tc>
        <w:tc>
          <w:tcPr>
            <w:tcW w:w="4851" w:type="dxa"/>
            <w:hideMark/>
          </w:tcPr>
          <w:p w:rsidR="00DE2BF6" w:rsidRPr="00F454D0" w:rsidRDefault="00DE2BF6" w:rsidP="006D7ACC">
            <w:pPr>
              <w:spacing w:line="276" w:lineRule="auto"/>
              <w:jc w:val="both"/>
              <w:rPr>
                <w:i/>
              </w:rPr>
            </w:pPr>
          </w:p>
        </w:tc>
      </w:tr>
      <w:tr w:rsidR="00DE2BF6" w:rsidRPr="00F454D0" w:rsidTr="006D7ACC">
        <w:tc>
          <w:tcPr>
            <w:tcW w:w="4361" w:type="dxa"/>
          </w:tcPr>
          <w:p w:rsidR="00DE2BF6" w:rsidRPr="00F454D0" w:rsidRDefault="00DE2BF6" w:rsidP="006D7ACC">
            <w:pPr>
              <w:spacing w:line="276" w:lineRule="auto"/>
              <w:jc w:val="both"/>
              <w:rPr>
                <w:b/>
              </w:rPr>
            </w:pPr>
            <w:r w:rsidRPr="00F454D0">
              <w:rPr>
                <w:b/>
              </w:rPr>
              <w:t>Adresa vysokej školy a jej IČO:</w:t>
            </w:r>
          </w:p>
        </w:tc>
        <w:tc>
          <w:tcPr>
            <w:tcW w:w="4851" w:type="dxa"/>
          </w:tcPr>
          <w:p w:rsidR="00DE2BF6" w:rsidRPr="00F454D0" w:rsidRDefault="00DE2BF6" w:rsidP="006D7ACC">
            <w:pPr>
              <w:spacing w:line="276" w:lineRule="auto"/>
              <w:jc w:val="both"/>
              <w:rPr>
                <w:i/>
              </w:rPr>
            </w:pPr>
          </w:p>
        </w:tc>
      </w:tr>
      <w:tr w:rsidR="00DE2BF6" w:rsidRPr="00F454D0" w:rsidTr="006D7ACC">
        <w:tc>
          <w:tcPr>
            <w:tcW w:w="4361" w:type="dxa"/>
          </w:tcPr>
          <w:p w:rsidR="00DE2BF6" w:rsidRPr="00F454D0" w:rsidRDefault="00DE2BF6" w:rsidP="006D7ACC">
            <w:pPr>
              <w:spacing w:line="276" w:lineRule="auto"/>
              <w:jc w:val="both"/>
              <w:rPr>
                <w:b/>
              </w:rPr>
            </w:pPr>
            <w:r w:rsidRPr="00F454D0">
              <w:rPr>
                <w:b/>
              </w:rPr>
              <w:t>Relevantnosť účasti súvisí so štúdiom účastníka</w:t>
            </w:r>
          </w:p>
        </w:tc>
        <w:tc>
          <w:tcPr>
            <w:tcW w:w="4851" w:type="dxa"/>
          </w:tcPr>
          <w:p w:rsidR="00DE2BF6" w:rsidRPr="00F454D0" w:rsidRDefault="00DE2BF6" w:rsidP="006D7ACC">
            <w:pPr>
              <w:spacing w:line="276" w:lineRule="auto"/>
              <w:jc w:val="both"/>
              <w:rPr>
                <w:i/>
              </w:rPr>
            </w:pPr>
            <w:r w:rsidRPr="00F454D0">
              <w:rPr>
                <w:i/>
              </w:rPr>
              <w:t>Áno/Nie</w:t>
            </w:r>
          </w:p>
        </w:tc>
      </w:tr>
      <w:tr w:rsidR="00DE2BF6" w:rsidRPr="00F454D0" w:rsidTr="006D7ACC">
        <w:tc>
          <w:tcPr>
            <w:tcW w:w="4361" w:type="dxa"/>
          </w:tcPr>
          <w:p w:rsidR="00DE2BF6" w:rsidRPr="00F454D0" w:rsidRDefault="00DE2BF6" w:rsidP="006D7ACC">
            <w:pPr>
              <w:spacing w:line="276" w:lineRule="auto"/>
              <w:jc w:val="both"/>
              <w:rPr>
                <w:b/>
              </w:rPr>
            </w:pPr>
            <w:r w:rsidRPr="00F454D0">
              <w:rPr>
                <w:b/>
              </w:rPr>
              <w:t>Názov študijného programu</w:t>
            </w:r>
          </w:p>
        </w:tc>
        <w:tc>
          <w:tcPr>
            <w:tcW w:w="4851" w:type="dxa"/>
          </w:tcPr>
          <w:p w:rsidR="00DE2BF6" w:rsidRPr="00F454D0" w:rsidRDefault="00DE2BF6" w:rsidP="006D7ACC">
            <w:pPr>
              <w:spacing w:line="276" w:lineRule="auto"/>
              <w:jc w:val="both"/>
              <w:rPr>
                <w:i/>
              </w:rPr>
            </w:pPr>
            <w:r w:rsidRPr="00F454D0">
              <w:rPr>
                <w:i/>
              </w:rPr>
              <w:t>Ak sú potrebné ďalšie riadky (napríklad študenti sú z rôznych programov), vložte ich</w:t>
            </w:r>
          </w:p>
        </w:tc>
      </w:tr>
      <w:tr w:rsidR="00DE2BF6" w:rsidRPr="00F454D0" w:rsidTr="006D7ACC">
        <w:tc>
          <w:tcPr>
            <w:tcW w:w="4361" w:type="dxa"/>
          </w:tcPr>
          <w:p w:rsidR="00DE2BF6" w:rsidRPr="00F454D0" w:rsidRDefault="00DE2BF6" w:rsidP="006D7ACC">
            <w:pPr>
              <w:spacing w:line="276" w:lineRule="auto"/>
              <w:jc w:val="both"/>
              <w:rPr>
                <w:b/>
              </w:rPr>
            </w:pPr>
            <w:r w:rsidRPr="00F454D0">
              <w:rPr>
                <w:b/>
              </w:rPr>
              <w:t>Názov študijného odboru alebo kombinácia študijných odborov</w:t>
            </w:r>
          </w:p>
        </w:tc>
        <w:tc>
          <w:tcPr>
            <w:tcW w:w="4851" w:type="dxa"/>
          </w:tcPr>
          <w:p w:rsidR="00DE2BF6" w:rsidRPr="00F454D0" w:rsidRDefault="00DE2BF6" w:rsidP="006D7ACC">
            <w:pPr>
              <w:spacing w:line="276" w:lineRule="auto"/>
              <w:jc w:val="both"/>
              <w:rPr>
                <w:i/>
              </w:rPr>
            </w:pPr>
          </w:p>
        </w:tc>
      </w:tr>
      <w:tr w:rsidR="00DE2BF6" w:rsidRPr="00F454D0" w:rsidTr="006D7ACC">
        <w:tc>
          <w:tcPr>
            <w:tcW w:w="4361" w:type="dxa"/>
          </w:tcPr>
          <w:p w:rsidR="00DE2BF6" w:rsidRPr="00F454D0" w:rsidRDefault="00DE2BF6" w:rsidP="006D7ACC">
            <w:pPr>
              <w:spacing w:line="276" w:lineRule="auto"/>
              <w:jc w:val="both"/>
              <w:rPr>
                <w:b/>
              </w:rPr>
            </w:pPr>
            <w:r w:rsidRPr="00F454D0">
              <w:rPr>
                <w:b/>
              </w:rPr>
              <w:t>Stupeň štúdia</w:t>
            </w:r>
          </w:p>
        </w:tc>
        <w:tc>
          <w:tcPr>
            <w:tcW w:w="4851" w:type="dxa"/>
          </w:tcPr>
          <w:p w:rsidR="00DE2BF6" w:rsidRPr="00F454D0" w:rsidRDefault="00DE2BF6" w:rsidP="006D7ACC">
            <w:pPr>
              <w:spacing w:line="276" w:lineRule="auto"/>
              <w:jc w:val="both"/>
              <w:rPr>
                <w:i/>
              </w:rPr>
            </w:pPr>
            <w:r w:rsidRPr="00F454D0">
              <w:rPr>
                <w:i/>
              </w:rPr>
              <w:t>1,2,3</w:t>
            </w:r>
          </w:p>
        </w:tc>
      </w:tr>
      <w:tr w:rsidR="00DE2BF6" w:rsidRPr="00F454D0" w:rsidTr="006D7ACC">
        <w:tc>
          <w:tcPr>
            <w:tcW w:w="4361" w:type="dxa"/>
          </w:tcPr>
          <w:p w:rsidR="00DE2BF6" w:rsidRPr="00F454D0" w:rsidRDefault="00DE2BF6" w:rsidP="006D7ACC">
            <w:pPr>
              <w:spacing w:line="276" w:lineRule="auto"/>
              <w:jc w:val="both"/>
              <w:rPr>
                <w:b/>
              </w:rPr>
            </w:pPr>
            <w:r w:rsidRPr="00F454D0">
              <w:rPr>
                <w:b/>
              </w:rPr>
              <w:t>Počet študentov</w:t>
            </w:r>
          </w:p>
        </w:tc>
        <w:tc>
          <w:tcPr>
            <w:tcW w:w="4851" w:type="dxa"/>
          </w:tcPr>
          <w:p w:rsidR="00DE2BF6" w:rsidRPr="00F454D0" w:rsidRDefault="00DE2BF6" w:rsidP="006D7ACC">
            <w:pPr>
              <w:spacing w:line="276" w:lineRule="auto"/>
              <w:jc w:val="both"/>
              <w:rPr>
                <w:i/>
              </w:rPr>
            </w:pPr>
            <w:r w:rsidRPr="00F454D0">
              <w:rPr>
                <w:i/>
              </w:rPr>
              <w:t xml:space="preserve">Uveďte počet študentov v danom programe a stupni, ktorí sa daného podujatia zúčastnili. Ďalej uveďte, či sa študenti zúčastnili podujatia ako </w:t>
            </w:r>
            <w:r w:rsidRPr="00F454D0">
              <w:rPr>
                <w:b/>
                <w:i/>
              </w:rPr>
              <w:t>jednotlivci/ako jeden tím/ako niekoľko tímov</w:t>
            </w:r>
            <w:r w:rsidRPr="00F454D0">
              <w:rPr>
                <w:i/>
              </w:rPr>
              <w:t xml:space="preserve"> (ponechajte len relevantnú informáciu).</w:t>
            </w:r>
          </w:p>
        </w:tc>
      </w:tr>
      <w:tr w:rsidR="00DE2BF6" w:rsidRPr="00F454D0" w:rsidTr="006D7ACC">
        <w:tc>
          <w:tcPr>
            <w:tcW w:w="4361" w:type="dxa"/>
          </w:tcPr>
          <w:p w:rsidR="00DE2BF6" w:rsidRPr="00F454D0" w:rsidRDefault="00DE2BF6" w:rsidP="006D7ACC">
            <w:pPr>
              <w:spacing w:line="276" w:lineRule="auto"/>
              <w:jc w:val="both"/>
              <w:rPr>
                <w:b/>
              </w:rPr>
            </w:pPr>
            <w:r w:rsidRPr="00F454D0">
              <w:rPr>
                <w:b/>
              </w:rPr>
              <w:t>Názov podujatia</w:t>
            </w:r>
          </w:p>
        </w:tc>
        <w:tc>
          <w:tcPr>
            <w:tcW w:w="4851" w:type="dxa"/>
          </w:tcPr>
          <w:p w:rsidR="00DE2BF6" w:rsidRPr="00F454D0" w:rsidRDefault="00DE2BF6" w:rsidP="006D7ACC">
            <w:pPr>
              <w:spacing w:line="276" w:lineRule="auto"/>
              <w:jc w:val="both"/>
              <w:rPr>
                <w:i/>
              </w:rPr>
            </w:pPr>
            <w:r w:rsidRPr="00F454D0">
              <w:rPr>
                <w:i/>
              </w:rPr>
              <w:t>Uveďte názov podujatia, ktorého sa týka refundácia</w:t>
            </w:r>
          </w:p>
        </w:tc>
      </w:tr>
      <w:tr w:rsidR="00DE2BF6" w:rsidRPr="00F454D0" w:rsidTr="006D7ACC">
        <w:tc>
          <w:tcPr>
            <w:tcW w:w="4361" w:type="dxa"/>
          </w:tcPr>
          <w:p w:rsidR="00DE2BF6" w:rsidRPr="00F454D0" w:rsidRDefault="00DE2BF6" w:rsidP="006D7ACC">
            <w:pPr>
              <w:spacing w:line="276" w:lineRule="auto"/>
              <w:jc w:val="both"/>
              <w:rPr>
                <w:b/>
              </w:rPr>
            </w:pPr>
            <w:r w:rsidRPr="00F454D0">
              <w:rPr>
                <w:b/>
              </w:rPr>
              <w:t>Organizátor podujatia</w:t>
            </w:r>
          </w:p>
        </w:tc>
        <w:tc>
          <w:tcPr>
            <w:tcW w:w="4851" w:type="dxa"/>
          </w:tcPr>
          <w:p w:rsidR="00DE2BF6" w:rsidRPr="00F454D0" w:rsidRDefault="00DE2BF6" w:rsidP="006D7ACC">
            <w:pPr>
              <w:spacing w:line="276" w:lineRule="auto"/>
              <w:jc w:val="both"/>
              <w:rPr>
                <w:i/>
              </w:rPr>
            </w:pPr>
          </w:p>
        </w:tc>
      </w:tr>
      <w:tr w:rsidR="00DE2BF6" w:rsidRPr="00F454D0" w:rsidTr="006D7ACC">
        <w:tc>
          <w:tcPr>
            <w:tcW w:w="4361" w:type="dxa"/>
            <w:hideMark/>
          </w:tcPr>
          <w:p w:rsidR="00DE2BF6" w:rsidRPr="00F454D0" w:rsidRDefault="00DE2BF6" w:rsidP="006D7ACC">
            <w:pPr>
              <w:spacing w:line="276" w:lineRule="auto"/>
              <w:jc w:val="both"/>
              <w:rPr>
                <w:b/>
              </w:rPr>
            </w:pPr>
            <w:r w:rsidRPr="00F454D0">
              <w:rPr>
                <w:b/>
              </w:rPr>
              <w:t>Termín a miesto konania podujatia</w:t>
            </w:r>
          </w:p>
        </w:tc>
        <w:tc>
          <w:tcPr>
            <w:tcW w:w="4851" w:type="dxa"/>
          </w:tcPr>
          <w:p w:rsidR="00DE2BF6" w:rsidRPr="00F454D0" w:rsidRDefault="00DE2BF6" w:rsidP="006D7ACC">
            <w:pPr>
              <w:spacing w:line="276" w:lineRule="auto"/>
              <w:jc w:val="both"/>
              <w:rPr>
                <w:i/>
              </w:rPr>
            </w:pPr>
            <w:r w:rsidRPr="00F454D0">
              <w:rPr>
                <w:i/>
              </w:rPr>
              <w:t>Termín + mesto a štát</w:t>
            </w:r>
          </w:p>
        </w:tc>
      </w:tr>
      <w:tr w:rsidR="00DE2BF6" w:rsidRPr="00F454D0" w:rsidTr="006D7ACC">
        <w:tc>
          <w:tcPr>
            <w:tcW w:w="4361" w:type="dxa"/>
          </w:tcPr>
          <w:p w:rsidR="00DE2BF6" w:rsidRPr="00F454D0" w:rsidRDefault="00DE2BF6" w:rsidP="006D7ACC">
            <w:pPr>
              <w:spacing w:line="276" w:lineRule="auto"/>
              <w:jc w:val="both"/>
              <w:rPr>
                <w:b/>
              </w:rPr>
            </w:pPr>
            <w:r w:rsidRPr="00F454D0">
              <w:rPr>
                <w:b/>
              </w:rPr>
              <w:t>Ďalšie informácie a stručná charakteristika podujatia</w:t>
            </w:r>
          </w:p>
        </w:tc>
        <w:tc>
          <w:tcPr>
            <w:tcW w:w="4851" w:type="dxa"/>
          </w:tcPr>
          <w:p w:rsidR="00DE2BF6" w:rsidRPr="00F454D0" w:rsidRDefault="00DE2BF6" w:rsidP="006D7ACC">
            <w:pPr>
              <w:spacing w:line="276" w:lineRule="auto"/>
              <w:jc w:val="both"/>
              <w:rPr>
                <w:i/>
              </w:rPr>
            </w:pPr>
            <w:r w:rsidRPr="00F454D0">
              <w:rPr>
                <w:i/>
              </w:rPr>
              <w:t>Napr. webová stránka organizátora s ďalšími informáciami o podujatí. Ďalej stručne uveďte, čo je predmetom podujatia, ak je potrebné, objasnite súvis podujatia so štúdiom študenta/študentov</w:t>
            </w:r>
          </w:p>
        </w:tc>
      </w:tr>
      <w:tr w:rsidR="00DE2BF6" w:rsidRPr="00F454D0" w:rsidTr="006D7ACC">
        <w:tc>
          <w:tcPr>
            <w:tcW w:w="4361" w:type="dxa"/>
          </w:tcPr>
          <w:p w:rsidR="00DE2BF6" w:rsidRPr="00F454D0" w:rsidRDefault="00DE2BF6" w:rsidP="006D7ACC">
            <w:pPr>
              <w:spacing w:line="276" w:lineRule="auto"/>
              <w:jc w:val="both"/>
              <w:rPr>
                <w:b/>
              </w:rPr>
            </w:pPr>
            <w:r w:rsidRPr="00F454D0">
              <w:rPr>
                <w:b/>
              </w:rPr>
              <w:t>Podmienky postupu</w:t>
            </w:r>
          </w:p>
        </w:tc>
        <w:tc>
          <w:tcPr>
            <w:tcW w:w="4851" w:type="dxa"/>
          </w:tcPr>
          <w:p w:rsidR="00DE2BF6" w:rsidRPr="00F454D0" w:rsidRDefault="00DE2BF6" w:rsidP="006D7ACC">
            <w:pPr>
              <w:spacing w:line="276" w:lineRule="auto"/>
              <w:jc w:val="both"/>
              <w:rPr>
                <w:i/>
              </w:rPr>
            </w:pPr>
            <w:r w:rsidRPr="00F454D0">
              <w:rPr>
                <w:i/>
              </w:rPr>
              <w:t>Uveďte podmienky, ktoré bolo potrebné splniť pre postup/registráciu na uvedenú súťaž. Ak účasti predchádza národné kolo alebo iný spôsob výberu, uveďte aké úrovne študenti absolvovali a ako sa umiestnili (ak je možné, aj z koľkých účastníkov). Ak je účasť otvorená, uveďte spôsob, akým vysoká škola vybrala študenta/študentov, ktorí sa majú podujatia zúčastniť.</w:t>
            </w:r>
          </w:p>
        </w:tc>
      </w:tr>
      <w:tr w:rsidR="00DE2BF6" w:rsidRPr="00F454D0" w:rsidTr="006D7ACC">
        <w:tc>
          <w:tcPr>
            <w:tcW w:w="4361" w:type="dxa"/>
          </w:tcPr>
          <w:p w:rsidR="00DE2BF6" w:rsidRPr="00F454D0" w:rsidRDefault="00DE2BF6" w:rsidP="006D7ACC">
            <w:pPr>
              <w:spacing w:line="276" w:lineRule="auto"/>
              <w:jc w:val="both"/>
              <w:rPr>
                <w:b/>
              </w:rPr>
            </w:pPr>
            <w:r w:rsidRPr="00F454D0">
              <w:rPr>
                <w:b/>
              </w:rPr>
              <w:t>Dátum začatia pracovnej cesty</w:t>
            </w:r>
          </w:p>
        </w:tc>
        <w:tc>
          <w:tcPr>
            <w:tcW w:w="4851" w:type="dxa"/>
          </w:tcPr>
          <w:p w:rsidR="00DE2BF6" w:rsidRPr="00F454D0" w:rsidRDefault="00DE2BF6" w:rsidP="006D7ACC">
            <w:pPr>
              <w:spacing w:line="276" w:lineRule="auto"/>
              <w:jc w:val="both"/>
              <w:rPr>
                <w:i/>
              </w:rPr>
            </w:pPr>
          </w:p>
        </w:tc>
      </w:tr>
      <w:tr w:rsidR="00DE2BF6" w:rsidRPr="00F454D0" w:rsidTr="006D7ACC">
        <w:tc>
          <w:tcPr>
            <w:tcW w:w="4361" w:type="dxa"/>
          </w:tcPr>
          <w:p w:rsidR="00DE2BF6" w:rsidRPr="00F454D0" w:rsidRDefault="00DE2BF6" w:rsidP="006D7ACC">
            <w:pPr>
              <w:spacing w:line="276" w:lineRule="auto"/>
              <w:jc w:val="both"/>
              <w:rPr>
                <w:b/>
              </w:rPr>
            </w:pPr>
            <w:r w:rsidRPr="00F454D0">
              <w:rPr>
                <w:b/>
              </w:rPr>
              <w:t>Dátum ukončenia pracovnej cesty</w:t>
            </w:r>
          </w:p>
        </w:tc>
        <w:tc>
          <w:tcPr>
            <w:tcW w:w="4851" w:type="dxa"/>
          </w:tcPr>
          <w:p w:rsidR="00DE2BF6" w:rsidRPr="00F454D0" w:rsidRDefault="00DE2BF6" w:rsidP="006D7ACC">
            <w:pPr>
              <w:spacing w:line="276" w:lineRule="auto"/>
              <w:jc w:val="both"/>
              <w:rPr>
                <w:i/>
              </w:rPr>
            </w:pPr>
          </w:p>
        </w:tc>
      </w:tr>
      <w:tr w:rsidR="00DE2BF6" w:rsidRPr="00F454D0" w:rsidTr="006D7ACC">
        <w:tc>
          <w:tcPr>
            <w:tcW w:w="4361" w:type="dxa"/>
          </w:tcPr>
          <w:p w:rsidR="00DE2BF6" w:rsidRPr="00F454D0" w:rsidRDefault="00DE2BF6" w:rsidP="006D7ACC">
            <w:pPr>
              <w:spacing w:line="276" w:lineRule="auto"/>
              <w:jc w:val="both"/>
              <w:rPr>
                <w:b/>
              </w:rPr>
            </w:pPr>
            <w:r w:rsidRPr="00F454D0">
              <w:rPr>
                <w:b/>
              </w:rPr>
              <w:lastRenderedPageBreak/>
              <w:t>Dátum vyúčtovania pracovnej cesty posledných účastníkom</w:t>
            </w:r>
          </w:p>
        </w:tc>
        <w:tc>
          <w:tcPr>
            <w:tcW w:w="4851" w:type="dxa"/>
          </w:tcPr>
          <w:p w:rsidR="00DE2BF6" w:rsidRPr="00F454D0" w:rsidRDefault="00DE2BF6" w:rsidP="006D7ACC">
            <w:pPr>
              <w:spacing w:line="276" w:lineRule="auto"/>
              <w:jc w:val="both"/>
              <w:rPr>
                <w:i/>
              </w:rPr>
            </w:pPr>
            <w:r w:rsidRPr="00F454D0">
              <w:rPr>
                <w:i/>
              </w:rPr>
              <w:t>Uveďte dátum, keď posledný účastník mal zúčtovanú pracovnú cestu, na uplatnenie refundácie sa vyžaduje doručenie žiadosti do 4 týždňov od skončenia cesty</w:t>
            </w:r>
          </w:p>
        </w:tc>
      </w:tr>
      <w:tr w:rsidR="00DE2BF6" w:rsidRPr="00F454D0" w:rsidTr="006D7ACC">
        <w:tc>
          <w:tcPr>
            <w:tcW w:w="4361" w:type="dxa"/>
            <w:hideMark/>
          </w:tcPr>
          <w:p w:rsidR="00DE2BF6" w:rsidRPr="00F454D0" w:rsidRDefault="00DE2BF6" w:rsidP="006D7ACC">
            <w:pPr>
              <w:spacing w:line="276" w:lineRule="auto"/>
              <w:jc w:val="both"/>
              <w:rPr>
                <w:b/>
              </w:rPr>
            </w:pPr>
            <w:r w:rsidRPr="00F454D0">
              <w:rPr>
                <w:b/>
              </w:rPr>
              <w:t>Informácia o výsledkoch cesty</w:t>
            </w:r>
          </w:p>
        </w:tc>
        <w:tc>
          <w:tcPr>
            <w:tcW w:w="4851" w:type="dxa"/>
            <w:hideMark/>
          </w:tcPr>
          <w:p w:rsidR="00DE2BF6" w:rsidRPr="00F454D0" w:rsidRDefault="00DE2BF6" w:rsidP="006D7ACC">
            <w:pPr>
              <w:spacing w:line="276" w:lineRule="auto"/>
              <w:jc w:val="both"/>
              <w:rPr>
                <w:i/>
              </w:rPr>
            </w:pPr>
            <w:r w:rsidRPr="00F454D0">
              <w:rPr>
                <w:i/>
              </w:rPr>
              <w:t xml:space="preserve">Uveďte informácie o podujatí, najmä koľko účastníkov/tímov sa podujatia zúčastnilo, z koľkých štátov/vysokých škôl, v akých kategóriách sa súťažilo, v akej kategórií súťažili účastníci za vysokú školu a ako sa umiestnili v danej kategórií, prípadne celkovo, podľa povahy podujatia. Ak účastníci postupujú do ďalšieho kola uveďte kam postúpili a pod. Uveďte aj odkaz na webové stránky, kde je možné získať podrobnejšie informácie.  </w:t>
            </w:r>
          </w:p>
        </w:tc>
      </w:tr>
    </w:tbl>
    <w:p w:rsidR="00DE2BF6" w:rsidRPr="00F454D0" w:rsidRDefault="00DE2BF6" w:rsidP="00DE2BF6">
      <w:pPr>
        <w:spacing w:line="276" w:lineRule="auto"/>
        <w:jc w:val="both"/>
        <w:rPr>
          <w:b/>
        </w:rPr>
      </w:pPr>
      <w:r w:rsidRPr="00F454D0">
        <w:rPr>
          <w:b/>
        </w:rPr>
        <w:t>Vyúčtovanie za jednotlivé osoby (uvádza sa uznaný nárok v rámci vyúčtovania               na vysokej škole)</w:t>
      </w:r>
      <w:r w:rsidRPr="00F454D0">
        <w:rPr>
          <w:b/>
          <w:vertAlign w:val="superscript"/>
        </w:rPr>
        <w:footnoteReference w:id="3"/>
      </w:r>
    </w:p>
    <w:p w:rsidR="00DE2BF6" w:rsidRPr="00F454D0" w:rsidRDefault="00DE2BF6" w:rsidP="00DE2BF6">
      <w:pPr>
        <w:spacing w:line="276" w:lineRule="auto"/>
        <w:jc w:val="both"/>
        <w:rPr>
          <w:b/>
        </w:rPr>
      </w:pPr>
      <w:r w:rsidRPr="00F454D0">
        <w:rPr>
          <w:b/>
        </w:rPr>
        <w:t xml:space="preserve">Osoba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5"/>
        <w:gridCol w:w="2517"/>
        <w:gridCol w:w="1970"/>
      </w:tblGrid>
      <w:tr w:rsidR="00DE2BF6" w:rsidRPr="00F454D0" w:rsidTr="006D7ACC">
        <w:tc>
          <w:tcPr>
            <w:tcW w:w="4644" w:type="dxa"/>
            <w:hideMark/>
          </w:tcPr>
          <w:p w:rsidR="00DE2BF6" w:rsidRPr="00F454D0" w:rsidRDefault="00DE2BF6" w:rsidP="006D7ACC">
            <w:pPr>
              <w:spacing w:line="276" w:lineRule="auto"/>
              <w:jc w:val="center"/>
              <w:rPr>
                <w:b/>
              </w:rPr>
            </w:pPr>
            <w:r w:rsidRPr="00F454D0">
              <w:rPr>
                <w:b/>
              </w:rPr>
              <w:t>Položka – zahraničie</w:t>
            </w:r>
          </w:p>
        </w:tc>
        <w:tc>
          <w:tcPr>
            <w:tcW w:w="2552" w:type="dxa"/>
            <w:hideMark/>
          </w:tcPr>
          <w:p w:rsidR="00DE2BF6" w:rsidRPr="00F454D0" w:rsidRDefault="00DE2BF6" w:rsidP="006D7ACC">
            <w:pPr>
              <w:spacing w:line="276" w:lineRule="auto"/>
              <w:jc w:val="center"/>
              <w:rPr>
                <w:b/>
              </w:rPr>
            </w:pPr>
            <w:r w:rsidRPr="00F454D0">
              <w:rPr>
                <w:b/>
              </w:rPr>
              <w:t>Vyplatené v mene</w:t>
            </w:r>
            <w:r w:rsidRPr="00F454D0">
              <w:rPr>
                <w:b/>
                <w:vertAlign w:val="superscript"/>
              </w:rPr>
              <w:footnoteReference w:id="4"/>
            </w:r>
          </w:p>
        </w:tc>
        <w:tc>
          <w:tcPr>
            <w:tcW w:w="2016" w:type="dxa"/>
            <w:hideMark/>
          </w:tcPr>
          <w:p w:rsidR="00DE2BF6" w:rsidRPr="00F454D0" w:rsidRDefault="00DE2BF6" w:rsidP="006D7ACC">
            <w:pPr>
              <w:spacing w:line="276" w:lineRule="auto"/>
              <w:jc w:val="center"/>
              <w:rPr>
                <w:b/>
              </w:rPr>
            </w:pPr>
            <w:r w:rsidRPr="00F454D0">
              <w:rPr>
                <w:b/>
              </w:rPr>
              <w:t>€</w:t>
            </w:r>
          </w:p>
        </w:tc>
      </w:tr>
      <w:tr w:rsidR="00DE2BF6" w:rsidRPr="00F454D0" w:rsidTr="006D7ACC">
        <w:tc>
          <w:tcPr>
            <w:tcW w:w="4644" w:type="dxa"/>
            <w:hideMark/>
          </w:tcPr>
          <w:p w:rsidR="00DE2BF6" w:rsidRPr="00F454D0" w:rsidRDefault="00DE2BF6" w:rsidP="006D7ACC">
            <w:pPr>
              <w:spacing w:line="276" w:lineRule="auto"/>
              <w:jc w:val="both"/>
              <w:rPr>
                <w:b/>
              </w:rPr>
            </w:pPr>
            <w:r w:rsidRPr="00F454D0">
              <w:rPr>
                <w:b/>
              </w:rPr>
              <w:t>Stravné</w:t>
            </w:r>
          </w:p>
        </w:tc>
        <w:tc>
          <w:tcPr>
            <w:tcW w:w="2552" w:type="dxa"/>
          </w:tcPr>
          <w:p w:rsidR="00DE2BF6" w:rsidRPr="00F454D0" w:rsidRDefault="00DE2BF6" w:rsidP="006D7ACC">
            <w:pPr>
              <w:spacing w:line="276" w:lineRule="auto"/>
              <w:jc w:val="both"/>
              <w:rPr>
                <w:b/>
              </w:rPr>
            </w:pPr>
          </w:p>
        </w:tc>
        <w:tc>
          <w:tcPr>
            <w:tcW w:w="2016" w:type="dxa"/>
          </w:tcPr>
          <w:p w:rsidR="00DE2BF6" w:rsidRPr="00F454D0" w:rsidRDefault="00DE2BF6" w:rsidP="006D7ACC">
            <w:pPr>
              <w:spacing w:line="276" w:lineRule="auto"/>
              <w:jc w:val="both"/>
              <w:rPr>
                <w:b/>
              </w:rPr>
            </w:pPr>
          </w:p>
        </w:tc>
      </w:tr>
      <w:tr w:rsidR="00DE2BF6" w:rsidRPr="00F454D0" w:rsidTr="006D7ACC">
        <w:tc>
          <w:tcPr>
            <w:tcW w:w="4644" w:type="dxa"/>
            <w:hideMark/>
          </w:tcPr>
          <w:p w:rsidR="00DE2BF6" w:rsidRPr="00F454D0" w:rsidRDefault="00DE2BF6" w:rsidP="006D7ACC">
            <w:pPr>
              <w:spacing w:line="276" w:lineRule="auto"/>
              <w:jc w:val="both"/>
              <w:rPr>
                <w:b/>
              </w:rPr>
            </w:pPr>
            <w:r w:rsidRPr="00F454D0">
              <w:rPr>
                <w:b/>
              </w:rPr>
              <w:t>Vreckové</w:t>
            </w:r>
          </w:p>
        </w:tc>
        <w:tc>
          <w:tcPr>
            <w:tcW w:w="2552" w:type="dxa"/>
          </w:tcPr>
          <w:p w:rsidR="00DE2BF6" w:rsidRPr="00F454D0" w:rsidRDefault="00DE2BF6" w:rsidP="006D7ACC">
            <w:pPr>
              <w:spacing w:line="276" w:lineRule="auto"/>
              <w:jc w:val="both"/>
              <w:rPr>
                <w:b/>
              </w:rPr>
            </w:pPr>
          </w:p>
        </w:tc>
        <w:tc>
          <w:tcPr>
            <w:tcW w:w="2016" w:type="dxa"/>
          </w:tcPr>
          <w:p w:rsidR="00DE2BF6" w:rsidRPr="00F454D0" w:rsidRDefault="00DE2BF6" w:rsidP="006D7ACC">
            <w:pPr>
              <w:spacing w:line="276" w:lineRule="auto"/>
              <w:jc w:val="both"/>
              <w:rPr>
                <w:b/>
              </w:rPr>
            </w:pPr>
          </w:p>
        </w:tc>
      </w:tr>
      <w:tr w:rsidR="00DE2BF6" w:rsidRPr="00F454D0" w:rsidTr="006D7ACC">
        <w:tc>
          <w:tcPr>
            <w:tcW w:w="4644" w:type="dxa"/>
            <w:hideMark/>
          </w:tcPr>
          <w:p w:rsidR="00DE2BF6" w:rsidRPr="00F454D0" w:rsidRDefault="00DE2BF6" w:rsidP="006D7ACC">
            <w:pPr>
              <w:spacing w:line="276" w:lineRule="auto"/>
              <w:jc w:val="both"/>
              <w:rPr>
                <w:b/>
              </w:rPr>
            </w:pPr>
            <w:r w:rsidRPr="00F454D0">
              <w:rPr>
                <w:b/>
              </w:rPr>
              <w:t>Preprava</w:t>
            </w:r>
          </w:p>
        </w:tc>
        <w:tc>
          <w:tcPr>
            <w:tcW w:w="2552" w:type="dxa"/>
          </w:tcPr>
          <w:p w:rsidR="00DE2BF6" w:rsidRPr="00F454D0" w:rsidRDefault="00DE2BF6" w:rsidP="006D7ACC">
            <w:pPr>
              <w:spacing w:line="276" w:lineRule="auto"/>
              <w:jc w:val="both"/>
              <w:rPr>
                <w:b/>
              </w:rPr>
            </w:pPr>
          </w:p>
        </w:tc>
        <w:tc>
          <w:tcPr>
            <w:tcW w:w="2016" w:type="dxa"/>
          </w:tcPr>
          <w:p w:rsidR="00DE2BF6" w:rsidRPr="00F454D0" w:rsidRDefault="00DE2BF6" w:rsidP="006D7ACC">
            <w:pPr>
              <w:spacing w:line="276" w:lineRule="auto"/>
              <w:jc w:val="both"/>
              <w:rPr>
                <w:b/>
              </w:rPr>
            </w:pPr>
          </w:p>
        </w:tc>
      </w:tr>
      <w:tr w:rsidR="00DE2BF6" w:rsidRPr="00F454D0" w:rsidTr="006D7ACC">
        <w:tc>
          <w:tcPr>
            <w:tcW w:w="4644" w:type="dxa"/>
            <w:hideMark/>
          </w:tcPr>
          <w:p w:rsidR="00DE2BF6" w:rsidRPr="00F454D0" w:rsidRDefault="00DE2BF6" w:rsidP="006D7ACC">
            <w:pPr>
              <w:spacing w:line="276" w:lineRule="auto"/>
              <w:jc w:val="both"/>
              <w:rPr>
                <w:b/>
              </w:rPr>
            </w:pPr>
            <w:r w:rsidRPr="00F454D0">
              <w:rPr>
                <w:b/>
              </w:rPr>
              <w:t>Ubytovanie</w:t>
            </w:r>
          </w:p>
        </w:tc>
        <w:tc>
          <w:tcPr>
            <w:tcW w:w="2552" w:type="dxa"/>
          </w:tcPr>
          <w:p w:rsidR="00DE2BF6" w:rsidRPr="00F454D0" w:rsidRDefault="00DE2BF6" w:rsidP="006D7ACC">
            <w:pPr>
              <w:spacing w:line="276" w:lineRule="auto"/>
              <w:jc w:val="both"/>
              <w:rPr>
                <w:b/>
              </w:rPr>
            </w:pPr>
          </w:p>
        </w:tc>
        <w:tc>
          <w:tcPr>
            <w:tcW w:w="2016" w:type="dxa"/>
          </w:tcPr>
          <w:p w:rsidR="00DE2BF6" w:rsidRPr="00F454D0" w:rsidRDefault="00DE2BF6" w:rsidP="006D7ACC">
            <w:pPr>
              <w:spacing w:line="276" w:lineRule="auto"/>
              <w:jc w:val="both"/>
              <w:rPr>
                <w:b/>
              </w:rPr>
            </w:pPr>
          </w:p>
        </w:tc>
      </w:tr>
      <w:tr w:rsidR="00DE2BF6" w:rsidRPr="00F454D0" w:rsidTr="006D7ACC">
        <w:tc>
          <w:tcPr>
            <w:tcW w:w="4644" w:type="dxa"/>
            <w:hideMark/>
          </w:tcPr>
          <w:p w:rsidR="00DE2BF6" w:rsidRPr="00F454D0" w:rsidRDefault="00DE2BF6" w:rsidP="006D7ACC">
            <w:pPr>
              <w:spacing w:line="276" w:lineRule="auto"/>
              <w:jc w:val="both"/>
              <w:rPr>
                <w:b/>
              </w:rPr>
            </w:pPr>
            <w:r w:rsidRPr="00F454D0">
              <w:rPr>
                <w:b/>
              </w:rPr>
              <w:t>Nutné vedľajšie výdavky</w:t>
            </w:r>
          </w:p>
        </w:tc>
        <w:tc>
          <w:tcPr>
            <w:tcW w:w="2552" w:type="dxa"/>
          </w:tcPr>
          <w:p w:rsidR="00DE2BF6" w:rsidRPr="00F454D0" w:rsidRDefault="00DE2BF6" w:rsidP="006D7ACC">
            <w:pPr>
              <w:spacing w:line="276" w:lineRule="auto"/>
              <w:jc w:val="both"/>
              <w:rPr>
                <w:b/>
              </w:rPr>
            </w:pPr>
          </w:p>
        </w:tc>
        <w:tc>
          <w:tcPr>
            <w:tcW w:w="2016" w:type="dxa"/>
          </w:tcPr>
          <w:p w:rsidR="00DE2BF6" w:rsidRPr="00F454D0" w:rsidRDefault="00DE2BF6" w:rsidP="006D7ACC">
            <w:pPr>
              <w:spacing w:line="276" w:lineRule="auto"/>
              <w:jc w:val="both"/>
              <w:rPr>
                <w:b/>
              </w:rPr>
            </w:pPr>
          </w:p>
        </w:tc>
      </w:tr>
      <w:tr w:rsidR="00DE2BF6" w:rsidRPr="00F454D0" w:rsidTr="006D7ACC">
        <w:tc>
          <w:tcPr>
            <w:tcW w:w="4644" w:type="dxa"/>
            <w:hideMark/>
          </w:tcPr>
          <w:p w:rsidR="00DE2BF6" w:rsidRPr="00F454D0" w:rsidRDefault="00DE2BF6" w:rsidP="00DE2BF6">
            <w:pPr>
              <w:numPr>
                <w:ilvl w:val="0"/>
                <w:numId w:val="1"/>
              </w:numPr>
              <w:spacing w:after="0" w:line="276" w:lineRule="auto"/>
              <w:jc w:val="both"/>
              <w:rPr>
                <w:b/>
              </w:rPr>
            </w:pPr>
            <w:r w:rsidRPr="00F454D0">
              <w:rPr>
                <w:b/>
              </w:rPr>
              <w:t>V tom miestna preprava</w:t>
            </w:r>
          </w:p>
        </w:tc>
        <w:tc>
          <w:tcPr>
            <w:tcW w:w="2552" w:type="dxa"/>
          </w:tcPr>
          <w:p w:rsidR="00DE2BF6" w:rsidRPr="00F454D0" w:rsidRDefault="00DE2BF6" w:rsidP="006D7ACC">
            <w:pPr>
              <w:spacing w:line="276" w:lineRule="auto"/>
              <w:jc w:val="both"/>
              <w:rPr>
                <w:b/>
              </w:rPr>
            </w:pPr>
          </w:p>
        </w:tc>
        <w:tc>
          <w:tcPr>
            <w:tcW w:w="2016" w:type="dxa"/>
          </w:tcPr>
          <w:p w:rsidR="00DE2BF6" w:rsidRPr="00F454D0" w:rsidRDefault="00DE2BF6" w:rsidP="006D7ACC">
            <w:pPr>
              <w:spacing w:line="276" w:lineRule="auto"/>
              <w:jc w:val="both"/>
              <w:rPr>
                <w:b/>
              </w:rPr>
            </w:pPr>
          </w:p>
        </w:tc>
      </w:tr>
      <w:tr w:rsidR="00DE2BF6" w:rsidRPr="00F454D0" w:rsidTr="006D7ACC">
        <w:tc>
          <w:tcPr>
            <w:tcW w:w="4644" w:type="dxa"/>
            <w:hideMark/>
          </w:tcPr>
          <w:p w:rsidR="00DE2BF6" w:rsidRPr="00F454D0" w:rsidRDefault="00DE2BF6" w:rsidP="00DE2BF6">
            <w:pPr>
              <w:numPr>
                <w:ilvl w:val="0"/>
                <w:numId w:val="1"/>
              </w:numPr>
              <w:spacing w:after="0" w:line="276" w:lineRule="auto"/>
              <w:jc w:val="both"/>
              <w:rPr>
                <w:b/>
              </w:rPr>
            </w:pPr>
            <w:r w:rsidRPr="00F454D0">
              <w:rPr>
                <w:b/>
              </w:rPr>
              <w:t xml:space="preserve">V tom registračné poplatky </w:t>
            </w:r>
          </w:p>
        </w:tc>
        <w:tc>
          <w:tcPr>
            <w:tcW w:w="2552" w:type="dxa"/>
          </w:tcPr>
          <w:p w:rsidR="00DE2BF6" w:rsidRPr="00F454D0" w:rsidRDefault="00DE2BF6" w:rsidP="006D7ACC">
            <w:pPr>
              <w:spacing w:line="276" w:lineRule="auto"/>
              <w:jc w:val="both"/>
              <w:rPr>
                <w:b/>
              </w:rPr>
            </w:pPr>
          </w:p>
        </w:tc>
        <w:tc>
          <w:tcPr>
            <w:tcW w:w="2016" w:type="dxa"/>
          </w:tcPr>
          <w:p w:rsidR="00DE2BF6" w:rsidRPr="00F454D0" w:rsidRDefault="00DE2BF6" w:rsidP="006D7ACC">
            <w:pPr>
              <w:spacing w:line="276" w:lineRule="auto"/>
              <w:jc w:val="both"/>
              <w:rPr>
                <w:b/>
              </w:rPr>
            </w:pPr>
          </w:p>
        </w:tc>
      </w:tr>
      <w:tr w:rsidR="00DE2BF6" w:rsidRPr="00F454D0" w:rsidTr="006D7ACC">
        <w:tc>
          <w:tcPr>
            <w:tcW w:w="4644" w:type="dxa"/>
            <w:hideMark/>
          </w:tcPr>
          <w:p w:rsidR="00DE2BF6" w:rsidRPr="00F454D0" w:rsidRDefault="00DE2BF6" w:rsidP="00DE2BF6">
            <w:pPr>
              <w:numPr>
                <w:ilvl w:val="0"/>
                <w:numId w:val="1"/>
              </w:numPr>
              <w:spacing w:after="0" w:line="276" w:lineRule="auto"/>
              <w:jc w:val="both"/>
              <w:rPr>
                <w:b/>
              </w:rPr>
            </w:pPr>
            <w:r w:rsidRPr="00F454D0">
              <w:rPr>
                <w:b/>
              </w:rPr>
              <w:t>V tom víza</w:t>
            </w:r>
          </w:p>
        </w:tc>
        <w:tc>
          <w:tcPr>
            <w:tcW w:w="2552" w:type="dxa"/>
          </w:tcPr>
          <w:p w:rsidR="00DE2BF6" w:rsidRPr="00F454D0" w:rsidRDefault="00DE2BF6" w:rsidP="006D7ACC">
            <w:pPr>
              <w:spacing w:line="276" w:lineRule="auto"/>
              <w:jc w:val="both"/>
              <w:rPr>
                <w:b/>
              </w:rPr>
            </w:pPr>
          </w:p>
        </w:tc>
        <w:tc>
          <w:tcPr>
            <w:tcW w:w="2016" w:type="dxa"/>
          </w:tcPr>
          <w:p w:rsidR="00DE2BF6" w:rsidRPr="00F454D0" w:rsidRDefault="00DE2BF6" w:rsidP="006D7ACC">
            <w:pPr>
              <w:spacing w:line="276" w:lineRule="auto"/>
              <w:jc w:val="both"/>
              <w:rPr>
                <w:b/>
              </w:rPr>
            </w:pPr>
          </w:p>
        </w:tc>
      </w:tr>
      <w:tr w:rsidR="00DE2BF6" w:rsidRPr="00F454D0" w:rsidTr="006D7ACC">
        <w:tc>
          <w:tcPr>
            <w:tcW w:w="4644" w:type="dxa"/>
            <w:hideMark/>
          </w:tcPr>
          <w:p w:rsidR="00DE2BF6" w:rsidRPr="00F454D0" w:rsidRDefault="00DE2BF6" w:rsidP="006D7ACC">
            <w:pPr>
              <w:spacing w:line="276" w:lineRule="auto"/>
              <w:jc w:val="both"/>
              <w:rPr>
                <w:b/>
              </w:rPr>
            </w:pPr>
            <w:r w:rsidRPr="00F454D0">
              <w:rPr>
                <w:b/>
              </w:rPr>
              <w:t>Cestovné poistenie</w:t>
            </w:r>
          </w:p>
        </w:tc>
        <w:tc>
          <w:tcPr>
            <w:tcW w:w="2552" w:type="dxa"/>
          </w:tcPr>
          <w:p w:rsidR="00DE2BF6" w:rsidRPr="00F454D0" w:rsidRDefault="00DE2BF6" w:rsidP="006D7ACC">
            <w:pPr>
              <w:spacing w:line="276" w:lineRule="auto"/>
              <w:jc w:val="both"/>
              <w:rPr>
                <w:b/>
              </w:rPr>
            </w:pPr>
          </w:p>
        </w:tc>
        <w:tc>
          <w:tcPr>
            <w:tcW w:w="2016" w:type="dxa"/>
          </w:tcPr>
          <w:p w:rsidR="00DE2BF6" w:rsidRPr="00F454D0" w:rsidRDefault="00DE2BF6" w:rsidP="006D7ACC">
            <w:pPr>
              <w:spacing w:line="276" w:lineRule="auto"/>
              <w:jc w:val="both"/>
              <w:rPr>
                <w:b/>
              </w:rPr>
            </w:pPr>
          </w:p>
        </w:tc>
      </w:tr>
      <w:tr w:rsidR="00DE2BF6" w:rsidRPr="00F454D0" w:rsidTr="006D7ACC">
        <w:tc>
          <w:tcPr>
            <w:tcW w:w="4644" w:type="dxa"/>
            <w:hideMark/>
          </w:tcPr>
          <w:p w:rsidR="00DE2BF6" w:rsidRPr="00F454D0" w:rsidRDefault="00DE2BF6" w:rsidP="006D7ACC">
            <w:pPr>
              <w:spacing w:line="276" w:lineRule="auto"/>
              <w:jc w:val="both"/>
              <w:rPr>
                <w:b/>
              </w:rPr>
            </w:pPr>
            <w:r w:rsidRPr="00F454D0">
              <w:rPr>
                <w:b/>
              </w:rPr>
              <w:t>Spolu</w:t>
            </w:r>
          </w:p>
        </w:tc>
        <w:tc>
          <w:tcPr>
            <w:tcW w:w="2552" w:type="dxa"/>
          </w:tcPr>
          <w:p w:rsidR="00DE2BF6" w:rsidRPr="00F454D0" w:rsidRDefault="00DE2BF6" w:rsidP="006D7ACC">
            <w:pPr>
              <w:spacing w:line="276" w:lineRule="auto"/>
              <w:jc w:val="both"/>
              <w:rPr>
                <w:b/>
              </w:rPr>
            </w:pPr>
          </w:p>
        </w:tc>
        <w:tc>
          <w:tcPr>
            <w:tcW w:w="2016" w:type="dxa"/>
          </w:tcPr>
          <w:p w:rsidR="00DE2BF6" w:rsidRPr="00F454D0" w:rsidRDefault="00DE2BF6" w:rsidP="006D7ACC">
            <w:pPr>
              <w:spacing w:line="276" w:lineRule="auto"/>
              <w:jc w:val="both"/>
              <w:rPr>
                <w:b/>
              </w:rPr>
            </w:pPr>
          </w:p>
        </w:tc>
      </w:tr>
      <w:tr w:rsidR="00DE2BF6" w:rsidRPr="00F454D0" w:rsidTr="006D7ACC">
        <w:tc>
          <w:tcPr>
            <w:tcW w:w="7196" w:type="dxa"/>
            <w:gridSpan w:val="2"/>
            <w:hideMark/>
          </w:tcPr>
          <w:p w:rsidR="00DE2BF6" w:rsidRPr="00F454D0" w:rsidRDefault="00DE2BF6" w:rsidP="006D7ACC">
            <w:pPr>
              <w:spacing w:line="276" w:lineRule="auto"/>
              <w:jc w:val="both"/>
              <w:rPr>
                <w:b/>
              </w:rPr>
            </w:pPr>
            <w:r w:rsidRPr="00F454D0">
              <w:rPr>
                <w:b/>
              </w:rPr>
              <w:t xml:space="preserve">Okrem toho náklady na domácu pracovnú cestu v sume: </w:t>
            </w:r>
          </w:p>
        </w:tc>
        <w:tc>
          <w:tcPr>
            <w:tcW w:w="2016" w:type="dxa"/>
          </w:tcPr>
          <w:p w:rsidR="00DE2BF6" w:rsidRPr="00F454D0" w:rsidRDefault="00DE2BF6" w:rsidP="006D7ACC">
            <w:pPr>
              <w:spacing w:line="276" w:lineRule="auto"/>
              <w:jc w:val="both"/>
              <w:rPr>
                <w:b/>
              </w:rPr>
            </w:pPr>
          </w:p>
        </w:tc>
      </w:tr>
      <w:tr w:rsidR="00DE2BF6" w:rsidRPr="00F454D0" w:rsidTr="006D7ACC">
        <w:tc>
          <w:tcPr>
            <w:tcW w:w="7196" w:type="dxa"/>
            <w:gridSpan w:val="2"/>
            <w:hideMark/>
          </w:tcPr>
          <w:p w:rsidR="00DE2BF6" w:rsidRPr="00F454D0" w:rsidRDefault="00DE2BF6" w:rsidP="006D7ACC">
            <w:pPr>
              <w:spacing w:line="276" w:lineRule="auto"/>
              <w:jc w:val="both"/>
              <w:rPr>
                <w:b/>
              </w:rPr>
            </w:pPr>
            <w:r w:rsidRPr="00F454D0">
              <w:rPr>
                <w:b/>
              </w:rPr>
              <w:t xml:space="preserve">Celkovo </w:t>
            </w:r>
          </w:p>
        </w:tc>
        <w:tc>
          <w:tcPr>
            <w:tcW w:w="2016" w:type="dxa"/>
            <w:hideMark/>
          </w:tcPr>
          <w:p w:rsidR="00DE2BF6" w:rsidRPr="00F454D0" w:rsidRDefault="00DE2BF6" w:rsidP="006D7ACC">
            <w:pPr>
              <w:spacing w:line="276" w:lineRule="auto"/>
              <w:jc w:val="right"/>
              <w:rPr>
                <w:b/>
              </w:rPr>
            </w:pPr>
            <w:r w:rsidRPr="00F454D0">
              <w:rPr>
                <w:b/>
              </w:rPr>
              <w:t xml:space="preserve"> €</w:t>
            </w:r>
          </w:p>
        </w:tc>
      </w:tr>
    </w:tbl>
    <w:p w:rsidR="00DE2BF6" w:rsidRPr="00F454D0" w:rsidRDefault="00DE2BF6" w:rsidP="00DE2BF6">
      <w:pPr>
        <w:spacing w:line="276" w:lineRule="auto"/>
        <w:jc w:val="both"/>
        <w:rPr>
          <w:b/>
        </w:rPr>
      </w:pPr>
      <w:r w:rsidRPr="00F454D0">
        <w:rPr>
          <w:b/>
        </w:rPr>
        <w:t>Použitý výmenný kurz ECB: 1 € = xxx, dátum prepočtu</w:t>
      </w:r>
    </w:p>
    <w:p w:rsidR="00DE2BF6" w:rsidRPr="00F454D0" w:rsidRDefault="00DE2BF6" w:rsidP="00DE2BF6">
      <w:pPr>
        <w:spacing w:line="276" w:lineRule="auto"/>
        <w:jc w:val="both"/>
        <w:rPr>
          <w:b/>
        </w:rPr>
      </w:pPr>
      <w:r w:rsidRPr="00F454D0">
        <w:rPr>
          <w:b/>
        </w:rPr>
        <w:lastRenderedPageBreak/>
        <w:t>Cestu nebolo/bolo potrebné mimoriadne predĺžiť.</w:t>
      </w:r>
    </w:p>
    <w:p w:rsidR="00DE2BF6" w:rsidRPr="00F454D0" w:rsidRDefault="00DE2BF6" w:rsidP="00DE2BF6">
      <w:pPr>
        <w:spacing w:line="276" w:lineRule="auto"/>
        <w:jc w:val="both"/>
        <w:rPr>
          <w:b/>
        </w:rPr>
      </w:pPr>
      <w:r w:rsidRPr="00F454D0">
        <w:rPr>
          <w:b/>
        </w:rPr>
        <w:t>Ak bolo potrebné cestu mimoriadne predĺžiť, uveďte odôvodnenie: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DE2BF6" w:rsidRPr="00F454D0" w:rsidTr="006D7ACC">
        <w:tc>
          <w:tcPr>
            <w:tcW w:w="9212" w:type="dxa"/>
            <w:hideMark/>
          </w:tcPr>
          <w:p w:rsidR="00DE2BF6" w:rsidRPr="00F454D0" w:rsidRDefault="00DE2BF6" w:rsidP="006D7ACC">
            <w:pPr>
              <w:spacing w:line="276" w:lineRule="auto"/>
              <w:jc w:val="both"/>
              <w:rPr>
                <w:b/>
                <w:i/>
              </w:rPr>
            </w:pPr>
            <w:r w:rsidRPr="00F454D0">
              <w:rPr>
                <w:b/>
                <w:i/>
              </w:rPr>
              <w:t>Odôvodnenie predĺženia cesty.</w:t>
            </w:r>
          </w:p>
        </w:tc>
      </w:tr>
    </w:tbl>
    <w:p w:rsidR="00DE2BF6" w:rsidRPr="00F454D0" w:rsidRDefault="00DE2BF6" w:rsidP="00DE2BF6">
      <w:pPr>
        <w:spacing w:line="276" w:lineRule="auto"/>
        <w:jc w:val="both"/>
        <w:rPr>
          <w:b/>
        </w:rPr>
      </w:pPr>
      <w:r w:rsidRPr="00F454D0">
        <w:rPr>
          <w:b/>
        </w:rPr>
        <w:t xml:space="preserve"> Sumár za všetky osoby: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6"/>
        <w:gridCol w:w="1426"/>
      </w:tblGrid>
      <w:tr w:rsidR="00DE2BF6" w:rsidRPr="00F454D0" w:rsidTr="006D7ACC">
        <w:tc>
          <w:tcPr>
            <w:tcW w:w="7763" w:type="dxa"/>
            <w:hideMark/>
          </w:tcPr>
          <w:p w:rsidR="00DE2BF6" w:rsidRPr="00F454D0" w:rsidRDefault="00DE2BF6" w:rsidP="006D7ACC">
            <w:pPr>
              <w:spacing w:line="276" w:lineRule="auto"/>
              <w:jc w:val="both"/>
              <w:rPr>
                <w:b/>
              </w:rPr>
            </w:pPr>
            <w:r w:rsidRPr="00F454D0">
              <w:rPr>
                <w:b/>
              </w:rPr>
              <w:t>Celkové skutočné výdavky vysokej školy na zabezpečenie účasti študentov na podujatí (neuhrádzané organizátorom podujatia):</w:t>
            </w:r>
          </w:p>
        </w:tc>
        <w:tc>
          <w:tcPr>
            <w:tcW w:w="1449" w:type="dxa"/>
            <w:hideMark/>
          </w:tcPr>
          <w:p w:rsidR="00DE2BF6" w:rsidRPr="00F454D0" w:rsidRDefault="00DE2BF6" w:rsidP="006D7ACC">
            <w:pPr>
              <w:spacing w:line="276" w:lineRule="auto"/>
              <w:jc w:val="right"/>
              <w:rPr>
                <w:b/>
              </w:rPr>
            </w:pPr>
            <w:r w:rsidRPr="00F454D0">
              <w:rPr>
                <w:b/>
              </w:rPr>
              <w:t xml:space="preserve"> €</w:t>
            </w:r>
          </w:p>
        </w:tc>
      </w:tr>
      <w:tr w:rsidR="00DE2BF6" w:rsidRPr="00F454D0" w:rsidTr="006D7ACC">
        <w:tc>
          <w:tcPr>
            <w:tcW w:w="7763" w:type="dxa"/>
            <w:hideMark/>
          </w:tcPr>
          <w:p w:rsidR="00DE2BF6" w:rsidRPr="00F454D0" w:rsidRDefault="00DE2BF6" w:rsidP="006D7ACC">
            <w:pPr>
              <w:spacing w:line="276" w:lineRule="auto"/>
              <w:jc w:val="both"/>
              <w:rPr>
                <w:b/>
              </w:rPr>
            </w:pPr>
            <w:r w:rsidRPr="00F454D0">
              <w:rPr>
                <w:b/>
              </w:rPr>
              <w:t>Z toho požiadavka na refundáciu ministerstvom (max. 80 %)</w:t>
            </w:r>
          </w:p>
        </w:tc>
        <w:tc>
          <w:tcPr>
            <w:tcW w:w="1449" w:type="dxa"/>
            <w:hideMark/>
          </w:tcPr>
          <w:p w:rsidR="00DE2BF6" w:rsidRPr="00F454D0" w:rsidRDefault="00DE2BF6" w:rsidP="006D7ACC">
            <w:pPr>
              <w:spacing w:line="276" w:lineRule="auto"/>
              <w:jc w:val="right"/>
              <w:rPr>
                <w:b/>
              </w:rPr>
            </w:pPr>
            <w:r w:rsidRPr="00F454D0">
              <w:rPr>
                <w:b/>
              </w:rPr>
              <w:t>€</w:t>
            </w:r>
          </w:p>
        </w:tc>
      </w:tr>
    </w:tbl>
    <w:p w:rsidR="00DE2BF6" w:rsidRPr="00F454D0" w:rsidRDefault="00DE2BF6" w:rsidP="00DE2BF6">
      <w:pPr>
        <w:spacing w:line="276" w:lineRule="auto"/>
        <w:jc w:val="both"/>
        <w:rPr>
          <w:b/>
        </w:rPr>
      </w:pPr>
    </w:p>
    <w:p w:rsidR="00DE2BF6" w:rsidRPr="00F454D0" w:rsidRDefault="00DE2BF6" w:rsidP="00DE2BF6">
      <w:pPr>
        <w:spacing w:line="276" w:lineRule="auto"/>
        <w:jc w:val="both"/>
        <w:rPr>
          <w:b/>
        </w:rPr>
      </w:pPr>
      <w:r w:rsidRPr="00F454D0">
        <w:rPr>
          <w:b/>
        </w:rPr>
        <w:t>Číslo registratúrnych záznamov vysokej školy, v ktorých sú archivované informácie o vykonaných cestách (cestovné príkazy, správy zo služobnej cesty, vyúčtovanie k nemu potrebné doklady,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DE2BF6" w:rsidRPr="00F454D0" w:rsidTr="006D7ACC">
        <w:tc>
          <w:tcPr>
            <w:tcW w:w="9212" w:type="dxa"/>
          </w:tcPr>
          <w:p w:rsidR="00DE2BF6" w:rsidRPr="00F454D0" w:rsidRDefault="00DE2BF6" w:rsidP="006D7ACC">
            <w:pPr>
              <w:spacing w:line="276" w:lineRule="auto"/>
              <w:jc w:val="both"/>
              <w:rPr>
                <w:b/>
              </w:rPr>
            </w:pPr>
          </w:p>
        </w:tc>
      </w:tr>
    </w:tbl>
    <w:p w:rsidR="00DE2BF6" w:rsidRPr="00F454D0" w:rsidRDefault="00DE2BF6" w:rsidP="00DE2BF6">
      <w:pPr>
        <w:spacing w:after="0"/>
        <w:jc w:val="both"/>
        <w:rPr>
          <w:b/>
        </w:rPr>
      </w:pPr>
    </w:p>
    <w:p w:rsidR="00DE2BF6" w:rsidRPr="00F454D0" w:rsidRDefault="00DE2BF6" w:rsidP="00DE2BF6">
      <w:pPr>
        <w:spacing w:after="0"/>
        <w:jc w:val="both"/>
      </w:pPr>
      <w:r w:rsidRPr="00F454D0">
        <w:t xml:space="preserve">Týmto prehlasujeme, že vysoká škola pri vyúčtovaní pracovných ciest súvisiacich s účasťou na podujatí študentmi vysokej školy postupovala v súlade so všeobecne záväznými právnymi predpismi a podľa vnútorných predpisov vysokej školy. Všetky pracovné cesty, na ktoré sa žiada refundácia výdavkov, ich účastníci už vyúčtovali. Vysoká škola žiada len o refundáciu skutočne vzniknutých výdavkov spojených s pracovnou cestou jej študentov na predmetnom podujatí. </w:t>
      </w:r>
    </w:p>
    <w:p w:rsidR="00DE2BF6" w:rsidRPr="00F454D0" w:rsidRDefault="00DE2BF6" w:rsidP="00DE2BF6">
      <w:pPr>
        <w:spacing w:after="0"/>
        <w:jc w:val="both"/>
      </w:pPr>
    </w:p>
    <w:p w:rsidR="00DE2BF6" w:rsidRPr="00F454D0" w:rsidRDefault="00DE2BF6" w:rsidP="00DE2BF6">
      <w:pPr>
        <w:spacing w:after="0"/>
        <w:jc w:val="both"/>
        <w:rPr>
          <w:b/>
        </w:rPr>
      </w:pPr>
      <w:r w:rsidRPr="00F454D0">
        <w:rPr>
          <w:b/>
        </w:rPr>
        <w:t>Kontaktné údaje na zodpovednú osobu:</w:t>
      </w:r>
    </w:p>
    <w:p w:rsidR="00DE2BF6" w:rsidRPr="00F454D0" w:rsidRDefault="00DE2BF6" w:rsidP="00DE2BF6">
      <w:pPr>
        <w:spacing w:after="0"/>
        <w:jc w:val="both"/>
        <w:rPr>
          <w:b/>
        </w:rPr>
      </w:pPr>
      <w:r w:rsidRPr="00F454D0">
        <w:rPr>
          <w:b/>
        </w:rPr>
        <w:t>Meno a priezvisko:</w:t>
      </w:r>
    </w:p>
    <w:p w:rsidR="00DE2BF6" w:rsidRPr="00F454D0" w:rsidRDefault="00DE2BF6" w:rsidP="00DE2BF6">
      <w:pPr>
        <w:spacing w:after="0"/>
        <w:jc w:val="both"/>
        <w:rPr>
          <w:b/>
        </w:rPr>
      </w:pPr>
      <w:r w:rsidRPr="00F454D0">
        <w:rPr>
          <w:b/>
        </w:rPr>
        <w:t>E-mail:</w:t>
      </w:r>
    </w:p>
    <w:p w:rsidR="00DE2BF6" w:rsidRPr="00F454D0" w:rsidRDefault="00DE2BF6" w:rsidP="00DE2BF6">
      <w:pPr>
        <w:spacing w:after="0"/>
        <w:jc w:val="both"/>
        <w:rPr>
          <w:b/>
        </w:rPr>
      </w:pPr>
      <w:r w:rsidRPr="00F454D0">
        <w:rPr>
          <w:b/>
        </w:rPr>
        <w:t>Telefonický kontakt:</w:t>
      </w:r>
    </w:p>
    <w:p w:rsidR="00DE2BF6" w:rsidRPr="00F454D0" w:rsidRDefault="00DE2BF6" w:rsidP="00DE2BF6">
      <w:pPr>
        <w:spacing w:line="276" w:lineRule="auto"/>
        <w:ind w:firstLine="360"/>
        <w:jc w:val="both"/>
      </w:pPr>
    </w:p>
    <w:p w:rsidR="00DE2BF6" w:rsidRPr="00F454D0" w:rsidRDefault="00DE2BF6" w:rsidP="00DE2BF6">
      <w:pPr>
        <w:spacing w:line="276" w:lineRule="auto"/>
        <w:ind w:firstLine="360"/>
        <w:jc w:val="both"/>
      </w:pPr>
    </w:p>
    <w:p w:rsidR="00DE2BF6" w:rsidRPr="00F454D0" w:rsidRDefault="00DE2BF6" w:rsidP="00DE2BF6">
      <w:pPr>
        <w:spacing w:line="276" w:lineRule="auto"/>
        <w:ind w:firstLine="360"/>
        <w:jc w:val="both"/>
      </w:pPr>
    </w:p>
    <w:p w:rsidR="00DE2BF6" w:rsidRPr="00F454D0" w:rsidRDefault="00DE2BF6" w:rsidP="00DE2BF6">
      <w:pPr>
        <w:spacing w:line="276" w:lineRule="auto"/>
        <w:ind w:firstLine="360"/>
        <w:jc w:val="both"/>
      </w:pPr>
      <w:r w:rsidRPr="00F454D0">
        <w:tab/>
      </w:r>
      <w:r w:rsidRPr="00F454D0">
        <w:tab/>
      </w:r>
      <w:r w:rsidRPr="00F454D0">
        <w:tab/>
      </w:r>
      <w:r w:rsidRPr="00F454D0">
        <w:tab/>
      </w:r>
      <w:r w:rsidRPr="00F454D0">
        <w:tab/>
      </w:r>
      <w:r w:rsidRPr="00F454D0">
        <w:tab/>
        <w:t>...........................................................</w:t>
      </w:r>
    </w:p>
    <w:p w:rsidR="00DE2BF6" w:rsidRPr="00F454D0" w:rsidRDefault="00DE2BF6" w:rsidP="00DE2BF6">
      <w:pPr>
        <w:spacing w:line="276" w:lineRule="auto"/>
        <w:ind w:left="3540" w:firstLine="708"/>
        <w:jc w:val="both"/>
        <w:rPr>
          <w:b/>
        </w:rPr>
      </w:pPr>
      <w:r w:rsidRPr="00F454D0">
        <w:rPr>
          <w:b/>
        </w:rPr>
        <w:t xml:space="preserve">Meno, priezvisko a podpis štatutára </w:t>
      </w:r>
    </w:p>
    <w:p w:rsidR="00DE2BF6" w:rsidRPr="0093751E" w:rsidRDefault="00DE2BF6" w:rsidP="00DE2BF6">
      <w:pPr>
        <w:rPr>
          <w:highlight w:val="yellow"/>
        </w:rPr>
      </w:pPr>
    </w:p>
    <w:p w:rsidR="00B4358E" w:rsidRDefault="00B4358E" w:rsidP="00261C10">
      <w:pPr>
        <w:pStyle w:val="Nadpis5"/>
      </w:pPr>
      <w:bookmarkStart w:id="0" w:name="_GoBack"/>
      <w:bookmarkEnd w:id="0"/>
    </w:p>
    <w:sectPr w:rsidR="00B435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A4B" w:rsidRDefault="00142A4B" w:rsidP="00DE2BF6">
      <w:pPr>
        <w:spacing w:after="0"/>
      </w:pPr>
      <w:r>
        <w:separator/>
      </w:r>
    </w:p>
  </w:endnote>
  <w:endnote w:type="continuationSeparator" w:id="0">
    <w:p w:rsidR="00142A4B" w:rsidRDefault="00142A4B" w:rsidP="00DE2B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Futura Bk"/>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A4B" w:rsidRDefault="00142A4B" w:rsidP="00DE2BF6">
      <w:pPr>
        <w:spacing w:after="0"/>
      </w:pPr>
      <w:r>
        <w:separator/>
      </w:r>
    </w:p>
  </w:footnote>
  <w:footnote w:type="continuationSeparator" w:id="0">
    <w:p w:rsidR="00142A4B" w:rsidRDefault="00142A4B" w:rsidP="00DE2BF6">
      <w:pPr>
        <w:spacing w:after="0"/>
      </w:pPr>
      <w:r>
        <w:continuationSeparator/>
      </w:r>
    </w:p>
  </w:footnote>
  <w:footnote w:id="1">
    <w:p w:rsidR="00DE2BF6" w:rsidRDefault="00DE2BF6" w:rsidP="00DE2BF6">
      <w:pPr>
        <w:pStyle w:val="Textpoznmkypodiarou"/>
      </w:pPr>
      <w:r>
        <w:rPr>
          <w:rStyle w:val="Odkaznapoznmkupodiarou"/>
        </w:rPr>
        <w:footnoteRef/>
      </w:r>
      <w:r>
        <w:t>) V prípade finančných možností ministerstvo zváži refundáciu týchto podujatí v roku 2022.</w:t>
      </w:r>
    </w:p>
  </w:footnote>
  <w:footnote w:id="2">
    <w:p w:rsidR="00DE2BF6" w:rsidRDefault="00DE2BF6" w:rsidP="00DE2BF6">
      <w:pPr>
        <w:pStyle w:val="Textpoznmkypodiarou"/>
      </w:pPr>
      <w:r>
        <w:rPr>
          <w:rStyle w:val="Odkaznapoznmkupodiarou"/>
        </w:rPr>
        <w:footnoteRef/>
      </w:r>
      <w:r>
        <w:t xml:space="preserve">) Ak v prípade skupinovej účasti bolo lacnejšie využívanie taxi služieb, či prenájom vozidla, náklady na tento spôsob dopravy sa tieto výdavky na účely refundácie pomerne rozpočítavajú. </w:t>
      </w:r>
    </w:p>
  </w:footnote>
  <w:footnote w:id="3">
    <w:p w:rsidR="00DE2BF6" w:rsidRDefault="00DE2BF6" w:rsidP="00DE2BF6">
      <w:pPr>
        <w:pStyle w:val="Textpoznmkypodiarou"/>
      </w:pPr>
      <w:r>
        <w:rPr>
          <w:rStyle w:val="Odkaznapoznmkupodiarou"/>
        </w:rPr>
        <w:footnoteRef/>
      </w:r>
      <w:r>
        <w:t xml:space="preserve">) Skopírujte tabuľku za jednotlivé osoby. Ak viacerým osobám vznikol rovnaký nárok, môžete to uviesť aj takto: Osoba 1 až 10, čo znamená, že dané vyúčtovanie sa týka 10 študentov. </w:t>
      </w:r>
    </w:p>
  </w:footnote>
  <w:footnote w:id="4">
    <w:p w:rsidR="00DE2BF6" w:rsidRDefault="00DE2BF6" w:rsidP="00DE2BF6">
      <w:pPr>
        <w:pStyle w:val="Textpoznmkypodiarou"/>
      </w:pPr>
      <w:r>
        <w:rPr>
          <w:rStyle w:val="Odkaznapoznmkupodiarou"/>
        </w:rPr>
        <w:footnoteRef/>
      </w:r>
      <w:r>
        <w:t xml:space="preserve"> Uvádza sa len v prípade, že bola použitá iná mena ako euro. Uvádza sa aj skratka tejto meny podľa kurzového lístka.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BF6" w:rsidRDefault="00DE2BF6" w:rsidP="00DE2BF6">
    <w:pPr>
      <w:pStyle w:val="Hlavika"/>
    </w:pPr>
    <w:r>
      <w:t xml:space="preserve">Č.: </w:t>
    </w:r>
    <w:r w:rsidRPr="00C66059">
      <w:t>2021/9582:1-A1101</w:t>
    </w:r>
  </w:p>
  <w:p w:rsidR="00DE2BF6" w:rsidRDefault="00DE2BF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F51A08"/>
    <w:multiLevelType w:val="hybridMultilevel"/>
    <w:tmpl w:val="9E464D92"/>
    <w:lvl w:ilvl="0" w:tplc="3DF66B38">
      <w:start w:val="2"/>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 w15:restartNumberingAfterBreak="0">
    <w:nsid w:val="77C222D9"/>
    <w:multiLevelType w:val="hybridMultilevel"/>
    <w:tmpl w:val="09E4DFDE"/>
    <w:lvl w:ilvl="0" w:tplc="27321F08">
      <w:start w:val="1"/>
      <w:numFmt w:val="bullet"/>
      <w:lvlText w:val="o"/>
      <w:lvlJc w:val="left"/>
      <w:pPr>
        <w:ind w:left="1021" w:hanging="284"/>
      </w:pPr>
      <w:rPr>
        <w:rFonts w:ascii="Courier New" w:hAnsi="Courier New"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BF6"/>
    <w:rsid w:val="00142A4B"/>
    <w:rsid w:val="00261C10"/>
    <w:rsid w:val="00B4358E"/>
    <w:rsid w:val="00DE2BF6"/>
    <w:rsid w:val="00ED70F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62B3D"/>
  <w15:chartTrackingRefBased/>
  <w15:docId w15:val="{D7B0DBF3-6B8E-4AC9-9AA6-955D8910A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E2BF6"/>
    <w:pPr>
      <w:spacing w:after="120" w:line="240" w:lineRule="auto"/>
    </w:pPr>
    <w:rPr>
      <w:rFonts w:ascii="Times New Roman" w:eastAsia="Times New Roman" w:hAnsi="Times New Roman" w:cs="Times New Roman"/>
      <w:sz w:val="24"/>
      <w:szCs w:val="24"/>
    </w:rPr>
  </w:style>
  <w:style w:type="paragraph" w:styleId="Nadpis5">
    <w:name w:val="heading 5"/>
    <w:basedOn w:val="Normlny"/>
    <w:next w:val="Normlny"/>
    <w:link w:val="Nadpis5Char"/>
    <w:uiPriority w:val="9"/>
    <w:qFormat/>
    <w:rsid w:val="00DE2BF6"/>
    <w:pPr>
      <w:spacing w:before="240" w:after="60"/>
      <w:outlineLvl w:val="4"/>
    </w:pPr>
    <w:rPr>
      <w:rFonts w:ascii="Calibri" w:hAnsi="Calibri"/>
      <w:b/>
      <w:i/>
      <w:sz w:val="26"/>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uiPriority w:val="9"/>
    <w:rsid w:val="00DE2BF6"/>
    <w:rPr>
      <w:rFonts w:ascii="Calibri" w:eastAsia="Times New Roman" w:hAnsi="Calibri" w:cs="Times New Roman"/>
      <w:b/>
      <w:i/>
      <w:sz w:val="26"/>
      <w:szCs w:val="20"/>
    </w:rPr>
  </w:style>
  <w:style w:type="paragraph" w:styleId="Textpoznmkypodiarou">
    <w:name w:val="footnote text"/>
    <w:basedOn w:val="Normlny"/>
    <w:link w:val="TextpoznmkypodiarouChar"/>
    <w:uiPriority w:val="99"/>
    <w:semiHidden/>
    <w:rsid w:val="00DE2BF6"/>
    <w:pPr>
      <w:widowControl w:val="0"/>
      <w:autoSpaceDE w:val="0"/>
      <w:autoSpaceDN w:val="0"/>
    </w:pPr>
    <w:rPr>
      <w:sz w:val="20"/>
      <w:szCs w:val="20"/>
    </w:rPr>
  </w:style>
  <w:style w:type="character" w:customStyle="1" w:styleId="TextpoznmkypodiarouChar">
    <w:name w:val="Text poznámky pod čiarou Char"/>
    <w:basedOn w:val="Predvolenpsmoodseku"/>
    <w:link w:val="Textpoznmkypodiarou"/>
    <w:uiPriority w:val="99"/>
    <w:semiHidden/>
    <w:rsid w:val="00DE2BF6"/>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rsid w:val="00DE2BF6"/>
    <w:rPr>
      <w:rFonts w:cs="Times New Roman"/>
      <w:vertAlign w:val="superscript"/>
    </w:rPr>
  </w:style>
  <w:style w:type="paragraph" w:styleId="Hlavika">
    <w:name w:val="header"/>
    <w:basedOn w:val="Normlny"/>
    <w:link w:val="HlavikaChar"/>
    <w:uiPriority w:val="99"/>
    <w:unhideWhenUsed/>
    <w:rsid w:val="00DE2BF6"/>
    <w:pPr>
      <w:tabs>
        <w:tab w:val="center" w:pos="4536"/>
        <w:tab w:val="right" w:pos="9072"/>
      </w:tabs>
      <w:spacing w:after="0"/>
    </w:pPr>
  </w:style>
  <w:style w:type="character" w:customStyle="1" w:styleId="HlavikaChar">
    <w:name w:val="Hlavička Char"/>
    <w:basedOn w:val="Predvolenpsmoodseku"/>
    <w:link w:val="Hlavika"/>
    <w:uiPriority w:val="99"/>
    <w:rsid w:val="00DE2BF6"/>
    <w:rPr>
      <w:rFonts w:ascii="Times New Roman" w:eastAsia="Times New Roman" w:hAnsi="Times New Roman" w:cs="Times New Roman"/>
      <w:sz w:val="24"/>
      <w:szCs w:val="24"/>
    </w:rPr>
  </w:style>
  <w:style w:type="paragraph" w:styleId="Pta">
    <w:name w:val="footer"/>
    <w:basedOn w:val="Normlny"/>
    <w:link w:val="PtaChar"/>
    <w:uiPriority w:val="99"/>
    <w:unhideWhenUsed/>
    <w:rsid w:val="00DE2BF6"/>
    <w:pPr>
      <w:tabs>
        <w:tab w:val="center" w:pos="4536"/>
        <w:tab w:val="right" w:pos="9072"/>
      </w:tabs>
      <w:spacing w:after="0"/>
    </w:pPr>
  </w:style>
  <w:style w:type="character" w:customStyle="1" w:styleId="PtaChar">
    <w:name w:val="Päta Char"/>
    <w:basedOn w:val="Predvolenpsmoodseku"/>
    <w:link w:val="Pta"/>
    <w:uiPriority w:val="99"/>
    <w:rsid w:val="00DE2BF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vs@minedu.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2201</Words>
  <Characters>12549</Characters>
  <Application>Microsoft Office Word</Application>
  <DocSecurity>0</DocSecurity>
  <Lines>104</Lines>
  <Paragraphs>29</Paragraphs>
  <ScaleCrop>false</ScaleCrop>
  <Company>Minedu</Company>
  <LinksUpToDate>false</LinksUpToDate>
  <CharactersWithSpaces>14721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Vráblik Zuzana</dc:creator>
  <cp:keywords/>
  <dc:description/>
  <cp:lastModifiedBy>Vráblik Zuzana</cp:lastModifiedBy>
  <cp:revision>2</cp:revision>
  <dcterms:created xsi:type="dcterms:W3CDTF">2021-01-29T10:50:00Z</dcterms:created>
  <dcterms:modified xsi:type="dcterms:W3CDTF">2021-01-29T10:58:00Z</dcterms:modified>
</cp:coreProperties>
</file>