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9317D" w:rsidR="002229AE" w:rsidRDefault="00383FB1" w14:paraId="00000003" w14:textId="41127B78">
      <w:pPr>
        <w:widowControl/>
        <w:jc w:val="center"/>
        <w:rPr>
          <w:rFonts w:ascii="Arial Narrow" w:hAnsi="Arial Narrow"/>
          <w:b/>
          <w:smallCaps/>
          <w:sz w:val="24"/>
          <w:szCs w:val="24"/>
        </w:rPr>
      </w:pPr>
      <w:r w:rsidRPr="00D9317D">
        <w:rPr>
          <w:rFonts w:ascii="Arial Narrow" w:hAnsi="Arial Narrow"/>
          <w:b/>
          <w:bCs/>
          <w:smallCaps/>
          <w:sz w:val="24"/>
          <w:szCs w:val="24"/>
        </w:rPr>
        <w:t>ČESTN</w:t>
      </w:r>
      <w:sdt>
        <w:sdtPr>
          <w:rPr>
            <w:rFonts w:ascii="Arial Narrow" w:hAnsi="Arial Narrow"/>
          </w:rPr>
          <w:tag w:val="goog_rdk_0"/>
          <w:id w:val="2086775262"/>
          <w:placeholder>
            <w:docPart w:val="DefaultPlaceholder_1081868574"/>
          </w:placeholder>
        </w:sdtPr>
        <w:sdtContent/>
      </w:sdt>
      <w:r w:rsidRPr="00D9317D">
        <w:rPr>
          <w:rFonts w:ascii="Arial Narrow" w:hAnsi="Arial Narrow"/>
          <w:b/>
          <w:bCs/>
          <w:smallCaps/>
          <w:sz w:val="24"/>
          <w:szCs w:val="24"/>
        </w:rPr>
        <w:t>É</w:t>
      </w:r>
      <w:r w:rsidRPr="00D9317D">
        <w:rPr>
          <w:rFonts w:ascii="Arial Narrow" w:hAnsi="Arial Narrow"/>
          <w:smallCaps/>
          <w:sz w:val="24"/>
          <w:szCs w:val="24"/>
        </w:rPr>
        <w:t xml:space="preserve"> </w:t>
      </w:r>
      <w:r w:rsidRPr="00D9317D">
        <w:rPr>
          <w:rFonts w:ascii="Arial Narrow" w:hAnsi="Arial Narrow"/>
          <w:b/>
          <w:bCs/>
          <w:smallCaps/>
          <w:sz w:val="24"/>
          <w:szCs w:val="24"/>
        </w:rPr>
        <w:t xml:space="preserve">VYHLÁSENIE </w:t>
      </w:r>
      <w:r>
        <w:br/>
      </w:r>
    </w:p>
    <w:p w:rsidRPr="00D9317D" w:rsidR="002229AE" w:rsidRDefault="00383FB1" w14:paraId="00000004" w14:textId="77777777">
      <w:pPr>
        <w:widowControl/>
        <w:jc w:val="both"/>
        <w:rPr>
          <w:rFonts w:ascii="Arial Narrow" w:hAnsi="Arial Narrow"/>
        </w:rPr>
      </w:pPr>
      <w:r w:rsidRPr="00D9317D">
        <w:rPr>
          <w:rFonts w:ascii="Arial Narrow" w:hAnsi="Arial Narrow"/>
        </w:rPr>
        <w:t>Ja, dolu podpísaný(á), týmto čestne vyhlasujem, že:</w:t>
      </w:r>
    </w:p>
    <w:p w:rsidRPr="00D9317D" w:rsidR="002229AE" w:rsidRDefault="002229AE" w14:paraId="00000005" w14:textId="77777777">
      <w:pPr>
        <w:widowControl/>
        <w:jc w:val="both"/>
        <w:rPr>
          <w:rFonts w:ascii="Arial Narrow" w:hAnsi="Arial Narrow"/>
        </w:rPr>
      </w:pPr>
    </w:p>
    <w:p w:rsidRPr="00D9317D" w:rsidR="002229AE" w:rsidP="3417C7DD" w:rsidRDefault="2226B6C8" w14:paraId="00000006" w14:textId="0030DC8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hAnsi="Arial Narrow"/>
        </w:rPr>
      </w:pPr>
      <w:r w:rsidRPr="51AFD9E1">
        <w:rPr>
          <w:rFonts w:ascii="Arial Narrow" w:hAnsi="Arial Narrow"/>
          <w:color w:val="000000" w:themeColor="text1"/>
        </w:rPr>
        <w:t>ž</w:t>
      </w:r>
      <w:r w:rsidRPr="51AFD9E1" w:rsidR="473AAE04">
        <w:rPr>
          <w:rFonts w:ascii="Arial Narrow" w:hAnsi="Arial Narrow"/>
          <w:color w:val="000000" w:themeColor="text1"/>
        </w:rPr>
        <w:t>iadateľ</w:t>
      </w:r>
      <w:r w:rsidRPr="00D9317D" w:rsidR="004C6103">
        <w:rPr>
          <w:rFonts w:ascii="Arial Narrow" w:hAnsi="Arial Narrow"/>
          <w:color w:val="000000" w:themeColor="text1"/>
        </w:rPr>
        <w:t xml:space="preserve">, </w:t>
      </w:r>
      <w:r w:rsidRPr="00D9317D" w:rsidR="00383FB1">
        <w:rPr>
          <w:rFonts w:ascii="Arial Narrow" w:hAnsi="Arial Narrow"/>
          <w:color w:val="000000" w:themeColor="text1"/>
        </w:rPr>
        <w:t xml:space="preserve">ani štatutárny orgán žiadateľa nebol právoplatne odsúdený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verejnom obstarávaní a verejnej dražbe, </w:t>
      </w:r>
      <w:r w:rsidRPr="00D9317D" w:rsidR="3417C7DD">
        <w:rPr>
          <w:rFonts w:ascii="Arial Narrow" w:hAnsi="Arial Narrow"/>
        </w:rPr>
        <w:t>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</w:t>
      </w:r>
      <w:r w:rsidRPr="51AFD9E1" w:rsidR="525DB717">
        <w:rPr>
          <w:rFonts w:ascii="Arial Narrow" w:hAnsi="Arial Narrow"/>
        </w:rPr>
        <w:t>,</w:t>
      </w:r>
    </w:p>
    <w:p w:rsidRPr="00D9317D" w:rsidR="002229AE" w:rsidRDefault="00383FB1" w14:paraId="00000007" w14:textId="7777777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hAnsi="Arial Narrow"/>
          <w:color w:val="000000"/>
        </w:rPr>
      </w:pPr>
      <w:r w:rsidRPr="00D9317D">
        <w:rPr>
          <w:rFonts w:ascii="Arial Narrow" w:hAnsi="Arial Narrow"/>
          <w:color w:val="000000" w:themeColor="text1"/>
        </w:rPr>
        <w:t>v rámci žiadosti o poskytnutie prostriedkov mechanizmu Plánu obnovy a odolnosti (POO) je dodržaná zásada doplnkovosti financovania, t.j. predmetná podpora nepokrýva rovnaké náklady financované z iných programov a nástrojov Únie (čl. 9, Nariadenie Európskeho parlamentu a Rady (EÚ) 2021/241),</w:t>
      </w:r>
    </w:p>
    <w:p w:rsidRPr="00D9317D" w:rsidR="002229AE" w:rsidRDefault="00383FB1" w14:paraId="00000008" w14:textId="3986773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hAnsi="Arial Narrow"/>
          <w:color w:val="000000"/>
        </w:rPr>
      </w:pPr>
      <w:r w:rsidRPr="00D9317D">
        <w:rPr>
          <w:rFonts w:ascii="Arial Narrow" w:hAnsi="Arial Narrow"/>
          <w:color w:val="000000" w:themeColor="text1"/>
        </w:rPr>
        <w:t>v </w:t>
      </w:r>
      <w:r w:rsidRPr="00D9317D">
        <w:rPr>
          <w:rFonts w:ascii="Arial Narrow" w:hAnsi="Arial Narrow"/>
        </w:rPr>
        <w:t>rámci žiadosti o poskytnutie prostriedkov mechanizmu POO sú zahrnuté len opatrenia, ktoré dodržiavajú zásadu „výrazne nenarušiť“. Žiadne opatrenie vyplývajúce z poskytnutia prostriedkov nemôže výrazne narušiť environmentálne ciele, v zmysle článku 17 nariadenia EÚ 2020/852 o výraznom narušení plnenia environmentálnych cieľov</w:t>
      </w:r>
      <w:r w:rsidR="00B961BE">
        <w:rPr>
          <w:rFonts w:ascii="Arial Narrow" w:hAnsi="Arial Narrow"/>
        </w:rPr>
        <w:t>.</w:t>
      </w:r>
    </w:p>
    <w:p w:rsidRPr="00D9317D" w:rsidR="002229AE" w:rsidRDefault="00383FB1" w14:paraId="00000009" w14:textId="1B140A3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 Narrow" w:hAnsi="Arial Narrow"/>
          <w:color w:val="000000"/>
        </w:rPr>
      </w:pPr>
      <w:r w:rsidRPr="00D9317D">
        <w:rPr>
          <w:rFonts w:ascii="Arial Narrow" w:hAnsi="Arial Narrow"/>
          <w:color w:val="000000"/>
        </w:rPr>
        <w:t>žiadateľ</w:t>
      </w:r>
      <w:r w:rsidRPr="00D9317D" w:rsidR="004C6103">
        <w:rPr>
          <w:rFonts w:ascii="Arial Narrow" w:hAnsi="Arial Narrow"/>
          <w:color w:val="000000"/>
        </w:rPr>
        <w:t xml:space="preserve"> </w:t>
      </w:r>
      <w:r w:rsidRPr="00D9317D">
        <w:rPr>
          <w:rFonts w:ascii="Arial Narrow" w:hAnsi="Arial Narrow"/>
          <w:color w:val="000000"/>
        </w:rPr>
        <w:t>nie je evidovaný v Systéme včasného odhaľovania rizika a vylúčenia (EDES) ako vylúčená osoba alebo subjekt (v zmysle článku 135 a nasledujúcich nariadenia č. 2018/1046)</w:t>
      </w:r>
      <w:r w:rsidRPr="00D9317D">
        <w:rPr>
          <w:rFonts w:ascii="Arial Narrow" w:hAnsi="Arial Narrow"/>
          <w:color w:val="000000"/>
          <w:vertAlign w:val="superscript"/>
        </w:rPr>
        <w:footnoteReference w:id="2"/>
      </w:r>
      <w:r w:rsidRPr="51AFD9E1" w:rsidR="7F78FCD1">
        <w:rPr>
          <w:rFonts w:ascii="Arial Narrow" w:hAnsi="Arial Narrow"/>
          <w:color w:val="000000" w:themeColor="text1"/>
        </w:rPr>
        <w:t>,</w:t>
      </w:r>
    </w:p>
    <w:p w:rsidRPr="00D9317D" w:rsidR="002229AE" w:rsidRDefault="00383FB1" w14:paraId="0000000A" w14:textId="77777777">
      <w:pPr>
        <w:widowControl/>
        <w:numPr>
          <w:ilvl w:val="0"/>
          <w:numId w:val="4"/>
        </w:numPr>
        <w:spacing w:line="259" w:lineRule="auto"/>
        <w:rPr>
          <w:rFonts w:ascii="Arial Narrow" w:hAnsi="Arial Narrow" w:eastAsia="Arial" w:cs="Arial"/>
        </w:rPr>
      </w:pPr>
      <w:r w:rsidRPr="00D9317D">
        <w:rPr>
          <w:rFonts w:ascii="Arial Narrow" w:hAnsi="Arial Narrow"/>
        </w:rPr>
        <w:t>.........................................................</w:t>
      </w:r>
      <w:r w:rsidRPr="00D9317D">
        <w:rPr>
          <w:rFonts w:ascii="Arial Narrow" w:hAnsi="Arial Narrow"/>
          <w:vertAlign w:val="superscript"/>
        </w:rPr>
        <w:footnoteReference w:id="3"/>
      </w:r>
      <w:r w:rsidRPr="00D9317D">
        <w:rPr>
          <w:rFonts w:ascii="Arial Narrow" w:hAnsi="Arial Narrow"/>
        </w:rPr>
        <w:t xml:space="preserve"> je financovaná v prevažnej miere (viac ako 50 %) z verejných zdrojov, t. j. nie z príspevkov študentov alebo iných komerčných príjmov, </w:t>
      </w:r>
    </w:p>
    <w:p w:rsidRPr="00D9317D" w:rsidR="002229AE" w:rsidP="592027B8" w:rsidRDefault="00383FB1" w14:paraId="0000000C" w14:textId="77777777">
      <w:pPr>
        <w:widowControl/>
        <w:numPr>
          <w:ilvl w:val="0"/>
          <w:numId w:val="4"/>
        </w:numPr>
        <w:spacing w:after="240" w:line="259" w:lineRule="auto"/>
        <w:jc w:val="both"/>
        <w:rPr>
          <w:rFonts w:ascii="Arial Narrow" w:hAnsi="Arial Narrow" w:eastAsia="Arial" w:cs="Arial"/>
        </w:rPr>
      </w:pPr>
      <w:r w:rsidRPr="00D9317D">
        <w:rPr>
          <w:rFonts w:ascii="Arial Narrow" w:hAnsi="Arial Narrow"/>
        </w:rPr>
        <w:t>infraštruktúra vybudovaná alebo obnovená z prostriedkov mechanizmu sa bude využívať výlučne alebo takmer výlučne na primárnu nehospodársku činnosť</w:t>
      </w:r>
      <w:r w:rsidRPr="00D9317D">
        <w:rPr>
          <w:rFonts w:ascii="Arial Narrow" w:hAnsi="Arial Narrow"/>
          <w:vertAlign w:val="superscript"/>
        </w:rPr>
        <w:footnoteReference w:id="4"/>
      </w:r>
      <w:r w:rsidRPr="00D9317D">
        <w:rPr>
          <w:rFonts w:ascii="Arial Narrow" w:hAnsi="Arial Narrow"/>
        </w:rPr>
        <w:t xml:space="preserve">, t. j. vzdelávanie v rámci vnútroštátneho systému vzdelávania, ktoré financuje a nad ktorým vykonáva dohľad štát, pričom prípadná sprievodná hospodárska činnosť bude vykonávaná len v obmedzenom rozsahu, t. j. neprekročí 20 % ročnej kapacity dotknutej infraštruktúry, čo budem preukazovať na ročnej báze. </w:t>
      </w:r>
    </w:p>
    <w:tbl>
      <w:tblPr>
        <w:tblW w:w="9348" w:type="dxa"/>
        <w:tblInd w:w="-2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278"/>
      </w:tblGrid>
      <w:tr w:rsidRPr="00D9317D" w:rsidR="002229AE" w:rsidTr="3986B6AC" w14:paraId="74BBDA44" w14:textId="77777777">
        <w:trPr>
          <w:trHeight w:val="660"/>
        </w:trPr>
        <w:tc>
          <w:tcPr>
            <w:tcW w:w="5070" w:type="dxa"/>
            <w:shd w:val="clear" w:color="auto" w:fill="auto"/>
            <w:vAlign w:val="center"/>
          </w:tcPr>
          <w:p w:rsidRPr="00D9317D" w:rsidR="002229AE" w:rsidRDefault="00383FB1" w14:paraId="0000000D" w14:textId="77777777">
            <w:pPr>
              <w:widowControl/>
              <w:ind w:right="-108"/>
              <w:rPr>
                <w:rFonts w:ascii="Arial Narrow" w:hAnsi="Arial Narrow"/>
                <w:b/>
              </w:rPr>
            </w:pPr>
            <w:r w:rsidRPr="00D9317D">
              <w:rPr>
                <w:rFonts w:ascii="Arial Narrow" w:hAnsi="Arial Narrow"/>
                <w:b/>
              </w:rPr>
              <w:t xml:space="preserve">Názov komponentu POO 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Pr="00D9317D" w:rsidR="002229AE" w:rsidRDefault="00383FB1" w14:paraId="0000000E" w14:textId="77777777">
            <w:pPr>
              <w:widowControl/>
              <w:jc w:val="center"/>
              <w:rPr>
                <w:rFonts w:ascii="Arial Narrow" w:hAnsi="Arial Narrow"/>
              </w:rPr>
            </w:pPr>
            <w:r w:rsidRPr="00D9317D">
              <w:rPr>
                <w:rFonts w:ascii="Arial Narrow" w:hAnsi="Arial Narrow"/>
              </w:rPr>
              <w:t xml:space="preserve">Komponent 8 - Zvýšenie výkonnosti slovenských vysokých škôl </w:t>
            </w:r>
          </w:p>
        </w:tc>
      </w:tr>
      <w:tr w:rsidRPr="00D9317D" w:rsidR="002229AE" w:rsidTr="3986B6AC" w14:paraId="65B15677" w14:textId="77777777">
        <w:trPr>
          <w:trHeight w:val="675"/>
        </w:trPr>
        <w:tc>
          <w:tcPr>
            <w:tcW w:w="5070" w:type="dxa"/>
            <w:shd w:val="clear" w:color="auto" w:fill="auto"/>
            <w:vAlign w:val="center"/>
          </w:tcPr>
          <w:p w:rsidRPr="00D9317D" w:rsidR="002229AE" w:rsidRDefault="00383FB1" w14:paraId="0000000F" w14:textId="77777777">
            <w:pPr>
              <w:ind w:right="-108"/>
              <w:rPr>
                <w:rFonts w:ascii="Arial Narrow" w:hAnsi="Arial Narrow"/>
                <w:b/>
              </w:rPr>
            </w:pPr>
            <w:r w:rsidRPr="00D9317D">
              <w:rPr>
                <w:rFonts w:ascii="Arial Narrow" w:hAnsi="Arial Narrow"/>
                <w:b/>
              </w:rPr>
              <w:t>Názov investície POO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Pr="00D9317D" w:rsidR="002229AE" w:rsidRDefault="00383FB1" w14:paraId="00000010" w14:textId="77777777">
            <w:pPr>
              <w:widowControl/>
              <w:jc w:val="center"/>
              <w:rPr>
                <w:rFonts w:ascii="Arial Narrow" w:hAnsi="Arial Narrow"/>
              </w:rPr>
            </w:pPr>
            <w:r w:rsidRPr="00D9317D">
              <w:rPr>
                <w:rFonts w:ascii="Arial Narrow" w:hAnsi="Arial Narrow"/>
              </w:rPr>
              <w:t>Investícia 1 - Investičná podpora pri strategickom rozvoji vysokých škôl</w:t>
            </w:r>
          </w:p>
        </w:tc>
      </w:tr>
      <w:tr w:rsidRPr="00D9317D" w:rsidR="002229AE" w:rsidTr="3986B6AC" w14:paraId="5F4F057F" w14:textId="77777777">
        <w:trPr>
          <w:trHeight w:val="438"/>
        </w:trPr>
        <w:tc>
          <w:tcPr>
            <w:tcW w:w="5070" w:type="dxa"/>
            <w:shd w:val="clear" w:color="auto" w:fill="auto"/>
            <w:vAlign w:val="center"/>
          </w:tcPr>
          <w:p w:rsidRPr="00D9317D" w:rsidR="002229AE" w:rsidRDefault="00383FB1" w14:paraId="00000011" w14:textId="77777777">
            <w:pPr>
              <w:ind w:right="-108"/>
              <w:rPr>
                <w:rFonts w:ascii="Arial Narrow" w:hAnsi="Arial Narrow"/>
                <w:b/>
              </w:rPr>
            </w:pPr>
            <w:r w:rsidRPr="00D9317D">
              <w:rPr>
                <w:rFonts w:ascii="Arial Narrow" w:hAnsi="Arial Narrow"/>
                <w:b/>
              </w:rPr>
              <w:t>Názov výzvy/programu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Pr="00D9317D" w:rsidR="002229AE" w:rsidRDefault="00383FB1" w14:paraId="00000012" w14:textId="77777777">
            <w:pPr>
              <w:widowControl/>
              <w:jc w:val="center"/>
              <w:rPr>
                <w:rFonts w:ascii="Arial Narrow" w:hAnsi="Arial Narrow"/>
              </w:rPr>
            </w:pPr>
            <w:bookmarkStart w:name="_heading=h.gjdgxs" w:colFirst="0" w:colLast="0" w:id="0"/>
            <w:bookmarkEnd w:id="0"/>
            <w:r w:rsidRPr="00D9317D">
              <w:rPr>
                <w:rFonts w:ascii="Arial Narrow" w:hAnsi="Arial Narrow"/>
              </w:rPr>
              <w:t xml:space="preserve"> Podpora pri strategickom rozvoji infraštruktúry vysokých škôl</w:t>
            </w:r>
          </w:p>
        </w:tc>
      </w:tr>
      <w:tr w:rsidRPr="00D9317D" w:rsidR="002229AE" w:rsidTr="3986B6AC" w14:paraId="7592B30C" w14:textId="77777777">
        <w:trPr>
          <w:trHeight w:val="495"/>
        </w:trPr>
        <w:tc>
          <w:tcPr>
            <w:tcW w:w="5070" w:type="dxa"/>
            <w:shd w:val="clear" w:color="auto" w:fill="auto"/>
            <w:vAlign w:val="center"/>
          </w:tcPr>
          <w:p w:rsidRPr="00D9317D" w:rsidR="002229AE" w:rsidRDefault="00383FB1" w14:paraId="00000013" w14:textId="77777777">
            <w:pPr>
              <w:widowControl/>
              <w:ind w:right="-108"/>
              <w:rPr>
                <w:rFonts w:ascii="Arial Narrow" w:hAnsi="Arial Narrow"/>
                <w:b/>
              </w:rPr>
            </w:pPr>
            <w:r w:rsidRPr="00D9317D">
              <w:rPr>
                <w:rFonts w:ascii="Arial Narrow" w:hAnsi="Arial Narrow"/>
                <w:b/>
              </w:rPr>
              <w:t xml:space="preserve">Meno a priezvisko, titul štatutárneho zástupcu žiadateľa 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Pr="00D9317D" w:rsidR="002229AE" w:rsidRDefault="002229AE" w14:paraId="00000014" w14:textId="77777777">
            <w:pPr>
              <w:widowControl/>
              <w:jc w:val="center"/>
              <w:rPr>
                <w:rFonts w:ascii="Arial Narrow" w:hAnsi="Arial Narrow"/>
              </w:rPr>
            </w:pPr>
          </w:p>
        </w:tc>
      </w:tr>
      <w:tr w:rsidRPr="00D9317D" w:rsidR="002229AE" w:rsidTr="3986B6AC" w14:paraId="17EBD25E" w14:textId="77777777">
        <w:trPr>
          <w:trHeight w:val="390"/>
        </w:trPr>
        <w:tc>
          <w:tcPr>
            <w:tcW w:w="5070" w:type="dxa"/>
            <w:shd w:val="clear" w:color="auto" w:fill="auto"/>
            <w:vAlign w:val="center"/>
          </w:tcPr>
          <w:p w:rsidRPr="00D9317D" w:rsidR="002229AE" w:rsidRDefault="00383FB1" w14:paraId="00000015" w14:textId="77777777">
            <w:pPr>
              <w:widowControl/>
              <w:ind w:firstLine="20"/>
              <w:rPr>
                <w:rFonts w:ascii="Arial Narrow" w:hAnsi="Arial Narrow"/>
                <w:b/>
              </w:rPr>
            </w:pPr>
            <w:r w:rsidRPr="00D9317D">
              <w:rPr>
                <w:rFonts w:ascii="Arial Narrow" w:hAnsi="Arial Narrow"/>
                <w:b/>
              </w:rPr>
              <w:t>Dátum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Pr="00D9317D" w:rsidR="002229AE" w:rsidRDefault="002229AE" w14:paraId="00000016" w14:textId="77777777">
            <w:pPr>
              <w:widowControl/>
              <w:ind w:firstLine="20"/>
              <w:rPr>
                <w:rFonts w:ascii="Arial Narrow" w:hAnsi="Arial Narrow"/>
              </w:rPr>
            </w:pPr>
          </w:p>
        </w:tc>
      </w:tr>
      <w:tr w:rsidRPr="00D9317D" w:rsidR="002229AE" w:rsidTr="3986B6AC" w14:paraId="4CF20F21" w14:textId="77777777">
        <w:trPr>
          <w:trHeight w:val="570"/>
        </w:trPr>
        <w:tc>
          <w:tcPr>
            <w:tcW w:w="5070" w:type="dxa"/>
            <w:shd w:val="clear" w:color="auto" w:fill="auto"/>
            <w:vAlign w:val="center"/>
          </w:tcPr>
          <w:p w:rsidRPr="00D9317D" w:rsidR="002229AE" w:rsidRDefault="00383FB1" w14:paraId="00000017" w14:textId="77777777">
            <w:pPr>
              <w:widowControl/>
              <w:ind w:firstLine="20"/>
              <w:rPr>
                <w:rFonts w:ascii="Arial Narrow" w:hAnsi="Arial Narrow"/>
                <w:b/>
              </w:rPr>
            </w:pPr>
            <w:r w:rsidRPr="00D9317D">
              <w:rPr>
                <w:rFonts w:ascii="Arial Narrow" w:hAnsi="Arial Narrow"/>
                <w:b/>
              </w:rPr>
              <w:t>Podpis štatutárneho zástupcu žiadateľa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Pr="00D9317D" w:rsidR="002229AE" w:rsidRDefault="002229AE" w14:paraId="00000018" w14:textId="77777777">
            <w:pPr>
              <w:widowControl/>
              <w:ind w:firstLine="20"/>
              <w:rPr>
                <w:rFonts w:ascii="Arial Narrow" w:hAnsi="Arial Narrow"/>
              </w:rPr>
            </w:pPr>
          </w:p>
          <w:p w:rsidRPr="00D9317D" w:rsidR="002229AE" w:rsidRDefault="002229AE" w14:paraId="00000019" w14:textId="77777777">
            <w:pPr>
              <w:widowControl/>
              <w:ind w:firstLine="20"/>
              <w:rPr>
                <w:rFonts w:ascii="Arial Narrow" w:hAnsi="Arial Narrow"/>
              </w:rPr>
            </w:pPr>
          </w:p>
        </w:tc>
      </w:tr>
    </w:tbl>
    <w:p w:rsidRPr="00D9317D" w:rsidR="002229AE" w:rsidP="26C02630" w:rsidRDefault="002229AE" w14:paraId="0000001B" w14:textId="37406FDE">
      <w:pPr>
        <w:widowControl/>
        <w:rPr>
          <w:rFonts w:ascii="Arial Narrow" w:hAnsi="Arial Narrow" w:eastAsia="Times New Roman" w:cs="Times New Roman"/>
          <w:sz w:val="24"/>
          <w:szCs w:val="24"/>
        </w:rPr>
      </w:pPr>
    </w:p>
    <w:p w:rsidRPr="00D9317D" w:rsidR="002229AE" w:rsidP="3986B6AC" w:rsidRDefault="3E5F20B0" w14:paraId="3E0256A3" w14:textId="1D52CE34">
      <w:pPr>
        <w:widowControl/>
        <w:rPr>
          <w:rFonts w:ascii="Arial Narrow" w:hAnsi="Arial Narrow"/>
        </w:rPr>
      </w:pPr>
      <w:r w:rsidRPr="3419B06B">
        <w:rPr>
          <w:rFonts w:ascii="Arial Narrow" w:hAnsi="Arial Narrow"/>
        </w:rPr>
        <w:lastRenderedPageBreak/>
        <w:t>Ja, dolu podpísaný(á), týmto čestne vyhlasujem, že:</w:t>
      </w:r>
    </w:p>
    <w:p w:rsidRPr="00D9317D" w:rsidR="002229AE" w:rsidP="3419B06B" w:rsidRDefault="002229AE" w14:paraId="25AE32F6" w14:textId="77777777">
      <w:pPr>
        <w:widowControl/>
        <w:jc w:val="both"/>
        <w:rPr>
          <w:rFonts w:ascii="Arial Narrow" w:hAnsi="Arial Narrow"/>
        </w:rPr>
      </w:pPr>
    </w:p>
    <w:p w:rsidRPr="00A97365" w:rsidR="002229AE" w:rsidP="5803BA93" w:rsidRDefault="3E5F20B0" w14:paraId="53A71DCE" w14:textId="21D2F332">
      <w:pPr>
        <w:pStyle w:val="Odsekzoznamu"/>
        <w:widowControl w:val="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hAnsi="Arial Narrow"/>
          <w:color w:val="000000" w:themeColor="text1"/>
        </w:rPr>
      </w:pPr>
      <w:r w:rsidRPr="5803BA93" w:rsidR="3E5F20B0">
        <w:rPr>
          <w:rFonts w:ascii="Arial Narrow" w:hAnsi="Arial Narrow"/>
          <w:color w:val="000000" w:themeColor="text1" w:themeTint="FF" w:themeShade="FF"/>
        </w:rPr>
        <w:t xml:space="preserve">partner, ani štatutárny orgán partnera nebol právoplatne odsúdený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verejnom obstarávaní a verejnej dražbe, </w:t>
      </w:r>
      <w:r w:rsidRPr="5803BA93" w:rsidR="3E5F20B0">
        <w:rPr>
          <w:rFonts w:ascii="Arial Narrow" w:hAnsi="Arial Narrow"/>
          <w:color w:val="000000" w:themeColor="text1" w:themeTint="FF" w:themeShade="FF"/>
        </w:rPr>
        <w:t>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</w:t>
      </w:r>
      <w:r w:rsidRPr="5803BA93" w:rsidR="4F994BB5">
        <w:rPr>
          <w:rFonts w:ascii="Arial Narrow" w:hAnsi="Arial Narrow"/>
        </w:rPr>
        <w:t>,</w:t>
      </w:r>
    </w:p>
    <w:p w:rsidRPr="00D9317D" w:rsidR="002229AE" w:rsidP="5803BA93" w:rsidRDefault="3E5F20B0" w14:paraId="5694C84E" w14:textId="77777777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 Narrow" w:hAnsi="Arial Narrow"/>
          <w:color w:val="000000" w:themeColor="text1"/>
        </w:rPr>
      </w:pPr>
      <w:r w:rsidRPr="5803BA93" w:rsidR="3E5F20B0">
        <w:rPr>
          <w:rFonts w:ascii="Arial Narrow" w:hAnsi="Arial Narrow"/>
          <w:color w:val="000000" w:themeColor="text1" w:themeTint="FF" w:themeShade="FF"/>
        </w:rPr>
        <w:t>v rámci žiadosti o poskytnutie prostriedkov mechanizmu Plánu obnovy a odolnosti (POO) je dodržaná zásada doplnkovosti financovania, t.j. predmetná podpora nepokrýva rovnaké náklady financované z iných programov a nástrojov Únie (čl. 9, Nariadenie Európskeho parlamentu a Rady (EÚ) 2021/241),</w:t>
      </w:r>
      <w:bookmarkStart w:name="_GoBack" w:id="1"/>
      <w:bookmarkEnd w:id="1"/>
    </w:p>
    <w:p w:rsidRPr="00D9317D" w:rsidR="002229AE" w:rsidP="592027B8" w:rsidRDefault="3E5F20B0" w14:paraId="426ACB5A" w14:textId="0699C67B">
      <w:pPr>
        <w:widowControl/>
        <w:numPr>
          <w:ilvl w:val="0"/>
          <w:numId w:val="5"/>
        </w:numPr>
        <w:spacing w:line="259" w:lineRule="auto"/>
        <w:jc w:val="both"/>
        <w:rPr>
          <w:rFonts w:ascii="Arial Narrow" w:hAnsi="Arial Narrow"/>
          <w:color w:val="000000" w:themeColor="text1"/>
        </w:rPr>
      </w:pPr>
      <w:r w:rsidRPr="3419B06B">
        <w:rPr>
          <w:rFonts w:ascii="Arial Narrow" w:hAnsi="Arial Narrow"/>
          <w:color w:val="000000" w:themeColor="text1"/>
        </w:rPr>
        <w:t>v </w:t>
      </w:r>
      <w:r w:rsidRPr="3419B06B">
        <w:rPr>
          <w:rFonts w:ascii="Arial Narrow" w:hAnsi="Arial Narrow"/>
        </w:rPr>
        <w:t>rámci žiadosti o poskytnutie prostriedkov mechanizmu POO sú zahrnuté len opatrenia, ktoré dodržiavajú zásadu „výrazne nenarušiť“. Žiadne opatrenie vyplývajúce z poskytnutia prostriedkov nemôže výrazne narušiť environmentálne ciele, v zmysle článku 17 nariadenia EÚ 2020/852 o výraznom narušení plnenia environmentálnych cieľov,</w:t>
      </w:r>
    </w:p>
    <w:p w:rsidRPr="00D9317D" w:rsidR="002229AE" w:rsidP="592027B8" w:rsidRDefault="3E5F20B0" w14:paraId="3514487C" w14:textId="11661B7B">
      <w:pPr>
        <w:widowControl/>
        <w:numPr>
          <w:ilvl w:val="0"/>
          <w:numId w:val="5"/>
        </w:numPr>
        <w:spacing w:after="160" w:line="259" w:lineRule="auto"/>
        <w:jc w:val="both"/>
        <w:rPr>
          <w:rFonts w:ascii="Arial Narrow" w:hAnsi="Arial Narrow"/>
          <w:color w:val="000000" w:themeColor="text1"/>
        </w:rPr>
      </w:pPr>
      <w:r w:rsidRPr="3419B06B">
        <w:rPr>
          <w:rFonts w:ascii="Arial Narrow" w:hAnsi="Arial Narrow"/>
          <w:color w:val="000000" w:themeColor="text1"/>
        </w:rPr>
        <w:t>partner nie je evidovaný v Systéme včasného odhaľovania rizika a vylúčenia (EDES) ako vylúčená osoba alebo subjekt (v zmysle článku 135 a nasledujúcich nariadenia č. 2018/1046)</w:t>
      </w:r>
      <w:r w:rsidRPr="3419B06B" w:rsidR="002229AE">
        <w:rPr>
          <w:rFonts w:ascii="Arial Narrow" w:hAnsi="Arial Narrow"/>
          <w:color w:val="000000" w:themeColor="text1"/>
          <w:vertAlign w:val="superscript"/>
        </w:rPr>
        <w:footnoteReference w:id="5"/>
      </w:r>
      <w:r w:rsidRPr="51AFD9E1" w:rsidR="25FF189A">
        <w:rPr>
          <w:rFonts w:ascii="Arial Narrow" w:hAnsi="Arial Narrow"/>
          <w:color w:val="000000" w:themeColor="text1"/>
        </w:rPr>
        <w:t xml:space="preserve"> ,</w:t>
      </w:r>
    </w:p>
    <w:p w:rsidRPr="00D9317D" w:rsidR="002229AE" w:rsidP="592027B8" w:rsidRDefault="3E5F20B0" w14:paraId="74BBFD37" w14:textId="77777777">
      <w:pPr>
        <w:widowControl/>
        <w:numPr>
          <w:ilvl w:val="0"/>
          <w:numId w:val="5"/>
        </w:numPr>
        <w:spacing w:line="259" w:lineRule="auto"/>
        <w:rPr>
          <w:rFonts w:ascii="Arial Narrow" w:hAnsi="Arial Narrow" w:eastAsia="Arial" w:cs="Arial"/>
        </w:rPr>
      </w:pPr>
      <w:r w:rsidRPr="3419B06B">
        <w:rPr>
          <w:rFonts w:ascii="Arial Narrow" w:hAnsi="Arial Narrow"/>
        </w:rPr>
        <w:t>.........................................................</w:t>
      </w:r>
      <w:r w:rsidRPr="3419B06B" w:rsidR="002229AE">
        <w:rPr>
          <w:rFonts w:ascii="Arial Narrow" w:hAnsi="Arial Narrow"/>
          <w:vertAlign w:val="superscript"/>
        </w:rPr>
        <w:footnoteReference w:id="6"/>
      </w:r>
      <w:r w:rsidRPr="3419B06B">
        <w:rPr>
          <w:rFonts w:ascii="Arial Narrow" w:hAnsi="Arial Narrow"/>
        </w:rPr>
        <w:t xml:space="preserve"> je financovaná v prevažnej miere (viac ako 50 %) z verejných zdrojov, t. j. nie z príspevkov študentov alebo iných komerčných príjmov, </w:t>
      </w:r>
    </w:p>
    <w:p w:rsidRPr="00D9317D" w:rsidR="002229AE" w:rsidP="592027B8" w:rsidRDefault="3E5F20B0" w14:paraId="16963FB5" w14:textId="77777777">
      <w:pPr>
        <w:widowControl/>
        <w:numPr>
          <w:ilvl w:val="0"/>
          <w:numId w:val="5"/>
        </w:numPr>
        <w:spacing w:after="240" w:line="259" w:lineRule="auto"/>
        <w:jc w:val="both"/>
        <w:rPr>
          <w:rFonts w:ascii="Arial Narrow" w:hAnsi="Arial Narrow" w:eastAsia="Arial" w:cs="Arial"/>
        </w:rPr>
      </w:pPr>
      <w:r w:rsidRPr="3419B06B">
        <w:rPr>
          <w:rFonts w:ascii="Arial Narrow" w:hAnsi="Arial Narrow"/>
        </w:rPr>
        <w:t>infraštruktúra vybudovaná alebo obnovená z prostriedkov mechanizmu sa bude využívať výlučne alebo takmer výlučne na primárnu nehospodársku činnosť</w:t>
      </w:r>
      <w:r w:rsidRPr="3419B06B" w:rsidR="002229AE">
        <w:rPr>
          <w:rFonts w:ascii="Arial Narrow" w:hAnsi="Arial Narrow"/>
          <w:vertAlign w:val="superscript"/>
        </w:rPr>
        <w:footnoteReference w:id="7"/>
      </w:r>
      <w:r w:rsidRPr="3419B06B">
        <w:rPr>
          <w:rFonts w:ascii="Arial Narrow" w:hAnsi="Arial Narrow"/>
        </w:rPr>
        <w:t xml:space="preserve">, t. j. vzdelávanie v rámci vnútroštátneho systému vzdelávania, ktoré financuje a nad ktorým vykonáva dohľad štát, pričom prípadná sprievodná hospodárska činnosť bude vykonávaná len v obmedzenom rozsahu, t. j. neprekročí 20 % ročnej kapacity dotknutej infraštruktúry, čo budem preukazovať na ročnej báze. </w:t>
      </w:r>
    </w:p>
    <w:p w:rsidRPr="00D9317D" w:rsidR="002229AE" w:rsidP="3419B06B" w:rsidRDefault="002229AE" w14:paraId="268469E3" w14:textId="77777777">
      <w:pPr>
        <w:widowControl/>
        <w:rPr>
          <w:rFonts w:ascii="Arial Narrow" w:hAnsi="Arial Narrow" w:eastAsia="Times New Roman" w:cs="Times New Roman"/>
          <w:sz w:val="24"/>
          <w:szCs w:val="24"/>
        </w:rPr>
      </w:pPr>
    </w:p>
    <w:tbl>
      <w:tblPr>
        <w:tblW w:w="9348" w:type="dxa"/>
        <w:tblInd w:w="-2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00" w:firstRow="0" w:lastRow="0" w:firstColumn="0" w:lastColumn="0" w:noHBand="0" w:noVBand="0"/>
      </w:tblPr>
      <w:tblGrid>
        <w:gridCol w:w="4950"/>
        <w:gridCol w:w="4398"/>
      </w:tblGrid>
      <w:tr w:rsidR="3419B06B" w:rsidTr="3986B6AC" w14:paraId="715484A7" w14:textId="77777777">
        <w:trPr>
          <w:trHeight w:val="600"/>
        </w:trPr>
        <w:tc>
          <w:tcPr>
            <w:tcW w:w="4950" w:type="dxa"/>
            <w:shd w:val="clear" w:color="auto" w:fill="auto"/>
            <w:vAlign w:val="center"/>
          </w:tcPr>
          <w:p w:rsidR="3419B06B" w:rsidP="3419B06B" w:rsidRDefault="3419B06B" w14:paraId="1AAF38B5" w14:textId="77777777">
            <w:pPr>
              <w:widowControl/>
              <w:ind w:right="-108"/>
              <w:rPr>
                <w:rFonts w:ascii="Arial Narrow" w:hAnsi="Arial Narrow"/>
                <w:b/>
                <w:bCs/>
              </w:rPr>
            </w:pPr>
            <w:r w:rsidRPr="3419B06B">
              <w:rPr>
                <w:rFonts w:ascii="Arial Narrow" w:hAnsi="Arial Narrow"/>
                <w:b/>
                <w:bCs/>
              </w:rPr>
              <w:t xml:space="preserve">Názov komponentu POO 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3419B06B" w:rsidP="3419B06B" w:rsidRDefault="3419B06B" w14:paraId="500B0968" w14:textId="77777777">
            <w:pPr>
              <w:widowControl/>
              <w:jc w:val="center"/>
              <w:rPr>
                <w:rFonts w:ascii="Arial Narrow" w:hAnsi="Arial Narrow"/>
              </w:rPr>
            </w:pPr>
            <w:r w:rsidRPr="3419B06B">
              <w:rPr>
                <w:rFonts w:ascii="Arial Narrow" w:hAnsi="Arial Narrow"/>
              </w:rPr>
              <w:t xml:space="preserve">Komponent 8 - Zvýšenie výkonnosti slovenských vysokých škôl </w:t>
            </w:r>
          </w:p>
        </w:tc>
      </w:tr>
      <w:tr w:rsidR="3419B06B" w:rsidTr="3986B6AC" w14:paraId="7343C8B1" w14:textId="77777777">
        <w:trPr>
          <w:trHeight w:val="570"/>
        </w:trPr>
        <w:tc>
          <w:tcPr>
            <w:tcW w:w="4950" w:type="dxa"/>
            <w:shd w:val="clear" w:color="auto" w:fill="auto"/>
            <w:vAlign w:val="center"/>
          </w:tcPr>
          <w:p w:rsidR="3419B06B" w:rsidP="3419B06B" w:rsidRDefault="3419B06B" w14:paraId="309F655C" w14:textId="77777777">
            <w:pPr>
              <w:ind w:right="-108"/>
              <w:rPr>
                <w:rFonts w:ascii="Arial Narrow" w:hAnsi="Arial Narrow"/>
                <w:b/>
                <w:bCs/>
              </w:rPr>
            </w:pPr>
            <w:r w:rsidRPr="3419B06B">
              <w:rPr>
                <w:rFonts w:ascii="Arial Narrow" w:hAnsi="Arial Narrow"/>
                <w:b/>
                <w:bCs/>
              </w:rPr>
              <w:t>Názov investície POO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3419B06B" w:rsidP="3419B06B" w:rsidRDefault="3419B06B" w14:paraId="7FFCC6C1" w14:textId="77777777">
            <w:pPr>
              <w:widowControl/>
              <w:jc w:val="center"/>
              <w:rPr>
                <w:rFonts w:ascii="Arial Narrow" w:hAnsi="Arial Narrow"/>
              </w:rPr>
            </w:pPr>
            <w:r w:rsidRPr="3419B06B">
              <w:rPr>
                <w:rFonts w:ascii="Arial Narrow" w:hAnsi="Arial Narrow"/>
              </w:rPr>
              <w:t>Investícia 1 - Investičná podpora pri strategickom rozvoji vysokých škôl</w:t>
            </w:r>
          </w:p>
        </w:tc>
      </w:tr>
      <w:tr w:rsidR="3419B06B" w:rsidTr="3986B6AC" w14:paraId="0AB5B188" w14:textId="77777777">
        <w:trPr>
          <w:trHeight w:val="438"/>
        </w:trPr>
        <w:tc>
          <w:tcPr>
            <w:tcW w:w="4950" w:type="dxa"/>
            <w:shd w:val="clear" w:color="auto" w:fill="auto"/>
            <w:vAlign w:val="center"/>
          </w:tcPr>
          <w:p w:rsidR="3419B06B" w:rsidP="3419B06B" w:rsidRDefault="3419B06B" w14:paraId="102773AB" w14:textId="77777777">
            <w:pPr>
              <w:ind w:right="-108"/>
              <w:rPr>
                <w:rFonts w:ascii="Arial Narrow" w:hAnsi="Arial Narrow"/>
                <w:b/>
                <w:bCs/>
              </w:rPr>
            </w:pPr>
            <w:r w:rsidRPr="3419B06B">
              <w:rPr>
                <w:rFonts w:ascii="Arial Narrow" w:hAnsi="Arial Narrow"/>
                <w:b/>
                <w:bCs/>
              </w:rPr>
              <w:t>Názov výzvy/programu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3419B06B" w:rsidP="3419B06B" w:rsidRDefault="3419B06B" w14:paraId="71519049" w14:textId="77777777">
            <w:pPr>
              <w:widowControl/>
              <w:jc w:val="center"/>
              <w:rPr>
                <w:rFonts w:ascii="Arial Narrow" w:hAnsi="Arial Narrow"/>
              </w:rPr>
            </w:pPr>
            <w:r w:rsidRPr="3419B06B">
              <w:rPr>
                <w:rFonts w:ascii="Arial Narrow" w:hAnsi="Arial Narrow"/>
              </w:rPr>
              <w:t xml:space="preserve"> Podpora pri strategickom rozvoji infraštruktúry vysokých škôl</w:t>
            </w:r>
          </w:p>
        </w:tc>
      </w:tr>
      <w:tr w:rsidR="3419B06B" w:rsidTr="3986B6AC" w14:paraId="3A2CBC1F" w14:textId="77777777">
        <w:trPr>
          <w:trHeight w:val="495"/>
        </w:trPr>
        <w:tc>
          <w:tcPr>
            <w:tcW w:w="4950" w:type="dxa"/>
            <w:shd w:val="clear" w:color="auto" w:fill="auto"/>
            <w:vAlign w:val="center"/>
          </w:tcPr>
          <w:p w:rsidR="3419B06B" w:rsidP="3419B06B" w:rsidRDefault="3419B06B" w14:paraId="76A324AC" w14:textId="2CCBC5DD">
            <w:pPr>
              <w:widowControl/>
              <w:ind w:right="-108"/>
              <w:rPr>
                <w:rFonts w:ascii="Arial Narrow" w:hAnsi="Arial Narrow"/>
                <w:b/>
                <w:bCs/>
              </w:rPr>
            </w:pPr>
            <w:r w:rsidRPr="3419B06B">
              <w:rPr>
                <w:rFonts w:ascii="Arial Narrow" w:hAnsi="Arial Narrow"/>
                <w:b/>
                <w:bCs/>
              </w:rPr>
              <w:t xml:space="preserve">Meno a priezvisko, titul štatutárneho zástupcu </w:t>
            </w:r>
            <w:r w:rsidRPr="592027B8" w:rsidR="167B12F7">
              <w:rPr>
                <w:rFonts w:ascii="Arial Narrow" w:hAnsi="Arial Narrow"/>
                <w:b/>
                <w:bCs/>
              </w:rPr>
              <w:t>partnera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3419B06B" w:rsidP="3419B06B" w:rsidRDefault="3419B06B" w14:paraId="5FDFAF67" w14:textId="77777777">
            <w:pPr>
              <w:widowControl/>
              <w:jc w:val="center"/>
              <w:rPr>
                <w:rFonts w:ascii="Arial Narrow" w:hAnsi="Arial Narrow"/>
              </w:rPr>
            </w:pPr>
          </w:p>
        </w:tc>
      </w:tr>
      <w:tr w:rsidR="3419B06B" w:rsidTr="3986B6AC" w14:paraId="421164CD" w14:textId="77777777">
        <w:trPr>
          <w:trHeight w:val="420"/>
        </w:trPr>
        <w:tc>
          <w:tcPr>
            <w:tcW w:w="4950" w:type="dxa"/>
            <w:shd w:val="clear" w:color="auto" w:fill="auto"/>
            <w:vAlign w:val="center"/>
          </w:tcPr>
          <w:p w:rsidR="3419B06B" w:rsidP="3419B06B" w:rsidRDefault="3419B06B" w14:paraId="37E163E5" w14:textId="77777777">
            <w:pPr>
              <w:widowControl/>
              <w:ind w:firstLine="20"/>
              <w:rPr>
                <w:rFonts w:ascii="Arial Narrow" w:hAnsi="Arial Narrow"/>
                <w:b/>
                <w:bCs/>
              </w:rPr>
            </w:pPr>
            <w:r w:rsidRPr="3419B06B">
              <w:rPr>
                <w:rFonts w:ascii="Arial Narrow" w:hAnsi="Arial Narrow"/>
                <w:b/>
                <w:bCs/>
              </w:rPr>
              <w:t>Dátum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3419B06B" w:rsidP="3419B06B" w:rsidRDefault="3419B06B" w14:paraId="4B8D83B7" w14:textId="77777777">
            <w:pPr>
              <w:widowControl/>
              <w:ind w:firstLine="20"/>
              <w:rPr>
                <w:rFonts w:ascii="Arial Narrow" w:hAnsi="Arial Narrow"/>
              </w:rPr>
            </w:pPr>
          </w:p>
        </w:tc>
      </w:tr>
      <w:tr w:rsidR="3419B06B" w:rsidTr="3986B6AC" w14:paraId="246E2B8E" w14:textId="77777777">
        <w:trPr>
          <w:trHeight w:val="570"/>
        </w:trPr>
        <w:tc>
          <w:tcPr>
            <w:tcW w:w="4950" w:type="dxa"/>
            <w:shd w:val="clear" w:color="auto" w:fill="auto"/>
            <w:vAlign w:val="center"/>
          </w:tcPr>
          <w:p w:rsidR="3419B06B" w:rsidP="3419B06B" w:rsidRDefault="3419B06B" w14:paraId="3BEC3B86" w14:textId="218751D7">
            <w:pPr>
              <w:widowControl/>
              <w:ind w:firstLine="20"/>
              <w:rPr>
                <w:rFonts w:ascii="Arial Narrow" w:hAnsi="Arial Narrow"/>
                <w:b/>
                <w:bCs/>
              </w:rPr>
            </w:pPr>
            <w:r w:rsidRPr="3419B06B">
              <w:rPr>
                <w:rFonts w:ascii="Arial Narrow" w:hAnsi="Arial Narrow"/>
                <w:b/>
                <w:bCs/>
              </w:rPr>
              <w:t xml:space="preserve">Podpis štatutárneho zástupcu </w:t>
            </w:r>
            <w:r w:rsidRPr="592027B8" w:rsidR="72E4A577">
              <w:rPr>
                <w:rFonts w:ascii="Arial Narrow" w:hAnsi="Arial Narrow"/>
                <w:b/>
                <w:bCs/>
              </w:rPr>
              <w:t>partnera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3419B06B" w:rsidP="3419B06B" w:rsidRDefault="3419B06B" w14:paraId="63DE107F" w14:textId="77777777">
            <w:pPr>
              <w:widowControl/>
              <w:ind w:firstLine="20"/>
              <w:rPr>
                <w:rFonts w:ascii="Arial Narrow" w:hAnsi="Arial Narrow"/>
              </w:rPr>
            </w:pPr>
          </w:p>
          <w:p w:rsidR="3419B06B" w:rsidP="3419B06B" w:rsidRDefault="3419B06B" w14:paraId="22E04618" w14:textId="77777777">
            <w:pPr>
              <w:widowControl/>
              <w:ind w:firstLine="20"/>
              <w:rPr>
                <w:rFonts w:ascii="Arial Narrow" w:hAnsi="Arial Narrow"/>
              </w:rPr>
            </w:pPr>
          </w:p>
        </w:tc>
      </w:tr>
    </w:tbl>
    <w:p w:rsidRPr="00D9317D" w:rsidR="002229AE" w:rsidRDefault="002229AE" w14:paraId="0000001D" w14:textId="764092FD">
      <w:pPr>
        <w:widowControl/>
        <w:jc w:val="center"/>
        <w:rPr>
          <w:rFonts w:ascii="Arial Narrow" w:hAnsi="Arial Narrow" w:eastAsia="Times New Roman" w:cs="Times New Roman"/>
          <w:sz w:val="24"/>
          <w:szCs w:val="24"/>
        </w:rPr>
      </w:pPr>
    </w:p>
    <w:p w:rsidRPr="00D9317D" w:rsidR="002229AE" w:rsidRDefault="002229AE" w14:paraId="0000001E" w14:textId="77777777">
      <w:pPr>
        <w:rPr>
          <w:rFonts w:ascii="Arial Narrow" w:hAnsi="Arial Narrow"/>
        </w:rPr>
      </w:pPr>
    </w:p>
    <w:sectPr w:rsidRPr="00D9317D" w:rsidR="002229AE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365" w:rsidRDefault="00A97365" w14:paraId="3A587132" w14:textId="77777777">
      <w:r>
        <w:separator/>
      </w:r>
    </w:p>
  </w:endnote>
  <w:endnote w:type="continuationSeparator" w:id="0">
    <w:p w:rsidR="00A97365" w:rsidRDefault="00A97365" w14:paraId="5FA3D171" w14:textId="77777777">
      <w:r>
        <w:continuationSeparator/>
      </w:r>
    </w:p>
  </w:endnote>
  <w:endnote w:type="continuationNotice" w:id="1">
    <w:p w:rsidR="00A97365" w:rsidRDefault="00A97365" w14:paraId="58747F4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A97365" w:rsidTr="33CFC249" w14:paraId="76A52A82" w14:textId="77777777">
      <w:tc>
        <w:tcPr>
          <w:tcW w:w="3020" w:type="dxa"/>
        </w:tcPr>
        <w:p w:rsidR="00A97365" w:rsidP="33CFC249" w:rsidRDefault="00A97365" w14:paraId="0EAB5041" w14:textId="6DFB552C">
          <w:pPr>
            <w:pStyle w:val="Hlavika"/>
            <w:ind w:left="-115"/>
          </w:pPr>
        </w:p>
      </w:tc>
      <w:tc>
        <w:tcPr>
          <w:tcW w:w="3020" w:type="dxa"/>
        </w:tcPr>
        <w:p w:rsidR="00A97365" w:rsidP="33CFC249" w:rsidRDefault="00A97365" w14:paraId="47DB0CD7" w14:textId="28ED403A">
          <w:pPr>
            <w:pStyle w:val="Hlavika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  <w:tc>
        <w:tcPr>
          <w:tcW w:w="3020" w:type="dxa"/>
        </w:tcPr>
        <w:p w:rsidR="00A97365" w:rsidP="33CFC249" w:rsidRDefault="00A97365" w14:paraId="670F8C15" w14:textId="3D2CF67A">
          <w:pPr>
            <w:pStyle w:val="Hlavika"/>
            <w:ind w:right="-115"/>
            <w:jc w:val="right"/>
          </w:pPr>
        </w:p>
      </w:tc>
    </w:tr>
  </w:tbl>
  <w:p w:rsidR="00A97365" w:rsidRDefault="00A97365" w14:paraId="22AFB2FE" w14:textId="403466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365" w:rsidRDefault="00A97365" w14:paraId="01A47DBA" w14:textId="77777777">
      <w:r>
        <w:separator/>
      </w:r>
    </w:p>
  </w:footnote>
  <w:footnote w:type="continuationSeparator" w:id="0">
    <w:p w:rsidR="00A97365" w:rsidRDefault="00A97365" w14:paraId="7AD997DE" w14:textId="77777777">
      <w:r>
        <w:continuationSeparator/>
      </w:r>
    </w:p>
  </w:footnote>
  <w:footnote w:type="continuationNotice" w:id="1">
    <w:p w:rsidR="00A97365" w:rsidRDefault="00A97365" w14:paraId="1A263E54" w14:textId="77777777"/>
  </w:footnote>
  <w:footnote w:id="2">
    <w:p w:rsidRPr="00D9317D" w:rsidR="00A97365" w:rsidRDefault="00A97365" w14:paraId="0000001F" w14:textId="7777777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 w:eastAsia="Times New Roman" w:cs="Times New Roman"/>
          <w:color w:val="000000"/>
          <w:sz w:val="20"/>
          <w:szCs w:val="20"/>
        </w:rPr>
      </w:pPr>
      <w:r w:rsidRPr="00D9317D">
        <w:rPr>
          <w:rFonts w:ascii="Arial Narrow" w:hAnsi="Arial Narrow"/>
          <w:vertAlign w:val="superscript"/>
        </w:rPr>
        <w:footnoteRef/>
      </w:r>
      <w:r w:rsidRPr="00D9317D">
        <w:rPr>
          <w:rFonts w:ascii="Arial Narrow" w:hAnsi="Arial Narrow"/>
          <w:color w:val="000000"/>
          <w:sz w:val="20"/>
          <w:szCs w:val="20"/>
        </w:rPr>
        <w:t xml:space="preserve"> Overenie evidencie v Systéme včasného odhaľovania rizika a vylúčenia (EDES) je možné na tomto odkaze: </w:t>
      </w:r>
      <w:hyperlink r:id="rId1">
        <w:r w:rsidRPr="00D9317D">
          <w:rPr>
            <w:rFonts w:ascii="Arial Narrow" w:hAnsi="Arial Narrow"/>
            <w:color w:val="0563C1"/>
            <w:sz w:val="20"/>
            <w:szCs w:val="20"/>
            <w:u w:val="single"/>
          </w:rPr>
          <w:t>https://ec.europa.eu/info/strategy/eu-budget/how-it-works/annual-lifecycle/implementation/anti-fraud-measures/edes/database_en</w:t>
        </w:r>
      </w:hyperlink>
      <w:r w:rsidRPr="00D9317D">
        <w:rPr>
          <w:rFonts w:ascii="Arial Narrow" w:hAnsi="Arial Narrow" w:eastAsia="Times New Roman" w:cs="Times New Roman"/>
          <w:color w:val="000000"/>
          <w:sz w:val="20"/>
          <w:szCs w:val="20"/>
        </w:rPr>
        <w:t xml:space="preserve"> </w:t>
      </w:r>
    </w:p>
  </w:footnote>
  <w:footnote w:id="3">
    <w:p w:rsidRPr="00D9317D" w:rsidR="00A97365" w:rsidRDefault="00A97365" w14:paraId="00000020" w14:textId="77777777">
      <w:pPr>
        <w:rPr>
          <w:rFonts w:ascii="Arial Narrow" w:hAnsi="Arial Narrow"/>
          <w:sz w:val="20"/>
          <w:szCs w:val="20"/>
        </w:rPr>
      </w:pPr>
      <w:r w:rsidRPr="00D9317D">
        <w:rPr>
          <w:rFonts w:ascii="Arial Narrow" w:hAnsi="Arial Narrow"/>
          <w:vertAlign w:val="superscript"/>
        </w:rPr>
        <w:footnoteRef/>
      </w:r>
      <w:r w:rsidRPr="00D9317D">
        <w:rPr>
          <w:rFonts w:ascii="Arial Narrow" w:hAnsi="Arial Narrow"/>
          <w:sz w:val="20"/>
          <w:szCs w:val="20"/>
        </w:rPr>
        <w:t xml:space="preserve"> Doplniť názov školy a</w:t>
      </w:r>
      <w:r w:rsidRPr="00D9317D">
        <w:rPr>
          <w:rFonts w:ascii="Arial" w:hAnsi="Arial" w:cs="Arial"/>
          <w:sz w:val="20"/>
          <w:szCs w:val="20"/>
        </w:rPr>
        <w:t> </w:t>
      </w:r>
      <w:r w:rsidRPr="00D9317D">
        <w:rPr>
          <w:rFonts w:ascii="Arial Narrow" w:hAnsi="Arial Narrow"/>
          <w:sz w:val="20"/>
          <w:szCs w:val="20"/>
        </w:rPr>
        <w:t>jej adresu</w:t>
      </w:r>
    </w:p>
  </w:footnote>
  <w:footnote w:id="4">
    <w:p w:rsidRPr="00D9317D" w:rsidR="00A97365" w:rsidRDefault="00A97365" w14:paraId="00000021" w14:textId="77777777">
      <w:pPr>
        <w:rPr>
          <w:rFonts w:ascii="Arial Narrow" w:hAnsi="Arial Narrow"/>
          <w:color w:val="0563C1"/>
          <w:sz w:val="20"/>
          <w:szCs w:val="20"/>
          <w:highlight w:val="white"/>
        </w:rPr>
      </w:pPr>
      <w:r w:rsidRPr="00D9317D">
        <w:rPr>
          <w:rFonts w:ascii="Arial Narrow" w:hAnsi="Arial Narrow"/>
          <w:vertAlign w:val="superscript"/>
        </w:rPr>
        <w:footnoteRef/>
      </w:r>
      <w:r w:rsidRPr="00D9317D">
        <w:rPr>
          <w:rFonts w:ascii="Arial Narrow" w:hAnsi="Arial Narrow"/>
          <w:sz w:val="20"/>
          <w:szCs w:val="20"/>
        </w:rPr>
        <w:t xml:space="preserve"> </w:t>
      </w:r>
      <w:r w:rsidRPr="00D9317D">
        <w:rPr>
          <w:rFonts w:ascii="Arial Narrow" w:hAnsi="Arial Narrow"/>
          <w:sz w:val="20"/>
          <w:szCs w:val="20"/>
          <w:highlight w:val="white"/>
        </w:rPr>
        <w:t>Bližšie informácie o</w:t>
      </w:r>
      <w:r w:rsidRPr="00D9317D">
        <w:rPr>
          <w:rFonts w:ascii="Arial" w:hAnsi="Arial" w:cs="Arial"/>
          <w:sz w:val="20"/>
          <w:szCs w:val="20"/>
          <w:highlight w:val="white"/>
        </w:rPr>
        <w:t> </w:t>
      </w:r>
      <w:r w:rsidRPr="00D9317D">
        <w:rPr>
          <w:rFonts w:ascii="Arial Narrow" w:hAnsi="Arial Narrow"/>
          <w:sz w:val="20"/>
          <w:szCs w:val="20"/>
          <w:highlight w:val="white"/>
        </w:rPr>
        <w:t>vzdel</w:t>
      </w:r>
      <w:r w:rsidRPr="00D9317D">
        <w:rPr>
          <w:rFonts w:ascii="Arial Narrow" w:hAnsi="Arial Narrow" w:cs="Arial Narrow"/>
          <w:sz w:val="20"/>
          <w:szCs w:val="20"/>
          <w:highlight w:val="white"/>
        </w:rPr>
        <w:t>á</w:t>
      </w:r>
      <w:r w:rsidRPr="00D9317D">
        <w:rPr>
          <w:rFonts w:ascii="Arial Narrow" w:hAnsi="Arial Narrow"/>
          <w:sz w:val="20"/>
          <w:szCs w:val="20"/>
          <w:highlight w:val="white"/>
        </w:rPr>
        <w:t>van</w:t>
      </w:r>
      <w:r w:rsidRPr="00D9317D">
        <w:rPr>
          <w:rFonts w:ascii="Arial Narrow" w:hAnsi="Arial Narrow" w:cs="Arial Narrow"/>
          <w:sz w:val="20"/>
          <w:szCs w:val="20"/>
          <w:highlight w:val="white"/>
        </w:rPr>
        <w:t>í</w:t>
      </w:r>
      <w:r w:rsidRPr="00D9317D">
        <w:rPr>
          <w:rFonts w:ascii="Arial Narrow" w:hAnsi="Arial Narrow"/>
          <w:sz w:val="20"/>
          <w:szCs w:val="20"/>
          <w:highlight w:val="white"/>
        </w:rPr>
        <w:t xml:space="preserve"> poskytovanom v</w:t>
      </w:r>
      <w:r w:rsidRPr="00D9317D">
        <w:rPr>
          <w:rFonts w:ascii="Arial" w:hAnsi="Arial" w:cs="Arial"/>
          <w:sz w:val="20"/>
          <w:szCs w:val="20"/>
          <w:highlight w:val="white"/>
        </w:rPr>
        <w:t> </w:t>
      </w:r>
      <w:r w:rsidRPr="00D9317D">
        <w:rPr>
          <w:rFonts w:ascii="Arial Narrow" w:hAnsi="Arial Narrow"/>
          <w:sz w:val="20"/>
          <w:szCs w:val="20"/>
          <w:highlight w:val="white"/>
        </w:rPr>
        <w:t>re</w:t>
      </w:r>
      <w:r w:rsidRPr="00D9317D">
        <w:rPr>
          <w:rFonts w:ascii="Arial Narrow" w:hAnsi="Arial Narrow" w:cs="Arial Narrow"/>
          <w:sz w:val="20"/>
          <w:szCs w:val="20"/>
          <w:highlight w:val="white"/>
        </w:rPr>
        <w:t>ž</w:t>
      </w:r>
      <w:r w:rsidRPr="00D9317D">
        <w:rPr>
          <w:rFonts w:ascii="Arial Narrow" w:hAnsi="Arial Narrow"/>
          <w:sz w:val="20"/>
          <w:szCs w:val="20"/>
          <w:highlight w:val="white"/>
        </w:rPr>
        <w:t>ime nehospod</w:t>
      </w:r>
      <w:r w:rsidRPr="00D9317D">
        <w:rPr>
          <w:rFonts w:ascii="Arial Narrow" w:hAnsi="Arial Narrow" w:cs="Arial Narrow"/>
          <w:sz w:val="20"/>
          <w:szCs w:val="20"/>
          <w:highlight w:val="white"/>
        </w:rPr>
        <w:t>á</w:t>
      </w:r>
      <w:r w:rsidRPr="00D9317D">
        <w:rPr>
          <w:rFonts w:ascii="Arial Narrow" w:hAnsi="Arial Narrow"/>
          <w:sz w:val="20"/>
          <w:szCs w:val="20"/>
          <w:highlight w:val="white"/>
        </w:rPr>
        <w:t xml:space="preserve">rskej </w:t>
      </w:r>
      <w:r w:rsidRPr="00D9317D">
        <w:rPr>
          <w:rFonts w:ascii="Arial Narrow" w:hAnsi="Arial Narrow" w:cs="Arial Narrow"/>
          <w:sz w:val="20"/>
          <w:szCs w:val="20"/>
          <w:highlight w:val="white"/>
        </w:rPr>
        <w:t>č</w:t>
      </w:r>
      <w:r w:rsidRPr="00D9317D">
        <w:rPr>
          <w:rFonts w:ascii="Arial Narrow" w:hAnsi="Arial Narrow"/>
          <w:sz w:val="20"/>
          <w:szCs w:val="20"/>
          <w:highlight w:val="white"/>
        </w:rPr>
        <w:t>innosti sa nach</w:t>
      </w:r>
      <w:r w:rsidRPr="00D9317D">
        <w:rPr>
          <w:rFonts w:ascii="Arial Narrow" w:hAnsi="Arial Narrow" w:cs="Arial Narrow"/>
          <w:sz w:val="20"/>
          <w:szCs w:val="20"/>
          <w:highlight w:val="white"/>
        </w:rPr>
        <w:t>á</w:t>
      </w:r>
      <w:r w:rsidRPr="00D9317D">
        <w:rPr>
          <w:rFonts w:ascii="Arial Narrow" w:hAnsi="Arial Narrow"/>
          <w:sz w:val="20"/>
          <w:szCs w:val="20"/>
          <w:highlight w:val="white"/>
        </w:rPr>
        <w:t>dza v kapitole 2.5 Oznámenia Komisie o pojme štátna pomoc uvedenom v článku 107 ods. 1 Zmluvy o fungovaní Európskej únie (2016/C 262/01) (</w:t>
      </w:r>
      <w:hyperlink r:id="rId2">
        <w:r w:rsidRPr="00D9317D">
          <w:rPr>
            <w:rFonts w:ascii="Arial Narrow" w:hAnsi="Arial Narrow"/>
            <w:color w:val="1155CC"/>
            <w:sz w:val="20"/>
            <w:szCs w:val="20"/>
            <w:highlight w:val="white"/>
            <w:u w:val="single"/>
          </w:rPr>
          <w:t>https://www.antimon.gov.sk/data/files/1513_oznamenie-o-pojme-pomoc_sk.pdf?csrt=870010052862772982</w:t>
        </w:r>
      </w:hyperlink>
      <w:r w:rsidRPr="00D9317D">
        <w:rPr>
          <w:rFonts w:ascii="Arial Narrow" w:hAnsi="Arial Narrow"/>
          <w:sz w:val="20"/>
          <w:szCs w:val="20"/>
          <w:highlight w:val="white"/>
        </w:rPr>
        <w:t xml:space="preserve"> ) alebo aj v Metodickom usmernení – Prípady nepodliehajúce pravidlám v oblasti štátnej pomoci  (</w:t>
      </w:r>
      <w:hyperlink r:id="rId3">
        <w:r w:rsidRPr="00D9317D">
          <w:rPr>
            <w:rFonts w:ascii="Arial Narrow" w:hAnsi="Arial Narrow"/>
            <w:color w:val="0563C1"/>
            <w:sz w:val="20"/>
            <w:szCs w:val="20"/>
            <w:highlight w:val="white"/>
            <w:u w:val="single"/>
          </w:rPr>
          <w:t>https://www.antimon.gov.sk/metodicke-usmernenia-koordinatora-pomoci/?csrt=16598315481017950304</w:t>
        </w:r>
      </w:hyperlink>
      <w:r w:rsidRPr="00D9317D">
        <w:rPr>
          <w:rFonts w:ascii="Arial Narrow" w:hAnsi="Arial Narrow"/>
          <w:sz w:val="20"/>
          <w:szCs w:val="20"/>
          <w:highlight w:val="white"/>
        </w:rPr>
        <w:t>)</w:t>
      </w:r>
      <w:r w:rsidRPr="00D9317D">
        <w:rPr>
          <w:rFonts w:ascii="Arial Narrow" w:hAnsi="Arial Narrow"/>
          <w:color w:val="0563C1"/>
          <w:sz w:val="20"/>
          <w:szCs w:val="20"/>
          <w:highlight w:val="white"/>
          <w:u w:val="single"/>
        </w:rPr>
        <w:t>.</w:t>
      </w:r>
      <w:r w:rsidRPr="00D9317D">
        <w:rPr>
          <w:rFonts w:ascii="Arial Narrow" w:hAnsi="Arial Narrow"/>
          <w:color w:val="0563C1"/>
          <w:sz w:val="20"/>
          <w:szCs w:val="20"/>
          <w:highlight w:val="white"/>
        </w:rPr>
        <w:t xml:space="preserve"> </w:t>
      </w:r>
    </w:p>
    <w:p w:rsidRPr="00D9317D" w:rsidR="00A97365" w:rsidRDefault="00A97365" w14:paraId="00000022" w14:textId="77777777">
      <w:pPr>
        <w:rPr>
          <w:rFonts w:ascii="Arial Narrow" w:hAnsi="Arial Narrow"/>
          <w:sz w:val="20"/>
          <w:szCs w:val="20"/>
        </w:rPr>
      </w:pPr>
    </w:p>
  </w:footnote>
  <w:footnote w:id="5">
    <w:p w:rsidR="00A97365" w:rsidP="3419B06B" w:rsidRDefault="00A97365" w14:paraId="1DA344BC" w14:textId="77777777">
      <w:pPr>
        <w:widowControl/>
        <w:jc w:val="both"/>
        <w:rPr>
          <w:rFonts w:ascii="Arial Narrow" w:hAnsi="Arial Narrow" w:eastAsia="Times New Roman" w:cs="Times New Roman"/>
          <w:color w:val="000000" w:themeColor="text1"/>
          <w:sz w:val="20"/>
          <w:szCs w:val="20"/>
        </w:rPr>
      </w:pPr>
      <w:r w:rsidRPr="3419B06B">
        <w:rPr>
          <w:rFonts w:ascii="Arial Narrow" w:hAnsi="Arial Narrow"/>
          <w:vertAlign w:val="superscript"/>
        </w:rPr>
        <w:footnoteRef/>
      </w:r>
      <w:r w:rsidRPr="3419B06B">
        <w:rPr>
          <w:rFonts w:ascii="Arial Narrow" w:hAnsi="Arial Narrow"/>
          <w:color w:val="000000" w:themeColor="text1"/>
          <w:sz w:val="20"/>
          <w:szCs w:val="20"/>
        </w:rPr>
        <w:t xml:space="preserve"> Overenie evidencie v Systéme včasného odhaľovania rizika a vylúčenia (EDES) je možné na tomto odkaze: </w:t>
      </w:r>
      <w:hyperlink r:id="rId4">
        <w:r w:rsidRPr="3419B06B">
          <w:rPr>
            <w:rFonts w:ascii="Arial Narrow" w:hAnsi="Arial Narrow"/>
            <w:color w:val="0563C1"/>
            <w:sz w:val="20"/>
            <w:szCs w:val="20"/>
            <w:u w:val="single"/>
          </w:rPr>
          <w:t>https://ec.europa.eu/info/strategy/eu-budget/how-it-works/annual-lifecycle/implementation/anti-fraud-measures/edes/database_en</w:t>
        </w:r>
      </w:hyperlink>
      <w:r w:rsidRPr="3419B06B">
        <w:rPr>
          <w:rFonts w:ascii="Arial Narrow" w:hAnsi="Arial Narrow" w:eastAsia="Times New Roman" w:cs="Times New Roman"/>
          <w:color w:val="000000" w:themeColor="text1"/>
          <w:sz w:val="20"/>
          <w:szCs w:val="20"/>
        </w:rPr>
        <w:t xml:space="preserve"> </w:t>
      </w:r>
    </w:p>
  </w:footnote>
  <w:footnote w:id="6">
    <w:p w:rsidR="00A97365" w:rsidP="3419B06B" w:rsidRDefault="00A97365" w14:paraId="36A9666E" w14:textId="77777777">
      <w:pPr>
        <w:rPr>
          <w:rFonts w:ascii="Arial Narrow" w:hAnsi="Arial Narrow"/>
          <w:sz w:val="20"/>
          <w:szCs w:val="20"/>
        </w:rPr>
      </w:pPr>
      <w:r w:rsidRPr="3419B06B">
        <w:rPr>
          <w:rFonts w:ascii="Arial Narrow" w:hAnsi="Arial Narrow"/>
          <w:vertAlign w:val="superscript"/>
        </w:rPr>
        <w:footnoteRef/>
      </w:r>
      <w:r w:rsidRPr="3419B06B">
        <w:rPr>
          <w:rFonts w:ascii="Arial Narrow" w:hAnsi="Arial Narrow"/>
          <w:sz w:val="20"/>
          <w:szCs w:val="20"/>
        </w:rPr>
        <w:t xml:space="preserve"> Doplniť názov školy a</w:t>
      </w:r>
      <w:r w:rsidRPr="3419B06B">
        <w:rPr>
          <w:rFonts w:ascii="Arial" w:hAnsi="Arial" w:cs="Arial"/>
          <w:sz w:val="20"/>
          <w:szCs w:val="20"/>
        </w:rPr>
        <w:t> </w:t>
      </w:r>
      <w:r w:rsidRPr="3419B06B">
        <w:rPr>
          <w:rFonts w:ascii="Arial Narrow" w:hAnsi="Arial Narrow"/>
          <w:sz w:val="20"/>
          <w:szCs w:val="20"/>
        </w:rPr>
        <w:t>jej adresu</w:t>
      </w:r>
    </w:p>
  </w:footnote>
  <w:footnote w:id="7">
    <w:p w:rsidR="00A97365" w:rsidP="3419B06B" w:rsidRDefault="00A97365" w14:paraId="6F40D35A" w14:textId="77777777">
      <w:pPr>
        <w:rPr>
          <w:rFonts w:ascii="Arial Narrow" w:hAnsi="Arial Narrow"/>
          <w:color w:val="0563C1"/>
          <w:sz w:val="20"/>
          <w:szCs w:val="20"/>
          <w:highlight w:val="white"/>
        </w:rPr>
      </w:pPr>
      <w:r w:rsidRPr="3419B06B">
        <w:rPr>
          <w:rFonts w:ascii="Arial Narrow" w:hAnsi="Arial Narrow"/>
          <w:vertAlign w:val="superscript"/>
        </w:rPr>
        <w:footnoteRef/>
      </w:r>
      <w:r w:rsidRPr="3419B06B">
        <w:rPr>
          <w:rFonts w:ascii="Arial Narrow" w:hAnsi="Arial Narrow"/>
          <w:sz w:val="20"/>
          <w:szCs w:val="20"/>
        </w:rPr>
        <w:t xml:space="preserve"> </w:t>
      </w:r>
      <w:r w:rsidRPr="3419B06B">
        <w:rPr>
          <w:rFonts w:ascii="Arial Narrow" w:hAnsi="Arial Narrow"/>
          <w:sz w:val="20"/>
          <w:szCs w:val="20"/>
          <w:highlight w:val="white"/>
        </w:rPr>
        <w:t>Bližšie informácie o</w:t>
      </w:r>
      <w:r w:rsidRPr="3419B06B">
        <w:rPr>
          <w:rFonts w:ascii="Arial" w:hAnsi="Arial" w:cs="Arial"/>
          <w:sz w:val="20"/>
          <w:szCs w:val="20"/>
          <w:highlight w:val="white"/>
        </w:rPr>
        <w:t> </w:t>
      </w:r>
      <w:r w:rsidRPr="3419B06B">
        <w:rPr>
          <w:rFonts w:ascii="Arial Narrow" w:hAnsi="Arial Narrow"/>
          <w:sz w:val="20"/>
          <w:szCs w:val="20"/>
          <w:highlight w:val="white"/>
        </w:rPr>
        <w:t>vzdel</w:t>
      </w:r>
      <w:r w:rsidRPr="3419B06B">
        <w:rPr>
          <w:rFonts w:ascii="Arial Narrow" w:hAnsi="Arial Narrow" w:cs="Arial Narrow"/>
          <w:sz w:val="20"/>
          <w:szCs w:val="20"/>
          <w:highlight w:val="white"/>
        </w:rPr>
        <w:t>á</w:t>
      </w:r>
      <w:r w:rsidRPr="3419B06B">
        <w:rPr>
          <w:rFonts w:ascii="Arial Narrow" w:hAnsi="Arial Narrow"/>
          <w:sz w:val="20"/>
          <w:szCs w:val="20"/>
          <w:highlight w:val="white"/>
        </w:rPr>
        <w:t>van</w:t>
      </w:r>
      <w:r w:rsidRPr="3419B06B">
        <w:rPr>
          <w:rFonts w:ascii="Arial Narrow" w:hAnsi="Arial Narrow" w:cs="Arial Narrow"/>
          <w:sz w:val="20"/>
          <w:szCs w:val="20"/>
          <w:highlight w:val="white"/>
        </w:rPr>
        <w:t>í</w:t>
      </w:r>
      <w:r w:rsidRPr="3419B06B">
        <w:rPr>
          <w:rFonts w:ascii="Arial Narrow" w:hAnsi="Arial Narrow"/>
          <w:sz w:val="20"/>
          <w:szCs w:val="20"/>
          <w:highlight w:val="white"/>
        </w:rPr>
        <w:t xml:space="preserve"> poskytovanom v</w:t>
      </w:r>
      <w:r w:rsidRPr="3419B06B">
        <w:rPr>
          <w:rFonts w:ascii="Arial" w:hAnsi="Arial" w:cs="Arial"/>
          <w:sz w:val="20"/>
          <w:szCs w:val="20"/>
          <w:highlight w:val="white"/>
        </w:rPr>
        <w:t> </w:t>
      </w:r>
      <w:r w:rsidRPr="3419B06B">
        <w:rPr>
          <w:rFonts w:ascii="Arial Narrow" w:hAnsi="Arial Narrow"/>
          <w:sz w:val="20"/>
          <w:szCs w:val="20"/>
          <w:highlight w:val="white"/>
        </w:rPr>
        <w:t>re</w:t>
      </w:r>
      <w:r w:rsidRPr="3419B06B">
        <w:rPr>
          <w:rFonts w:ascii="Arial Narrow" w:hAnsi="Arial Narrow" w:cs="Arial Narrow"/>
          <w:sz w:val="20"/>
          <w:szCs w:val="20"/>
          <w:highlight w:val="white"/>
        </w:rPr>
        <w:t>ž</w:t>
      </w:r>
      <w:r w:rsidRPr="3419B06B">
        <w:rPr>
          <w:rFonts w:ascii="Arial Narrow" w:hAnsi="Arial Narrow"/>
          <w:sz w:val="20"/>
          <w:szCs w:val="20"/>
          <w:highlight w:val="white"/>
        </w:rPr>
        <w:t>ime nehospod</w:t>
      </w:r>
      <w:r w:rsidRPr="3419B06B">
        <w:rPr>
          <w:rFonts w:ascii="Arial Narrow" w:hAnsi="Arial Narrow" w:cs="Arial Narrow"/>
          <w:sz w:val="20"/>
          <w:szCs w:val="20"/>
          <w:highlight w:val="white"/>
        </w:rPr>
        <w:t>á</w:t>
      </w:r>
      <w:r w:rsidRPr="3419B06B">
        <w:rPr>
          <w:rFonts w:ascii="Arial Narrow" w:hAnsi="Arial Narrow"/>
          <w:sz w:val="20"/>
          <w:szCs w:val="20"/>
          <w:highlight w:val="white"/>
        </w:rPr>
        <w:t xml:space="preserve">rskej </w:t>
      </w:r>
      <w:r w:rsidRPr="3419B06B">
        <w:rPr>
          <w:rFonts w:ascii="Arial Narrow" w:hAnsi="Arial Narrow" w:cs="Arial Narrow"/>
          <w:sz w:val="20"/>
          <w:szCs w:val="20"/>
          <w:highlight w:val="white"/>
        </w:rPr>
        <w:t>č</w:t>
      </w:r>
      <w:r w:rsidRPr="3419B06B">
        <w:rPr>
          <w:rFonts w:ascii="Arial Narrow" w:hAnsi="Arial Narrow"/>
          <w:sz w:val="20"/>
          <w:szCs w:val="20"/>
          <w:highlight w:val="white"/>
        </w:rPr>
        <w:t>innosti sa nach</w:t>
      </w:r>
      <w:r w:rsidRPr="3419B06B">
        <w:rPr>
          <w:rFonts w:ascii="Arial Narrow" w:hAnsi="Arial Narrow" w:cs="Arial Narrow"/>
          <w:sz w:val="20"/>
          <w:szCs w:val="20"/>
          <w:highlight w:val="white"/>
        </w:rPr>
        <w:t>á</w:t>
      </w:r>
      <w:r w:rsidRPr="3419B06B">
        <w:rPr>
          <w:rFonts w:ascii="Arial Narrow" w:hAnsi="Arial Narrow"/>
          <w:sz w:val="20"/>
          <w:szCs w:val="20"/>
          <w:highlight w:val="white"/>
        </w:rPr>
        <w:t>dza v kapitole 2.5 Oznámenia Komisie o pojme štátna pomoc uvedenom v článku 107 ods. 1 Zmluvy o fungovaní Európskej únie (2016/C 262/01) (</w:t>
      </w:r>
      <w:hyperlink r:id="rId5">
        <w:r w:rsidRPr="3419B06B">
          <w:rPr>
            <w:rFonts w:ascii="Arial Narrow" w:hAnsi="Arial Narrow"/>
            <w:color w:val="1155CC"/>
            <w:sz w:val="20"/>
            <w:szCs w:val="20"/>
            <w:highlight w:val="white"/>
            <w:u w:val="single"/>
          </w:rPr>
          <w:t>https://www.antimon.gov.sk/data/files/1513_oznamenie-o-pojme-pomoc_sk.pdf?csrt=870010052862772982</w:t>
        </w:r>
      </w:hyperlink>
      <w:r w:rsidRPr="3419B06B">
        <w:rPr>
          <w:rFonts w:ascii="Arial Narrow" w:hAnsi="Arial Narrow"/>
          <w:sz w:val="20"/>
          <w:szCs w:val="20"/>
          <w:highlight w:val="white"/>
        </w:rPr>
        <w:t xml:space="preserve"> ) alebo aj v Metodickom usmernení – Prípady nepodliehajúce pravidlám v oblasti štátnej pomoci  (</w:t>
      </w:r>
      <w:hyperlink r:id="rId6">
        <w:r w:rsidRPr="3419B06B">
          <w:rPr>
            <w:rFonts w:ascii="Arial Narrow" w:hAnsi="Arial Narrow"/>
            <w:color w:val="0563C1"/>
            <w:sz w:val="20"/>
            <w:szCs w:val="20"/>
            <w:highlight w:val="white"/>
            <w:u w:val="single"/>
          </w:rPr>
          <w:t>https://www.antimon.gov.sk/metodicke-usmernenia-koordinatora-pomoci/?csrt=16598315481017950304</w:t>
        </w:r>
      </w:hyperlink>
      <w:r w:rsidRPr="3419B06B">
        <w:rPr>
          <w:rFonts w:ascii="Arial Narrow" w:hAnsi="Arial Narrow"/>
          <w:sz w:val="20"/>
          <w:szCs w:val="20"/>
          <w:highlight w:val="white"/>
        </w:rPr>
        <w:t>)</w:t>
      </w:r>
      <w:r w:rsidRPr="3419B06B">
        <w:rPr>
          <w:rFonts w:ascii="Arial Narrow" w:hAnsi="Arial Narrow"/>
          <w:color w:val="0563C1"/>
          <w:sz w:val="20"/>
          <w:szCs w:val="20"/>
          <w:highlight w:val="white"/>
          <w:u w:val="single"/>
        </w:rPr>
        <w:t>.</w:t>
      </w:r>
      <w:r w:rsidRPr="3419B06B">
        <w:rPr>
          <w:rFonts w:ascii="Arial Narrow" w:hAnsi="Arial Narrow"/>
          <w:color w:val="0563C1"/>
          <w:sz w:val="20"/>
          <w:szCs w:val="20"/>
          <w:highlight w:val="white"/>
        </w:rPr>
        <w:t xml:space="preserve"> </w:t>
      </w:r>
    </w:p>
    <w:p w:rsidR="00A97365" w:rsidP="3419B06B" w:rsidRDefault="00A97365" w14:paraId="19EF439E" w14:textId="77777777">
      <w:pPr>
        <w:rPr>
          <w:rFonts w:ascii="Arial Narrow" w:hAnsi="Arial Narrow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A97365" w:rsidTr="33CFC249" w14:paraId="22D2A8EC" w14:textId="77777777">
      <w:tc>
        <w:tcPr>
          <w:tcW w:w="3020" w:type="dxa"/>
        </w:tcPr>
        <w:p w:rsidR="00A97365" w:rsidP="33CFC249" w:rsidRDefault="00A97365" w14:paraId="78A36054" w14:textId="05E9FFC0">
          <w:pPr>
            <w:pStyle w:val="Hlavika"/>
            <w:ind w:left="-115"/>
          </w:pPr>
        </w:p>
      </w:tc>
      <w:tc>
        <w:tcPr>
          <w:tcW w:w="3020" w:type="dxa"/>
        </w:tcPr>
        <w:p w:rsidR="00A97365" w:rsidP="33CFC249" w:rsidRDefault="00A97365" w14:paraId="1C233A80" w14:textId="02852D72">
          <w:pPr>
            <w:pStyle w:val="Hlavika"/>
            <w:jc w:val="center"/>
          </w:pPr>
        </w:p>
      </w:tc>
      <w:tc>
        <w:tcPr>
          <w:tcW w:w="3020" w:type="dxa"/>
        </w:tcPr>
        <w:p w:rsidR="00A97365" w:rsidP="33CFC249" w:rsidRDefault="00A97365" w14:paraId="7053DE53" w14:textId="0E6AF44B">
          <w:pPr>
            <w:pStyle w:val="Hlavika"/>
            <w:ind w:right="-115"/>
            <w:jc w:val="right"/>
          </w:pPr>
        </w:p>
      </w:tc>
    </w:tr>
  </w:tbl>
  <w:p w:rsidR="00A97365" w:rsidRDefault="00A97365" w14:paraId="60CCC747" w14:textId="2A9DB00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nsid w:val="77a962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405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125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45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65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85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005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725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45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0" w15:restartNumberingAfterBreak="0">
    <w:nsid w:val="08C15A1D"/>
    <w:multiLevelType w:val="hybridMultilevel"/>
    <w:tmpl w:val="FFD40B1C"/>
    <w:lvl w:ilvl="0" w:tplc="A4DE779C">
      <w:start w:val="1"/>
      <w:numFmt w:val="lowerLetter"/>
      <w:lvlText w:val="%1)"/>
      <w:lvlJc w:val="left"/>
      <w:pPr>
        <w:ind w:left="720" w:hanging="360"/>
      </w:pPr>
    </w:lvl>
    <w:lvl w:ilvl="1" w:tplc="F8A8CBFC">
      <w:start w:val="1"/>
      <w:numFmt w:val="lowerLetter"/>
      <w:lvlText w:val="%2."/>
      <w:lvlJc w:val="left"/>
      <w:pPr>
        <w:ind w:left="1440" w:hanging="360"/>
      </w:pPr>
    </w:lvl>
    <w:lvl w:ilvl="2" w:tplc="19B802AA">
      <w:start w:val="1"/>
      <w:numFmt w:val="lowerRoman"/>
      <w:lvlText w:val="%3."/>
      <w:lvlJc w:val="right"/>
      <w:pPr>
        <w:ind w:left="2160" w:hanging="180"/>
      </w:pPr>
    </w:lvl>
    <w:lvl w:ilvl="3" w:tplc="A6D83DB4">
      <w:start w:val="1"/>
      <w:numFmt w:val="decimal"/>
      <w:lvlText w:val="%4."/>
      <w:lvlJc w:val="left"/>
      <w:pPr>
        <w:ind w:left="2880" w:hanging="360"/>
      </w:pPr>
    </w:lvl>
    <w:lvl w:ilvl="4" w:tplc="8DAEB066">
      <w:start w:val="1"/>
      <w:numFmt w:val="lowerLetter"/>
      <w:lvlText w:val="%5."/>
      <w:lvlJc w:val="left"/>
      <w:pPr>
        <w:ind w:left="3600" w:hanging="360"/>
      </w:pPr>
    </w:lvl>
    <w:lvl w:ilvl="5" w:tplc="B246CD44">
      <w:start w:val="1"/>
      <w:numFmt w:val="lowerRoman"/>
      <w:lvlText w:val="%6."/>
      <w:lvlJc w:val="right"/>
      <w:pPr>
        <w:ind w:left="4320" w:hanging="180"/>
      </w:pPr>
    </w:lvl>
    <w:lvl w:ilvl="6" w:tplc="621A1530">
      <w:start w:val="1"/>
      <w:numFmt w:val="decimal"/>
      <w:lvlText w:val="%7."/>
      <w:lvlJc w:val="left"/>
      <w:pPr>
        <w:ind w:left="5040" w:hanging="360"/>
      </w:pPr>
    </w:lvl>
    <w:lvl w:ilvl="7" w:tplc="3D344082">
      <w:start w:val="1"/>
      <w:numFmt w:val="lowerLetter"/>
      <w:lvlText w:val="%8."/>
      <w:lvlJc w:val="left"/>
      <w:pPr>
        <w:ind w:left="5760" w:hanging="360"/>
      </w:pPr>
    </w:lvl>
    <w:lvl w:ilvl="8" w:tplc="081C52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2266"/>
    <w:multiLevelType w:val="multilevel"/>
    <w:tmpl w:val="D7D21B94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75F4192"/>
    <w:multiLevelType w:val="hybridMultilevel"/>
    <w:tmpl w:val="23BA04EE"/>
    <w:lvl w:ilvl="0" w:tplc="7292CB32">
      <w:start w:val="1"/>
      <w:numFmt w:val="lowerLetter"/>
      <w:lvlText w:val="%1)"/>
      <w:lvlJc w:val="left"/>
      <w:pPr>
        <w:ind w:left="720" w:hanging="360"/>
      </w:pPr>
    </w:lvl>
    <w:lvl w:ilvl="1" w:tplc="F68C1376">
      <w:start w:val="1"/>
      <w:numFmt w:val="lowerLetter"/>
      <w:lvlText w:val="%2."/>
      <w:lvlJc w:val="left"/>
      <w:pPr>
        <w:ind w:left="1440" w:hanging="360"/>
      </w:pPr>
    </w:lvl>
    <w:lvl w:ilvl="2" w:tplc="0608D476">
      <w:start w:val="1"/>
      <w:numFmt w:val="lowerRoman"/>
      <w:lvlText w:val="%3."/>
      <w:lvlJc w:val="right"/>
      <w:pPr>
        <w:ind w:left="2160" w:hanging="180"/>
      </w:pPr>
    </w:lvl>
    <w:lvl w:ilvl="3" w:tplc="3FE6E548">
      <w:start w:val="1"/>
      <w:numFmt w:val="decimal"/>
      <w:lvlText w:val="%4."/>
      <w:lvlJc w:val="left"/>
      <w:pPr>
        <w:ind w:left="2880" w:hanging="360"/>
      </w:pPr>
    </w:lvl>
    <w:lvl w:ilvl="4" w:tplc="763C3E62">
      <w:start w:val="1"/>
      <w:numFmt w:val="lowerLetter"/>
      <w:lvlText w:val="%5."/>
      <w:lvlJc w:val="left"/>
      <w:pPr>
        <w:ind w:left="3600" w:hanging="360"/>
      </w:pPr>
    </w:lvl>
    <w:lvl w:ilvl="5" w:tplc="B2AAB5DA">
      <w:start w:val="1"/>
      <w:numFmt w:val="lowerRoman"/>
      <w:lvlText w:val="%6."/>
      <w:lvlJc w:val="right"/>
      <w:pPr>
        <w:ind w:left="4320" w:hanging="180"/>
      </w:pPr>
    </w:lvl>
    <w:lvl w:ilvl="6" w:tplc="EB663458">
      <w:start w:val="1"/>
      <w:numFmt w:val="decimal"/>
      <w:lvlText w:val="%7."/>
      <w:lvlJc w:val="left"/>
      <w:pPr>
        <w:ind w:left="5040" w:hanging="360"/>
      </w:pPr>
    </w:lvl>
    <w:lvl w:ilvl="7" w:tplc="8FF088B4">
      <w:start w:val="1"/>
      <w:numFmt w:val="lowerLetter"/>
      <w:lvlText w:val="%8."/>
      <w:lvlJc w:val="left"/>
      <w:pPr>
        <w:ind w:left="5760" w:hanging="360"/>
      </w:pPr>
    </w:lvl>
    <w:lvl w:ilvl="8" w:tplc="CC428C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A0A1F"/>
    <w:multiLevelType w:val="hybridMultilevel"/>
    <w:tmpl w:val="FD3A2020"/>
    <w:lvl w:ilvl="0" w:tplc="C5606B2C">
      <w:start w:val="1"/>
      <w:numFmt w:val="lowerLetter"/>
      <w:lvlText w:val="%1)"/>
      <w:lvlJc w:val="left"/>
      <w:pPr>
        <w:ind w:left="405" w:hanging="360"/>
      </w:pPr>
    </w:lvl>
    <w:lvl w:ilvl="1" w:tplc="CE0ADD7A">
      <w:start w:val="1"/>
      <w:numFmt w:val="lowerLetter"/>
      <w:lvlText w:val="%2."/>
      <w:lvlJc w:val="left"/>
      <w:pPr>
        <w:ind w:left="1125" w:hanging="360"/>
      </w:pPr>
    </w:lvl>
    <w:lvl w:ilvl="2" w:tplc="294A6778">
      <w:start w:val="1"/>
      <w:numFmt w:val="lowerRoman"/>
      <w:lvlText w:val="%3."/>
      <w:lvlJc w:val="right"/>
      <w:pPr>
        <w:ind w:left="1845" w:hanging="180"/>
      </w:pPr>
    </w:lvl>
    <w:lvl w:ilvl="3" w:tplc="058ABC2A">
      <w:start w:val="1"/>
      <w:numFmt w:val="decimal"/>
      <w:lvlText w:val="%4."/>
      <w:lvlJc w:val="left"/>
      <w:pPr>
        <w:ind w:left="2565" w:hanging="360"/>
      </w:pPr>
    </w:lvl>
    <w:lvl w:ilvl="4" w:tplc="2B52353C">
      <w:start w:val="1"/>
      <w:numFmt w:val="lowerLetter"/>
      <w:lvlText w:val="%5."/>
      <w:lvlJc w:val="left"/>
      <w:pPr>
        <w:ind w:left="3285" w:hanging="360"/>
      </w:pPr>
    </w:lvl>
    <w:lvl w:ilvl="5" w:tplc="C3DC80E8">
      <w:start w:val="1"/>
      <w:numFmt w:val="lowerRoman"/>
      <w:lvlText w:val="%6."/>
      <w:lvlJc w:val="right"/>
      <w:pPr>
        <w:ind w:left="4005" w:hanging="180"/>
      </w:pPr>
    </w:lvl>
    <w:lvl w:ilvl="6" w:tplc="E8F2533A">
      <w:start w:val="1"/>
      <w:numFmt w:val="decimal"/>
      <w:lvlText w:val="%7."/>
      <w:lvlJc w:val="left"/>
      <w:pPr>
        <w:ind w:left="4725" w:hanging="360"/>
      </w:pPr>
    </w:lvl>
    <w:lvl w:ilvl="7" w:tplc="5F863412">
      <w:start w:val="1"/>
      <w:numFmt w:val="lowerLetter"/>
      <w:lvlText w:val="%8."/>
      <w:lvlJc w:val="left"/>
      <w:pPr>
        <w:ind w:left="5445" w:hanging="360"/>
      </w:pPr>
    </w:lvl>
    <w:lvl w:ilvl="8" w:tplc="1B1678B6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09E4CE5"/>
    <w:multiLevelType w:val="hybridMultilevel"/>
    <w:tmpl w:val="724A0744"/>
    <w:lvl w:ilvl="0" w:tplc="0DC6A6FA">
      <w:start w:val="1"/>
      <w:numFmt w:val="lowerLetter"/>
      <w:lvlText w:val="%1)"/>
      <w:lvlJc w:val="left"/>
      <w:pPr>
        <w:ind w:left="720" w:hanging="360"/>
      </w:pPr>
    </w:lvl>
    <w:lvl w:ilvl="1" w:tplc="66C40DF0">
      <w:start w:val="1"/>
      <w:numFmt w:val="lowerLetter"/>
      <w:lvlText w:val="%2."/>
      <w:lvlJc w:val="left"/>
      <w:pPr>
        <w:ind w:left="1440" w:hanging="360"/>
      </w:pPr>
    </w:lvl>
    <w:lvl w:ilvl="2" w:tplc="08CA9B3A">
      <w:start w:val="1"/>
      <w:numFmt w:val="lowerRoman"/>
      <w:lvlText w:val="%3."/>
      <w:lvlJc w:val="right"/>
      <w:pPr>
        <w:ind w:left="2160" w:hanging="180"/>
      </w:pPr>
    </w:lvl>
    <w:lvl w:ilvl="3" w:tplc="8202F102">
      <w:start w:val="1"/>
      <w:numFmt w:val="decimal"/>
      <w:lvlText w:val="%4."/>
      <w:lvlJc w:val="left"/>
      <w:pPr>
        <w:ind w:left="2880" w:hanging="360"/>
      </w:pPr>
    </w:lvl>
    <w:lvl w:ilvl="4" w:tplc="88D62076">
      <w:start w:val="1"/>
      <w:numFmt w:val="lowerLetter"/>
      <w:lvlText w:val="%5."/>
      <w:lvlJc w:val="left"/>
      <w:pPr>
        <w:ind w:left="3600" w:hanging="360"/>
      </w:pPr>
    </w:lvl>
    <w:lvl w:ilvl="5" w:tplc="9930444E">
      <w:start w:val="1"/>
      <w:numFmt w:val="lowerRoman"/>
      <w:lvlText w:val="%6."/>
      <w:lvlJc w:val="right"/>
      <w:pPr>
        <w:ind w:left="4320" w:hanging="180"/>
      </w:pPr>
    </w:lvl>
    <w:lvl w:ilvl="6" w:tplc="D3C8289A">
      <w:start w:val="1"/>
      <w:numFmt w:val="decimal"/>
      <w:lvlText w:val="%7."/>
      <w:lvlJc w:val="left"/>
      <w:pPr>
        <w:ind w:left="5040" w:hanging="360"/>
      </w:pPr>
    </w:lvl>
    <w:lvl w:ilvl="7" w:tplc="EA7C2234">
      <w:start w:val="1"/>
      <w:numFmt w:val="lowerLetter"/>
      <w:lvlText w:val="%8."/>
      <w:lvlJc w:val="left"/>
      <w:pPr>
        <w:ind w:left="5760" w:hanging="360"/>
      </w:pPr>
    </w:lvl>
    <w:lvl w:ilvl="8" w:tplc="A0E29E0E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AE"/>
    <w:rsid w:val="00036AD6"/>
    <w:rsid w:val="00052D8F"/>
    <w:rsid w:val="000C6EB7"/>
    <w:rsid w:val="001204B8"/>
    <w:rsid w:val="001F1534"/>
    <w:rsid w:val="00204CB2"/>
    <w:rsid w:val="00211A94"/>
    <w:rsid w:val="002229AE"/>
    <w:rsid w:val="00362C0C"/>
    <w:rsid w:val="00383FB1"/>
    <w:rsid w:val="00437E2B"/>
    <w:rsid w:val="004C6103"/>
    <w:rsid w:val="00516BA1"/>
    <w:rsid w:val="00576D79"/>
    <w:rsid w:val="00600F95"/>
    <w:rsid w:val="006474AF"/>
    <w:rsid w:val="0076043D"/>
    <w:rsid w:val="00820698"/>
    <w:rsid w:val="008210FD"/>
    <w:rsid w:val="0086168E"/>
    <w:rsid w:val="008A0E9B"/>
    <w:rsid w:val="00921048"/>
    <w:rsid w:val="00A25852"/>
    <w:rsid w:val="00A53E35"/>
    <w:rsid w:val="00A97365"/>
    <w:rsid w:val="00AC6431"/>
    <w:rsid w:val="00B26A16"/>
    <w:rsid w:val="00B961BE"/>
    <w:rsid w:val="00C52D53"/>
    <w:rsid w:val="00D3729A"/>
    <w:rsid w:val="00D41EB6"/>
    <w:rsid w:val="00D9317D"/>
    <w:rsid w:val="00F01FF4"/>
    <w:rsid w:val="00F047E9"/>
    <w:rsid w:val="00F17B55"/>
    <w:rsid w:val="02D293EC"/>
    <w:rsid w:val="050EF838"/>
    <w:rsid w:val="0C0CBA26"/>
    <w:rsid w:val="0D30D23C"/>
    <w:rsid w:val="0E9CB221"/>
    <w:rsid w:val="0FE666A3"/>
    <w:rsid w:val="11532C52"/>
    <w:rsid w:val="167B12F7"/>
    <w:rsid w:val="1A2A1D33"/>
    <w:rsid w:val="1DB8A17B"/>
    <w:rsid w:val="1F4217E0"/>
    <w:rsid w:val="2226B6C8"/>
    <w:rsid w:val="233C0D92"/>
    <w:rsid w:val="23E130CB"/>
    <w:rsid w:val="2461ABED"/>
    <w:rsid w:val="25FF189A"/>
    <w:rsid w:val="26C02630"/>
    <w:rsid w:val="27651170"/>
    <w:rsid w:val="2CA28A72"/>
    <w:rsid w:val="33CFC249"/>
    <w:rsid w:val="3417C7DD"/>
    <w:rsid w:val="3419B06B"/>
    <w:rsid w:val="35B580CC"/>
    <w:rsid w:val="35D21D70"/>
    <w:rsid w:val="376A798A"/>
    <w:rsid w:val="3986B6AC"/>
    <w:rsid w:val="3A88F1EF"/>
    <w:rsid w:val="3E5F20B0"/>
    <w:rsid w:val="3F10CAE0"/>
    <w:rsid w:val="46BF6789"/>
    <w:rsid w:val="473AAE04"/>
    <w:rsid w:val="4F8D8FE9"/>
    <w:rsid w:val="4F994BB5"/>
    <w:rsid w:val="5000562D"/>
    <w:rsid w:val="51AFD9E1"/>
    <w:rsid w:val="525DB717"/>
    <w:rsid w:val="5665DB1E"/>
    <w:rsid w:val="5803BA93"/>
    <w:rsid w:val="592027B8"/>
    <w:rsid w:val="5FF4D9B3"/>
    <w:rsid w:val="72E4A577"/>
    <w:rsid w:val="7353E060"/>
    <w:rsid w:val="758F66C2"/>
    <w:rsid w:val="76E364D4"/>
    <w:rsid w:val="7F78F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1FA3"/>
  <w15:docId w15:val="{D3F5ABCB-6252-4A22-9136-DAE213A6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y" w:default="1">
    <w:name w:val="Normal"/>
    <w:uiPriority w:val="1"/>
    <w:qFormat/>
    <w:rsid w:val="0019353C"/>
    <w:pPr>
      <w:autoSpaceDE w:val="0"/>
      <w:autoSpaceDN w:val="0"/>
    </w:p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styleId="OdsekzoznamuChar" w:customStyle="1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19353C"/>
    <w:rPr>
      <w:rFonts w:ascii="Segoe UI" w:hAnsi="Segoe UI" w:eastAsia="Calibr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TextpoznmkypodiarouChar" w:customStyle="1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hAnsi="Times New Roman" w:eastAsia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hAnsi="Calibri" w:eastAsia="Calibri" w:cs="Calibri"/>
      <w:b/>
      <w:bCs/>
      <w:lang w:eastAsia="sk-SK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5F01AD"/>
    <w:rPr>
      <w:rFonts w:ascii="Calibri" w:hAnsi="Calibri" w:eastAsia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styleId="Nevyrieenzmienka1" w:customStyle="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zia">
    <w:name w:val="Revision"/>
    <w:hidden/>
    <w:uiPriority w:val="99"/>
    <w:semiHidden/>
    <w:rsid w:val="00D9317D"/>
    <w:pPr>
      <w:widowControl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86168E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</w:pPr>
  </w:style>
  <w:style w:type="character" w:styleId="PtaChar" w:customStyle="1">
    <w:name w:val="Päta Char"/>
    <w:basedOn w:val="Predvolenpsmoodseku"/>
    <w:link w:val="Pta"/>
    <w:uiPriority w:val="99"/>
    <w:rsid w:val="0086168E"/>
  </w:style>
  <w:style w:type="table" w:styleId="Mriekatabuky">
    <w:name w:val="Table Grid"/>
    <w:basedOn w:val="Normlnatabu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ntimon.gov.sk/metodicke-usmernenia-koordinatora-pomoci/?csrt=16598315481017950304" TargetMode="External"/><Relationship Id="rId2" Type="http://schemas.openxmlformats.org/officeDocument/2006/relationships/hyperlink" Target="https://www.antimon.gov.sk/data/files/1513_oznamenie-o-pojme-pomoc_sk.pdf?csrt=870010052862772982" TargetMode="External"/><Relationship Id="rId1" Type="http://schemas.openxmlformats.org/officeDocument/2006/relationships/hyperlink" Target="https://ec.europa.eu/info/strategy/eu-budget/how-it-works/annual-lifecycle/implementation/anti-fraud-measures/edes/database_en" TargetMode="External"/><Relationship Id="rId6" Type="http://schemas.openxmlformats.org/officeDocument/2006/relationships/hyperlink" Target="https://www.antimon.gov.sk/metodicke-usmernenia-koordinatora-pomoci/?csrt=16598315481017950304" TargetMode="External"/><Relationship Id="rId5" Type="http://schemas.openxmlformats.org/officeDocument/2006/relationships/hyperlink" Target="https://www.antimon.gov.sk/data/files/1513_oznamenie-o-pojme-pomoc_sk.pdf?csrt=870010052862772982" TargetMode="External"/><Relationship Id="rId4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067B5-0E83-43B3-AACB-67871E4D1C31}"/>
      </w:docPartPr>
      <w:docPartBody>
        <w:p w:rsidR="003637BD" w:rsidRDefault="003637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7BD"/>
    <w:rsid w:val="002131B1"/>
    <w:rsid w:val="003637BD"/>
    <w:rsid w:val="0088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CRZ5LQ6/GbmkwUaVnVhbsvpsAw==">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2" ma:contentTypeDescription="Create a new document." ma:contentTypeScope="" ma:versionID="2a013aa9648d5bff5cfa4ae9b54bab0e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5f5afc1e9b7b3f01ec7e0a4c7e74f054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46B0B-A8AF-4D56-84D3-5D2826D1913F}">
  <ds:schemaRefs>
    <ds:schemaRef ds:uri="http://purl.org/dc/dcmitype/"/>
    <ds:schemaRef ds:uri="e5f5fb0a-63dc-4bed-8b43-856e4696aa0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86fee524-2a5c-428d-808a-5494a972a508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E0FDD1-D637-4E73-8806-5A1BF61FD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C04AA6A-E3E4-4D9D-BA8B-661BC05BA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Malagaris Gál Hana</dc:creator>
  <lastModifiedBy>Fogášová Angelika</lastModifiedBy>
  <revision>16</revision>
  <dcterms:created xsi:type="dcterms:W3CDTF">2022-07-18T07:37:00.0000000Z</dcterms:created>
  <dcterms:modified xsi:type="dcterms:W3CDTF">2022-08-23T12:19:04.1820321Z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