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  <w:bookmarkStart w:id="0" w:name="_Toc440876075"/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>Z</w:t>
      </w:r>
      <w:r w:rsidR="00715BDE" w:rsidRPr="00E2302A">
        <w:rPr>
          <w:rFonts w:ascii="Century Gothic" w:eastAsiaTheme="minorHAnsi" w:hAnsi="Century Gothic" w:cs="Arial"/>
          <w:b/>
          <w:bCs/>
          <w:i/>
          <w:lang w:eastAsia="en-US"/>
        </w:rPr>
        <w:t>OZNAM OPRÁVNENÝCH A NEOPRÁVNENÝCH VÝDAVKOV</w:t>
      </w:r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 xml:space="preserve"> PRE PROJEKTY TP</w:t>
      </w:r>
    </w:p>
    <w:p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</w:p>
    <w:p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Zoznam oprávnených a neoprávnených výdavkov je určený pre prioritnú os 7 Operačného programu Ľudské zdroje a to pre projekty technickej pomoci sprostredkovateľského orgánu Ministerstvo školstva, vedy výskumu a športu SR. Zoznam oprávnených výdavkov bol spracovaný v súlade s pravidlami oprávnenosti výdavkov definované Centrálnym koordinačným orgánom na národnej úrovni v Systéme riadenia EŠIF na programové obdobie 2014 - 2020, v Metodickom pokyne č. 4 k číselníku oprávnených výdavkov, Metodickom pokyne č. 6 k pravidlám oprávnenosti pre najčastejšie sa vyskytujúce skupiny výdavkov a Metodickom pokyne č. 18 k overovaniu hospodárnosti výdavkov.</w:t>
      </w:r>
    </w:p>
    <w:p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Za interpretáciu oprávnenosti výdavkov zodpovedá sprostredkovateľský orgán.</w:t>
      </w:r>
    </w:p>
    <w:p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Všeobecné podmienky oprávnenosti výdavkov</w:t>
      </w:r>
    </w:p>
    <w:p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Na oprávnenosť výdavkov projektov TP sa vzťahujú ustanoven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ia kapitol 3.5.1, 3.5.2, 3.5.3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, 3.5.7, 3.5.8 a 3.5.9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ystému riadenia EŠIF,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6 k pravidlám oprávnenosti pre najčastejšie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 vyskytujúce skupiny výdavkov a následne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24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 technickej pomoci</w:t>
      </w:r>
      <w:r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Prijímateľ je povinný dodržiavať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stanovené podmienky oprávnenosti výdavkov na vnútroštátnej úrovni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853459" w:rsidRDefault="00853459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je povinný primerane pre projekty TP dodržiavať ustanovenia Príručky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prijímateľa, prioritná os 1 Vzdelávanie OP ĽZ, programové obdobie 2014-2020</w:t>
      </w:r>
      <w:r w:rsidR="006C68BE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9E69A1" w:rsidRDefault="009E69A1" w:rsidP="003255F5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procesoch verejného obstarávania je prijímateľ povinný postupovať podľa platného Rozhodnutia o schválení </w:t>
      </w:r>
      <w:proofErr w:type="spellStart"/>
      <w:r>
        <w:rPr>
          <w:rFonts w:ascii="Century Gothic" w:eastAsiaTheme="minorHAnsi" w:hAnsi="Century Gothic" w:cs="Arial"/>
          <w:sz w:val="20"/>
          <w:szCs w:val="20"/>
          <w:lang w:eastAsia="en-US"/>
        </w:rPr>
        <w:t>ŽoNFP</w:t>
      </w:r>
      <w:proofErr w:type="spellEnd"/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 platnou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Príručk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ou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</w:t>
      </w:r>
      <w:r w:rsidR="006C68B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2014-2020</w:t>
      </w:r>
      <w:r w:rsidRPr="009E69A1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9E69A1" w:rsidRPr="000B38E3" w:rsidRDefault="009E69A1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8E4422" w:rsidRDefault="00B80AD8" w:rsidP="005B4FE2">
      <w:pPr>
        <w:pStyle w:val="Nadpis3"/>
        <w:keepLines/>
        <w:widowControl w:val="0"/>
        <w:numPr>
          <w:ilvl w:val="0"/>
          <w:numId w:val="3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Definovanie oprávnených</w:t>
      </w:r>
      <w:r w:rsidR="008E4422">
        <w:rPr>
          <w:rFonts w:eastAsiaTheme="majorEastAsia" w:cstheme="majorBidi"/>
          <w:szCs w:val="24"/>
          <w:lang w:eastAsia="cs-CZ"/>
        </w:rPr>
        <w:t xml:space="preserve"> výdavk</w:t>
      </w:r>
      <w:bookmarkEnd w:id="0"/>
      <w:r>
        <w:rPr>
          <w:rFonts w:eastAsiaTheme="majorEastAsia" w:cstheme="majorBidi"/>
          <w:szCs w:val="24"/>
          <w:lang w:eastAsia="cs-CZ"/>
        </w:rPr>
        <w:t xml:space="preserve">ov a ich </w:t>
      </w:r>
      <w:r w:rsidR="00805EB1">
        <w:rPr>
          <w:rFonts w:eastAsiaTheme="majorEastAsia" w:cstheme="majorBidi"/>
          <w:szCs w:val="24"/>
          <w:lang w:eastAsia="cs-CZ"/>
        </w:rPr>
        <w:t>špecifické pravidlá</w:t>
      </w:r>
      <w:r w:rsidR="004E18AB">
        <w:rPr>
          <w:rFonts w:eastAsiaTheme="majorEastAsia" w:cstheme="majorBidi"/>
          <w:szCs w:val="24"/>
          <w:lang w:eastAsia="cs-CZ"/>
        </w:rPr>
        <w:t xml:space="preserve"> pre projekty TP</w:t>
      </w:r>
    </w:p>
    <w:p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03E89" w:rsidRDefault="007767C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767CD">
        <w:rPr>
          <w:rFonts w:ascii="Century Gothic" w:eastAsiaTheme="minorHAnsi" w:hAnsi="Century Gothic" w:cs="Arial"/>
          <w:sz w:val="20"/>
          <w:szCs w:val="20"/>
          <w:lang w:eastAsia="en-US"/>
        </w:rPr>
        <w:t>Medzi oprávnené výdavky projektov TP OPĽZ sa zaraďujú výdavky, ktoré skutočne vznikli počas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realizácie príslušnej hlavnej aktivity Projektu, ku ktorej sa tieto výdavky vzťahujú (od Začatia realizácie hlavnej aktivity Projektu do Ukončenia realizácie hlavnej aktivity Projektu) a na realizáciu Projektu (nutná existencia priameho spojenia s Projektom). Úhrada výdavkov zo strany žiadateľa musí byť vykonaná v období od začatia realizácie hlavnej aktivity projektu, ku ktorej sa tieto výdavky vzťahujú (najskôr od 1.1</w:t>
      </w:r>
      <w:r w:rsidR="00DC6E3E" w:rsidRPr="009C60C9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9C60C9">
        <w:rPr>
          <w:rFonts w:ascii="Century Gothic" w:eastAsiaTheme="minorHAnsi" w:hAnsi="Century Gothic" w:cs="Arial"/>
          <w:sz w:val="20"/>
          <w:szCs w:val="20"/>
          <w:lang w:eastAsia="en-US"/>
        </w:rPr>
        <w:t>2020</w:t>
      </w:r>
      <w:r w:rsidR="00DC6E3E" w:rsidRPr="009C60C9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do 30 kalendárnych dní odo dňa ukončenia realizácie poslednej hlavnej aktivity projektu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súlade s podmienkami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tohto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písomného vyzvania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zároveň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boli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uskutočnené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činností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súvisiace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 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implementáciou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prioritnej osi 1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>OP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 oprávnenými aktivitami definovanými v OP 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 hľadiska oblasti intervencie sa oprávnené výdavky členia </w:t>
      </w:r>
      <w:r w:rsidR="00805EB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rámci projektov TP OPĽZ 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do </w:t>
      </w:r>
      <w:r w:rsidR="004C426C">
        <w:rPr>
          <w:rFonts w:ascii="Century Gothic" w:eastAsiaTheme="minorHAnsi" w:hAnsi="Century Gothic" w:cs="Arial"/>
          <w:sz w:val="20"/>
          <w:szCs w:val="20"/>
          <w:lang w:eastAsia="en-US"/>
        </w:rPr>
        <w:t>3</w:t>
      </w:r>
      <w:r w:rsidR="004C426C"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kategórií: </w:t>
      </w:r>
    </w:p>
    <w:p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121 – Príprava, vykonávanie, monitorovanie a inšpekcia </w:t>
      </w:r>
    </w:p>
    <w:p w:rsidR="0063473D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>122 – Hodnotenie a</w:t>
      </w:r>
      <w:r w:rsidR="0063473D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>štúdie</w:t>
      </w:r>
    </w:p>
    <w:p w:rsidR="0063473D" w:rsidRDefault="0063473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123 – Informovanie a komunikáciu</w:t>
      </w:r>
    </w:p>
    <w:p w:rsidR="0063473D" w:rsidRDefault="0063473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9735F7" w:rsidRDefault="009735F7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317D84" w:rsidRDefault="00317D84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317D84" w:rsidRDefault="00317D84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9735F7" w:rsidRPr="00191EB1" w:rsidRDefault="009735F7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lastRenderedPageBreak/>
        <w:t>Osobné výdavky</w:t>
      </w:r>
    </w:p>
    <w:p w:rsidR="009735F7" w:rsidRPr="009735F7" w:rsidRDefault="009735F7" w:rsidP="009735F7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841101" w:rsidRPr="004E18AB" w:rsidRDefault="00841101" w:rsidP="00841101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841101">
        <w:rPr>
          <w:rFonts w:ascii="Century Gothic" w:eastAsiaTheme="minorHAnsi" w:hAnsi="Century Gothic" w:cs="Arial"/>
          <w:sz w:val="20"/>
          <w:szCs w:val="20"/>
          <w:lang w:eastAsia="en-US"/>
        </w:rPr>
        <w:t>mzdové zabezpečenie zamestnancov administratívnych kapacít – hrubá mzda vrátane odmien a povinných odvodov zamestnávateľa. (Oprávnené výdavky sú všetky zložky mzdy vrátane príplatkov a náhrady mzdy v zmysle platnej legislatívy/osobitných právnych predpisov ako aj povinné odvody za zamestnávateľa preukázateľne súvisiace s realizáciou projektu/ mierou zapojenia zamestnanca do realizácie daného projektu)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841101" w:rsidRDefault="00841101" w:rsidP="00841101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841101">
        <w:rPr>
          <w:rFonts w:ascii="Century Gothic" w:eastAsiaTheme="minorHAnsi" w:hAnsi="Century Gothic" w:cs="Arial"/>
          <w:sz w:val="20"/>
          <w:szCs w:val="20"/>
          <w:lang w:eastAsia="en-US"/>
        </w:rPr>
        <w:t>mzdové zabezpečenie zamestnancov administratívno-obslužného personálu  – hrubá mzda vrátane odmien a povinných odvodov zamestnávateľa. (Oprávnené výdavky sú všetky zložky mzdy vrátane príplatkov a náhrady mzdy v zmysle platnej legislatívy/osobitných právnych predpisov ako aj povinné odvody za zamestnávateľa preukázateľne súvisiace s realizáciou projektu/ mierou zapojenia zamestnanca do realizácie daného projektu);</w:t>
      </w:r>
    </w:p>
    <w:p w:rsidR="007F4B44" w:rsidRDefault="007F4B44" w:rsidP="0088071D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odmeny zamestnancom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pracujúcich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základe dohôd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 prácach vykonávaných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mimo pracovného pomeru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vrátane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povinných odvodov za zamestnávateľa preukázateľne súvisiace s realizáciou projektu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edná </w:t>
      </w:r>
      <w:r w:rsidR="001E0DE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o výdavky v rámci oblasti „Príprava, implementácia, monitorovanie, hodnoteni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e, kontrola a audit“,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(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napr. na odborné hodnotenie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Nejedná sa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výdavky v personálnej oblasti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, ktoré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sú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taktiež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kde sa uvádzajú len výdavky na mzdové zabezpečenie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</w:t>
      </w:r>
    </w:p>
    <w:p w:rsidR="00AB4DBA" w:rsidRDefault="00AB4DBA" w:rsidP="00AB4DBA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9735F7" w:rsidRPr="009735F7" w:rsidRDefault="007F4B44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Oprávnení z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amestnanci preukazujú svoje zapojenie do projektu 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prostredníctvom 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spracovania svojho 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pracovn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ého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výkaz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u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pričom potvrdzujú, že uvedené informácie v pracovnom výkaze sú založené na skutočne vykonanej práci v rámci vykázaného obdobia. </w:t>
      </w:r>
    </w:p>
    <w:p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týkajúce sa výkonu práce sú limitované rozsahom práce maximálne 12 hodín/deň za všetky pracovné úväzky osoby kumulatívne, t.j. za všetky pracovné pomery, dohody mimo pracovného pomeru a štátnozamestnanecký pomer</w:t>
      </w:r>
      <w:r w:rsidRPr="004E18AB">
        <w:rPr>
          <w:rStyle w:val="Odkaznapoznmkupodiarou"/>
          <w:lang w:eastAsia="en-US"/>
        </w:rPr>
        <w:footnoteReference w:id="2"/>
      </w:r>
      <w:r w:rsidRPr="004E18AB">
        <w:rPr>
          <w:rStyle w:val="Odkaznapoznmkupodiarou"/>
          <w:lang w:eastAsia="en-US"/>
        </w:rPr>
        <w:t>.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  </w:t>
      </w:r>
    </w:p>
    <w:p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C225EA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 neoprávnené výdavky sa v prípade osobných výdavkov považujú: </w:t>
      </w:r>
    </w:p>
    <w:p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pri obchádzaní zákona č. 311/2001 Z. z. Zákonník práce v platnom znení (ďalej len ,,zákonník práce“); </w:t>
      </w:r>
    </w:p>
    <w:p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nemocenské dávky hradené zo strany Sociálnej poisťovne (keďže nie sú výdavkom prijímateľa); </w:t>
      </w:r>
    </w:p>
    <w:p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týkajúce sa činností na projekte vykonávaných počas práceneschopnosti, ošetrovania člena rodiny a návštevy lekára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ostatné výdavky na zamestnanca, ktoré nie sú pre zamestnávateľov povinné podľa osobitných právnych predpisov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na odstupné a odchodné (keďže medzi nimi a realizáciou projektu neexistuje príčinný vzťah)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:rsidR="00C119DC" w:rsidRP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tvorba sociálneho fondu (aj napriek tomu, že je pre zamestnávateľa povinnosťou, jeho čerpanie n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esúvisí s realizáciu projektu);</w:t>
      </w:r>
    </w:p>
    <w:p w:rsidR="004E18AB" w:rsidRPr="004E18AB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pomerná časť osobných výdavkov, ktorá nezodpovedá pracovnému vyťaženiu zamestnanca na danom projekte.</w:t>
      </w:r>
    </w:p>
    <w:p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B4DBA" w:rsidRPr="003D3D71" w:rsidRDefault="00AB4DBA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Cestovné náhrady</w:t>
      </w:r>
    </w:p>
    <w:p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B4DBA" w:rsidRDefault="00AB4DBA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cestovné náhrady (cestovné, ubytovanie, stravné...) vrátane potrebných vedľajších výdavkov (napr. parkovné, konferenčné poplatky, atď.) v rámci tuzemských a zahraničných pracovných ciest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preukázateľne súvisiace s realizáciou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projektu/mierou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zapojenia zamestnanca</w:t>
      </w:r>
      <w:r w:rsidR="0058241F">
        <w:rPr>
          <w:rFonts w:ascii="Century Gothic" w:eastAsiaTheme="minorHAnsi" w:hAnsi="Century Gothic" w:cs="Arial"/>
          <w:sz w:val="20"/>
          <w:szCs w:val="20"/>
          <w:lang w:eastAsia="en-US"/>
        </w:rPr>
        <w:t>/pracovníka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do realizácie daného projektu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B4DBA" w:rsidRP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cestovné náhrady musia byť vynaložené v súlade so zákonom č. 283/2002 Z. z. o cestovných náhradách ako aj v súlade s platnými internými predpismi </w:t>
      </w:r>
      <w:r w:rsid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upravujúcimi vynakladania týchto typov výdavkov v organizácii 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Prijímateľa platnými v čase vynaloženia výdavku.</w:t>
      </w:r>
    </w:p>
    <w:p w:rsidR="000E0FDC" w:rsidRDefault="000E0FDC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75B7D" w:rsidRPr="00D75B7D" w:rsidRDefault="00D75B7D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Neoprávnenými výdavkami sú spravidla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neprispievajú k dosahovaniu cieľov projektu/nie sú pre jeho realizáciu nevyhnutné, resp. ktoré nesúvisia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 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D75B7D" w:rsidRDefault="00D75B7D" w:rsidP="009735F7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75B7D" w:rsidRPr="003D3D71" w:rsidRDefault="00D75B7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Externé služby</w:t>
      </w:r>
      <w:r w:rsidR="000E0FDC"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FD4985">
        <w:rPr>
          <w:rFonts w:ascii="Century Gothic" w:eastAsiaTheme="minorHAnsi" w:hAnsi="Century Gothic" w:cs="Arial"/>
          <w:b/>
          <w:sz w:val="20"/>
          <w:szCs w:val="20"/>
          <w:lang w:eastAsia="en-US"/>
        </w:rPr>
        <w:t>a dodanie tovarov a prác</w:t>
      </w:r>
    </w:p>
    <w:p w:rsidR="000E0FDC" w:rsidRDefault="000E0FDC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oprávnené výdavky v tejto oblasti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akékoľvek výdavky 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>vynaložené zo strany Prijímateľa na zabezpečenie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služieb</w:t>
      </w:r>
      <w:r w:rsidR="0056503A">
        <w:rPr>
          <w:rFonts w:ascii="Century Gothic" w:eastAsiaTheme="minorHAnsi" w:hAnsi="Century Gothic" w:cs="Arial"/>
          <w:sz w:val="20"/>
          <w:szCs w:val="20"/>
          <w:lang w:eastAsia="en-US"/>
        </w:rPr>
        <w:t>, 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tovarov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prác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dodávateľským</w:t>
      </w: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spôsobom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pričom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tieto výdavky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musia súvisieť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 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o stanovenými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cieľ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mi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projektu.</w:t>
      </w:r>
    </w:p>
    <w:p w:rsidR="007D38CF" w:rsidRDefault="007D38CF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môže využívať služby dodávateľov v tých prípadoch a pre tie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aktivity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, kedy nie je možné, alebo efektí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vne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tieto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dod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ania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zabezpečiť vlastnými kapacitami. </w:t>
      </w:r>
    </w:p>
    <w:p w:rsidR="007D38CF" w:rsidRDefault="003D3D71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obstaraní týchto výdavkov musia byť dodržané ustanovenia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zákon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FC10E0" w:rsidRPr="00FC10E0">
        <w:rPr>
          <w:rFonts w:ascii="Century Gothic" w:eastAsiaTheme="minorHAnsi" w:hAnsi="Century Gothic" w:cs="Arial"/>
          <w:sz w:val="20"/>
          <w:szCs w:val="20"/>
          <w:lang w:eastAsia="en-US"/>
        </w:rPr>
        <w:t>o verejnom obstarávaní č. 343/2015 Z. z.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ako aj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podmienk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y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špecifikovan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é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P</w:t>
      </w:r>
      <w:r w:rsidR="003255F5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obdobie2014-2020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prijímateľa, prioritná os 1 Vzdelávanie OP ĽZ, programové obdobie 2014-2020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 </w:t>
      </w:r>
    </w:p>
    <w:p w:rsidR="00D75B7D" w:rsidRPr="00D75B7D" w:rsidRDefault="00D75B7D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 w:rsid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radiť pod oprávnené výdavky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:rsidR="0058241F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odborné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služby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- zahŕňajú napr. výdavky na spracovanie štúdie,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expertízy, posudky,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analýzy, zberu dát, zabezpečenie prekladov a tlmočenia a ďalších čiastkových odborných činností potrebných pre realizáciu projektu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6503A" w:rsidRPr="00B95530">
        <w:rPr>
          <w:rFonts w:ascii="Arial Narrow" w:hAnsi="Arial Narrow" w:cs="Arial"/>
          <w:sz w:val="20"/>
          <w:szCs w:val="20"/>
        </w:rPr>
        <w:t xml:space="preserve"> </w:t>
      </w:r>
    </w:p>
    <w:p w:rsidR="00D13A04" w:rsidRPr="00B95530" w:rsidRDefault="0058241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poradenské a konzultačné služby (napr. právne poradenstvo);</w:t>
      </w:r>
    </w:p>
    <w:p w:rsidR="00D75B7D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služby súvisiace s externým hodnotením/monitorovaním realizácie prioritnej osi 1 OPĽZ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8241F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 publikácií/materiálov/manuálov, ich 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vý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oj,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vytv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o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r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enie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dodanie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konferencie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podujatia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semináre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zahŕňajú výdavky </w:t>
      </w:r>
      <w:r w:rsidR="003D3D7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vynaložené pre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účely projektu, do ktorých budú zapojení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oprávnení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zamestnanci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účastníci alebo širšia verejnosť.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ýdavky najčastejšie pokrývajú organizačné zabezpečenie, vrátane občerstvenia, prenájmu priestorov, prenájmu techn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iky, ubytovania, dopravy a pod.);</w:t>
      </w:r>
    </w:p>
    <w:p w:rsidR="00A20DF7" w:rsidRPr="00B95530" w:rsidRDefault="00EE2B46" w:rsidP="005B4FE2">
      <w:pPr>
        <w:pStyle w:val="Odsekzoznamu"/>
        <w:numPr>
          <w:ilvl w:val="0"/>
          <w:numId w:val="2"/>
        </w:numPr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zabezpečenie seminárov/školení, kurzov, odborných stáži 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pracovných</w:t>
      </w:r>
      <w:r w:rsidR="0056503A"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ciest - zahŕňajú výdavky vynaložené pre účely projektu, do ktorých budú zapojení oprávnení zamestnanci za účelom zabezpečenia ich kontinuálneho vzdelávania.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ýdavky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najčastejšie pokrývajú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účastnícke poplatky, organizačné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občerstvenia, prenájmu priestorov, prenájmu techniky, ubytovania, dopravy a pod.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).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Vzdelávanie týkajúce sa kontroly a auditu EŠIF je riešené cez OP TP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06465A" w:rsidRPr="0006465A" w:rsidRDefault="0006465A" w:rsidP="0006465A">
      <w:pPr>
        <w:pStyle w:val="Odsekzoznamu"/>
        <w:numPr>
          <w:ilvl w:val="0"/>
          <w:numId w:val="2"/>
        </w:numPr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6465A">
        <w:rPr>
          <w:rFonts w:ascii="Century Gothic" w:eastAsiaTheme="minorHAnsi" w:hAnsi="Century Gothic" w:cs="Arial"/>
          <w:sz w:val="20"/>
          <w:szCs w:val="20"/>
          <w:lang w:eastAsia="en-US"/>
        </w:rPr>
        <w:t>externé služby a tovary pre zabezpečenie informovania, publicity a komunikácie v súlade s komunikačnou stratégiou OPĽZ;</w:t>
      </w:r>
    </w:p>
    <w:p w:rsidR="00AE59AD" w:rsidRPr="00B95530" w:rsidRDefault="00D35959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zabezpečenie, inštaláciu a prevádzku IKT zariadení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zabezpečenie kvalitného výkonu implementácie prioritnej osi 1 OP ĽZ vrátane softvérových riešení zefektívnenia/prepojenia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IKT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systémov v súvislosti s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implementáciou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prioritnej osi 1 OP ĽZ; </w:t>
      </w:r>
    </w:p>
    <w:p w:rsidR="00D35959" w:rsidRPr="00B95530" w:rsidRDefault="006F1AF4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D35959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materiálno-technické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jednotlivých procesov implementácie prioritnej osi 1 OP ĽZ – zabezpečenie, inštalácia a konfigurácia zariadení, techniky, prístrojov, interiérového vybavenia vrátane zabezpečenia dopravných prostriedkov 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D75B7D" w:rsidRPr="00D75B7D" w:rsidRDefault="00B10E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iné výdavky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 ďalšie vyššie nešpecifikované služby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ktoré</w:t>
      </w:r>
      <w:r w:rsidR="00D75B7D"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priamo súvisia s realizáciou </w:t>
      </w:r>
      <w:r w:rsidR="00D75B7D"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proje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ktu a sú pre projekt nevyhnutné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0E0FDC" w:rsidRP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Neoprávnenými výdavkami sú spravidla výdavky, ktoré neprispievajú k dosahovaniu cieľov projektu/nie sú pre jeho realizáciu nevyhnutné, resp. ktoré nesúvisia s implementáciou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0E0FDC" w:rsidRDefault="000E0FDC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AE59AD" w:rsidRDefault="00AE59A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Výdavky súvisiace s prevád</w:t>
      </w:r>
      <w:r w:rsidR="00D13A04">
        <w:rPr>
          <w:rFonts w:ascii="Century Gothic" w:eastAsiaTheme="minorHAnsi" w:hAnsi="Century Gothic" w:cs="Arial"/>
          <w:b/>
          <w:sz w:val="20"/>
          <w:szCs w:val="20"/>
          <w:lang w:eastAsia="en-US"/>
        </w:rPr>
        <w:t>zkovou podporou implementácie prioritnej osi 1 OP ĽZ</w:t>
      </w:r>
    </w:p>
    <w:p w:rsidR="00191EB1" w:rsidRDefault="00191EB1" w:rsidP="00191EB1">
      <w:pPr>
        <w:pStyle w:val="Odsekzoznamu"/>
        <w:widowControl w:val="0"/>
        <w:overflowPunct w:val="0"/>
        <w:autoSpaceDE w:val="0"/>
        <w:autoSpaceDN w:val="0"/>
        <w:adjustRightInd w:val="0"/>
        <w:ind w:left="426"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D13A04" w:rsidRDefault="00D13A04" w:rsidP="00B10E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ako priame výdavky súvisiace s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realizáciou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 sú oprávnené, ak sú nevyhnuté pre splnenie cieľov projektu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zabezpečujú podporu </w:t>
      </w:r>
      <w:r w:rsidR="00B10E3F"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implementáci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e prioritnej osi 1 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. Vzhľadom k tomu, že tieto výdavky sa väčšinou dotýkajú činností súvisiacich s realizáciou projektu/implementáciou prioritnej osi 1 OPĽZ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m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usia byť preukázateľne doložené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výpočtom oprávnenej časti výlučne pre projekt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 metodika výpočtu pomernej časti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týchto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výdavkov musí byť dodržiavaná počas celej doby realizácie projektu.</w:t>
      </w:r>
    </w:p>
    <w:p w:rsidR="00B10E3F" w:rsidRPr="00B10E3F" w:rsidRDefault="00B10E3F" w:rsidP="00B10E3F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radiť pod oprávnené výdavky 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:rsidR="00AE59AD" w:rsidRDefault="00AE59AD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nájom priestorov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služby s ním spojené preukázateľne súvisiace s realizáciou projektu; </w:t>
      </w:r>
    </w:p>
    <w:p w:rsidR="00D13A04" w:rsidRPr="00B10E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výdavky ako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energie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vodné, stočné, pohonné hmoty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, parkovné a poplatky spojené s prevádzkou vozidiel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náklady na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telekomunikačné poplatky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, údržbu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upratovanie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a pod.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ak sú pre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jektu opodstatnené a nevyhnutné;</w:t>
      </w:r>
      <w:r w:rsidR="006F1AF4" w:rsidRPr="006F1AF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:rsid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ďalšie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v rozsahu na uskutočnenie realizácie projektu (spotrebný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prevádzkový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materiál,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poštovné,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tlač,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publikácie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 pod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.);</w:t>
      </w:r>
    </w:p>
    <w:p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správne poplatky s priamou väzbou na projekt</w:t>
      </w:r>
    </w:p>
    <w:p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na poistenie majetku spolufinancovaného z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NFP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B10E3F" w:rsidRDefault="00B10E3F" w:rsidP="000B6616">
      <w:pPr>
        <w:spacing w:before="120" w:after="120"/>
        <w:jc w:val="both"/>
        <w:rPr>
          <w:sz w:val="23"/>
          <w:szCs w:val="23"/>
        </w:rPr>
      </w:pPr>
    </w:p>
    <w:p w:rsidR="002B21CE" w:rsidRDefault="00D13A04" w:rsidP="002B21CE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Neoprávnenými výdavkami sú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finančné výdavky a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poplatky, ktoré nie sú pre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realizáciu nevyhnutné 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nemajú priamu väzbu na projekt;</w:t>
      </w:r>
    </w:p>
    <w:p w:rsidR="00674A78" w:rsidRPr="00674A78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sankčné poplatky, pokuty a penále, prípadne ďalšie sankčné výdavky, či už dohodnuté v zmluvách alebo vzniknuté z iných príčin; </w:t>
      </w:r>
    </w:p>
    <w:p w:rsidR="002B21CE" w:rsidRPr="00674A78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ktoré nemajú priamu väzbu na projekt;</w:t>
      </w:r>
    </w:p>
    <w:p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manká a škody, úroky z úverov a pôžičiek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za zriadenie a vedenie účtu alebo účtov a za finančné transakcie na tomto účte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ostatné bankové poplatky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; </w:t>
      </w:r>
    </w:p>
    <w:p w:rsidR="00D66D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dary, poplatky, resp. iné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P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rijímateľa (vrátane prípadných kurzových strát), ktoré vznikajú z dôvodu vedenia</w:t>
      </w:r>
      <w:r w:rsid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účtu na príjem NFP v zahraničí;</w:t>
      </w:r>
    </w:p>
    <w:p w:rsidR="00D13A04" w:rsidRDefault="00D66D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priame dane (daň z nehnuteľnosti, daň z motorových vozidiel a pod.)</w:t>
      </w:r>
      <w:r w:rsidRPr="00674A78">
        <w:rPr>
          <w:rStyle w:val="Odkaznapoznmkupodiarou"/>
          <w:lang w:eastAsia="en-US"/>
        </w:rPr>
        <w:footnoteReference w:id="3"/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160DE6" w:rsidRP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13A04" w:rsidRDefault="00D13A04" w:rsidP="009124C8">
      <w:pPr>
        <w:jc w:val="both"/>
        <w:rPr>
          <w:sz w:val="23"/>
          <w:szCs w:val="23"/>
        </w:rPr>
      </w:pPr>
    </w:p>
    <w:p w:rsidR="00191EB1" w:rsidRPr="00160DE6" w:rsidRDefault="00191EB1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Okrem</w:t>
      </w:r>
      <w:r w:rsidRPr="00191EB1">
        <w:rPr>
          <w:sz w:val="23"/>
          <w:szCs w:val="23"/>
        </w:rPr>
        <w:t xml:space="preserve">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neoprávnených výda</w:t>
      </w:r>
      <w:r w:rsidR="00160DE6"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vkov, ktoré sú uvedené vyššie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jednotlivých oblastiach výdavkov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sú neoprávnené výdavky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rámci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TP OP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: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bez priameho vzťahu k projektu;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nevyhnutn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é k dosiahnutiu cieľov projektu;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sú zo strany prijímateľa nedos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tatočne odôvodnené a preukázané;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výdavky, ktoré nie sú v súlade 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o schváleným rozpočtom projektu;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vznikli pr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ed 1. 1</w:t>
      </w:r>
      <w:r w:rsidR="00A019C8">
        <w:rPr>
          <w:rFonts w:ascii="Century Gothic" w:eastAsiaTheme="minorHAnsi" w:hAnsi="Century Gothic" w:cs="Arial"/>
          <w:sz w:val="20"/>
          <w:szCs w:val="20"/>
          <w:lang w:eastAsia="en-US"/>
        </w:rPr>
        <w:t>. 2020</w:t>
      </w:r>
      <w:bookmarkStart w:id="1" w:name="_GoBack"/>
      <w:bookmarkEnd w:id="1"/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po 31. 12. </w:t>
      </w:r>
      <w:r w:rsidR="00A975C3">
        <w:rPr>
          <w:rFonts w:ascii="Century Gothic" w:eastAsiaTheme="minorHAnsi" w:hAnsi="Century Gothic" w:cs="Arial"/>
          <w:sz w:val="20"/>
          <w:szCs w:val="20"/>
          <w:lang w:eastAsia="en-US"/>
        </w:rPr>
        <w:t>20</w:t>
      </w:r>
      <w:r w:rsidR="00D012F6">
        <w:rPr>
          <w:rFonts w:ascii="Century Gothic" w:eastAsiaTheme="minorHAnsi" w:hAnsi="Century Gothic" w:cs="Arial"/>
          <w:sz w:val="20"/>
          <w:szCs w:val="20"/>
          <w:lang w:eastAsia="en-US"/>
        </w:rPr>
        <w:t>23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projekty s celkovým či prevažujúcim dopadom mimo cieľový región,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v účtovníctve jednoznačne označené ako výdavky súvisiace s realizovaným projektom v súlade s vnútorným predpisom účtovnej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jednotky k vedeniu účtovníctva;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odpisy dlhodobého majetku;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správne poplatky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ktoré nie sú pre realizáciu projektu nevyhnutné a nemajú priamu väzbu na projekt;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daňové poplatky a dovozné prirážky;</w:t>
      </w:r>
    </w:p>
    <w:p w:rsid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nákup použitého zariadenia/majetku/tovaru;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iné výdavky priamo nesúvisiace s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projektom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akákoľvek časť výdavkov, ktorou by sa prekročila maximálna intenzita pomoci, alebo stanovené finančné limity;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územné vplyvy;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nákup stavieb;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vecné príspevky;</w:t>
      </w:r>
    </w:p>
    <w:p w:rsidR="00160DE6" w:rsidRDefault="00160DE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nákup pozemkov;</w:t>
      </w:r>
    </w:p>
    <w:p w:rsidR="00674A78" w:rsidRPr="00160DE6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DPH 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v prípade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, že prijímateľ má nárok na jej odpočet na vstupe. Nárok na odpočet je vymedzený zákonom o</w:t>
      </w:r>
      <w:r w:rsidR="00D66D3F"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 DPH.</w:t>
      </w:r>
    </w:p>
    <w:p w:rsidR="00674A78" w:rsidRPr="00674A78" w:rsidRDefault="00674A78" w:rsidP="00674A78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:rsidR="00D66D3F" w:rsidRDefault="00D66D3F">
      <w:pPr>
        <w:spacing w:after="200" w:line="276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br w:type="page"/>
      </w:r>
    </w:p>
    <w:p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  <w:r w:rsidRPr="00331E4A">
        <w:rPr>
          <w:rFonts w:ascii="Century Gothic" w:hAnsi="Century Gothic" w:cs="Arial"/>
          <w:b/>
          <w:bCs/>
        </w:rPr>
        <w:lastRenderedPageBreak/>
        <w:t xml:space="preserve">Limity na </w:t>
      </w:r>
      <w:r>
        <w:rPr>
          <w:rFonts w:ascii="Century Gothic" w:hAnsi="Century Gothic" w:cs="Arial"/>
          <w:b/>
          <w:bCs/>
        </w:rPr>
        <w:t>vybrané typy výdavkov</w:t>
      </w:r>
    </w:p>
    <w:p w:rsidR="00D66D3F" w:rsidRPr="00D66D3F" w:rsidRDefault="00D66D3F" w:rsidP="00D66D3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D66D3F" w:rsidRPr="00D66D3F" w:rsidRDefault="00D66D3F" w:rsidP="00D66D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 rámci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písomného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vyzvania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stanovuje Poskytovateľ nasledovné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finanč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né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limity pre nasledovné typy výdavkov:</w:t>
      </w:r>
    </w:p>
    <w:p w:rsidR="00D66D3F" w:rsidRPr="00331E4A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:rsidR="007546E2" w:rsidRDefault="007546E2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622"/>
        <w:gridCol w:w="2410"/>
        <w:gridCol w:w="2128"/>
        <w:gridCol w:w="2052"/>
      </w:tblGrid>
      <w:tr w:rsidR="005202C7" w:rsidTr="00B84688">
        <w:trPr>
          <w:trHeight w:val="315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EB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eastAsia="en-US"/>
              </w:rPr>
              <w:t>Vybrané typy výdavkov a ich limity</w:t>
            </w:r>
          </w:p>
        </w:tc>
      </w:tr>
      <w:tr w:rsidR="005202C7" w:rsidTr="00B84688">
        <w:trPr>
          <w:trHeight w:val="707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Výdavok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Finančný limit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Uplatnenie výnimky</w:t>
            </w:r>
          </w:p>
        </w:tc>
      </w:tr>
      <w:tr w:rsidR="005202C7" w:rsidTr="00B84688">
        <w:trPr>
          <w:trHeight w:val="300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tuzemské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80 EUR osoba/noc</w:t>
            </w:r>
          </w:p>
        </w:tc>
        <w:tc>
          <w:tcPr>
            <w:tcW w:w="111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Prijímateľ je povinný pri implementácii zároveň dodržiavať vnútorné predpisy organizácie (ak relevantné), ktoré môžu stanovovať podrobnejšie pravidlá vynakladania týchto výdavkov v organizácii Prijímateľa.</w:t>
            </w:r>
          </w:p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82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zahraničné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Členské štáty EÚ a OECD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155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81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Ostatné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110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005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Dohody o prácach vykonávaných mimo pracovného pomeru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Brigádnici (zabezpečovanie administratívnych a podporných činností)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 xml:space="preserve">max. </w:t>
            </w:r>
            <w:r w:rsidR="00841101"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7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,0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275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Odborné činnosti (napr. oblasť VO, publicita, a pod.)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40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E04911" w:rsidTr="00B84688">
        <w:trPr>
          <w:trHeight w:val="683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911" w:rsidRDefault="00E04911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4911" w:rsidRDefault="00E04911" w:rsidP="006F5E5B">
            <w:pPr>
              <w:keepNext/>
              <w:spacing w:line="276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Právne poradenstvo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4911" w:rsidRDefault="00E04911" w:rsidP="006F5E5B">
            <w:pPr>
              <w:keepNext/>
              <w:spacing w:line="276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60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4911" w:rsidRDefault="00E04911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683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Odborní hodnotitelia - externí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2</w:t>
            </w:r>
            <w:r w:rsidR="00B92AE1"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0 EUR/projekt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7546E2" w:rsidRDefault="007546E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/>
          <w:b/>
          <w:bCs/>
          <w:sz w:val="20"/>
          <w:szCs w:val="20"/>
          <w:lang w:eastAsia="en-US"/>
        </w:rPr>
        <w:br w:type="page"/>
      </w:r>
    </w:p>
    <w:p w:rsidR="00BB3198" w:rsidRDefault="00BB3198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p w:rsidR="007546E2" w:rsidRDefault="00D66D3F" w:rsidP="007546E2">
      <w:pPr>
        <w:keepNext/>
        <w:jc w:val="center"/>
        <w:rPr>
          <w:rFonts w:ascii="Century Gothic" w:hAnsi="Century Gothic" w:cs="Arial"/>
          <w:b/>
          <w:bCs/>
        </w:rPr>
      </w:pPr>
      <w:r w:rsidRPr="007546E2">
        <w:rPr>
          <w:rFonts w:ascii="Century Gothic" w:hAnsi="Century Gothic" w:cs="Arial"/>
          <w:b/>
          <w:bCs/>
        </w:rPr>
        <w:t xml:space="preserve">Číselník oprávnených výdavkov pre projekty TP </w:t>
      </w:r>
      <w:r w:rsidR="007546E2">
        <w:rPr>
          <w:rFonts w:ascii="Century Gothic" w:hAnsi="Century Gothic" w:cs="Arial"/>
          <w:b/>
          <w:bCs/>
        </w:rPr>
        <w:t xml:space="preserve">prioritnej osi 1 </w:t>
      </w:r>
      <w:r w:rsidRPr="007546E2">
        <w:rPr>
          <w:rFonts w:ascii="Century Gothic" w:hAnsi="Century Gothic" w:cs="Arial"/>
          <w:b/>
          <w:bCs/>
        </w:rPr>
        <w:t xml:space="preserve">OP </w:t>
      </w:r>
      <w:r w:rsidR="007546E2">
        <w:rPr>
          <w:rFonts w:ascii="Century Gothic" w:hAnsi="Century Gothic" w:cs="Arial"/>
          <w:b/>
          <w:bCs/>
        </w:rPr>
        <w:t>ĽZ</w:t>
      </w:r>
      <w:r w:rsidRPr="007546E2">
        <w:rPr>
          <w:rFonts w:ascii="Century Gothic" w:hAnsi="Century Gothic" w:cs="Arial"/>
          <w:b/>
          <w:bCs/>
        </w:rPr>
        <w:t xml:space="preserve"> </w:t>
      </w:r>
    </w:p>
    <w:p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:rsidR="00D66D3F" w:rsidRDefault="007546E2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Skupiny oprávnených výdavkov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>uvedené v číselníku oprávnených výdavkov</w:t>
      </w:r>
      <w:r w:rsidR="00A015E3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4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slúžia na základné rozdelenie výdavkov projektu podľa ich charakteru a vzniku             v rámci realizácie aktivít projektu.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Oprávnené výdavky 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sú kategorizované do príslušných tried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skupín oprávnených výdavkov a nadväzujú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na ekonomickú klasifikáciu rozpočtovej klasifikácie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vydanú zo strany MF SR</w:t>
      </w:r>
      <w:r w:rsidR="003743AE" w:rsidRPr="003743AE">
        <w:t xml:space="preserve"> </w:t>
      </w:r>
      <w:r w:rsidR="003743AE">
        <w:t>(</w:t>
      </w:r>
      <w:r w:rsidR="003743AE" w:rsidRPr="003743AE">
        <w:rPr>
          <w:rFonts w:ascii="Century Gothic" w:eastAsiaTheme="minorHAnsi" w:hAnsi="Century Gothic" w:cs="Arial"/>
          <w:sz w:val="20"/>
          <w:szCs w:val="20"/>
          <w:lang w:eastAsia="en-US"/>
        </w:rPr>
        <w:t>MF/010175/2004-42</w:t>
      </w:r>
      <w:r w:rsidR="003743AE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A015E3" w:rsidRPr="00D66D3F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Výstupy z účtovníctva jednotlivých účtovných jednotiek - prijímateľov nemusia byť totožné so zaradením nákladov/výdavkov do tried a skupín tak, ako to určuje tento číselník. </w:t>
      </w:r>
    </w:p>
    <w:p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Zoznam oprávnených výdavkov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obsahuje uzavretý zoznam tried a skupín oprávnených výdavkov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Špecifikácia </w:t>
      </w:r>
      <w:r w:rsidR="0009728F">
        <w:rPr>
          <w:rFonts w:ascii="Century Gothic" w:eastAsiaTheme="minorHAnsi" w:hAnsi="Century Gothic" w:cs="Arial"/>
          <w:b/>
          <w:sz w:val="20"/>
          <w:szCs w:val="20"/>
          <w:lang w:eastAsia="en-US"/>
        </w:rPr>
        <w:t>tried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oprávnených výdavkov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v rámci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TP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1:</w:t>
      </w:r>
    </w:p>
    <w:p w:rsidR="00A015E3" w:rsidRP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01 – Dlhodobý nehmotný majetok </w:t>
      </w:r>
    </w:p>
    <w:p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Dlhodobým nehmotným majetkom</w:t>
      </w:r>
      <w:r w:rsidRPr="000628A5">
        <w:rPr>
          <w:rStyle w:val="Odkaznapoznmkupodiarou"/>
          <w:rFonts w:eastAsiaTheme="minorHAnsi"/>
          <w:lang w:eastAsia="en-US"/>
        </w:rPr>
        <w:footnoteReference w:id="5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sú zložky majetku, ktorých ocenenie je vyššie ako suma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6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Nehmotný majetok, ktorého ocenenie sa rovná tejto sume alebo je nižšie, možno zaradiť (podľa rozhodnutia účtovnej jednotky - prijímateľa) do dlhodobého nehmotného majetku, ak doba použiteľnosti tohto majetku je dlhšia ako jeden rok. </w:t>
      </w:r>
    </w:p>
    <w:p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Nehmotný majetok, ktorého ocenenie sa rovná sume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7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nehmotného majetku, sa vykazuje v triede oprávnených výdavkov 51 - Služby. </w:t>
      </w:r>
    </w:p>
    <w:p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0628A5" w:rsidRPr="000628A5" w:rsidRDefault="00A015E3" w:rsidP="000628A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Do tejto triedy oprávnených výdavkov sa zaraďujú najmä nehmotné výsledky z vývojovej a obdobnej činnosti, softvér, oceniteľné práva</w:t>
      </w:r>
      <w:r w:rsidR="000628A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0628A5" w:rsidRPr="000628A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(napr. licencie, </w:t>
      </w:r>
      <w:proofErr w:type="spellStart"/>
      <w:r w:rsidR="000628A5" w:rsidRPr="000628A5">
        <w:rPr>
          <w:rFonts w:ascii="Century Gothic" w:eastAsiaTheme="minorHAnsi" w:hAnsi="Century Gothic" w:cs="Arial"/>
          <w:sz w:val="20"/>
          <w:szCs w:val="20"/>
          <w:lang w:eastAsia="en-US"/>
        </w:rPr>
        <w:t>know-how</w:t>
      </w:r>
      <w:proofErr w:type="spellEnd"/>
      <w:r w:rsidR="000628A5" w:rsidRPr="000628A5">
        <w:rPr>
          <w:rFonts w:ascii="Century Gothic" w:eastAsiaTheme="minorHAnsi" w:hAnsi="Century Gothic" w:cs="Arial"/>
          <w:sz w:val="20"/>
          <w:szCs w:val="20"/>
          <w:lang w:eastAsia="en-US"/>
        </w:rPr>
        <w:t>, autorské práva, obchodné značky, ochranné známky, predmety priemyselných práv), územné plány.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013 - Softvér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014 - Oceniteľné práva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019 - Ostatný dlhodobý nehmotný majetok </w:t>
      </w:r>
    </w:p>
    <w:p w:rsid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3743AE" w:rsidRDefault="003743AE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02 – Dlhodobý hmotný majetok </w:t>
      </w:r>
    </w:p>
    <w:p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A015E3" w:rsidRDefault="006F5E5B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>Dlhodobým hmotným majetkom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8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sú zložky majetku, ktorých ocenenie je vyššie ako suma 1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9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Hmotný majetok, ktorého ocenenie sa </w:t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rovná alebo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 nižšie ako suma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0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>, možno zaradiť (podľa rozhodnutia účtovnej jednotky - prijímateľa) do dlhodobého hmotného majetku, ak prevádzkovo-technické funkcie (doba použiteľnosti) sú dlhšie ako jeden rok.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>Hmotný majetok, ktorého oce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nenie sa rovná sume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1"/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hmotného majetku, sa vykazuje v triede oprávnených výdavkov 11 - Zásoby. </w:t>
      </w:r>
    </w:p>
    <w:p w:rsidR="009A1576" w:rsidRPr="00A015E3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9A1576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kupiny oprávnených výdavkov:</w:t>
      </w:r>
    </w:p>
    <w:p w:rsidR="00A015E3" w:rsidRP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022 - Samostatné hnuteľné veci a súbory hnuteľných vecí </w:t>
      </w:r>
    </w:p>
    <w:p w:rsid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023 - Dopravné prostriedky</w:t>
      </w:r>
    </w:p>
    <w:p w:rsidR="00B03238" w:rsidRDefault="00B03238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11 – Zásoby </w:t>
      </w:r>
    </w:p>
    <w:p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rámci triedy sa zaraďujú hnuteľné veci s dobou použiteľnosti najviac jeden rok bez ohľadu na obstarávaciu cenu. V danej triede sa vykazuje aj hmotný majetok</w:t>
      </w:r>
      <w:r w:rsidRPr="00B03238">
        <w:rPr>
          <w:rStyle w:val="Odkaznapoznmkupodiarou"/>
          <w:rFonts w:eastAsiaTheme="minorHAnsi"/>
          <w:lang w:eastAsia="en-US"/>
        </w:rPr>
        <w:footnoteReference w:id="12"/>
      </w:r>
      <w:r w:rsidRPr="00B03238">
        <w:rPr>
          <w:rStyle w:val="Odkaznapoznmkupodiarou"/>
          <w:lang w:eastAsia="en-US"/>
        </w:rPr>
        <w:t>,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ktorý nie je definovaný ako dlhodobý hmotný majetok. </w:t>
      </w:r>
    </w:p>
    <w:p w:rsid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kupina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112 - Zásoby </w:t>
      </w:r>
    </w:p>
    <w:p w:rsidR="00B03238" w:rsidRPr="00B03238" w:rsidRDefault="00B03238" w:rsidP="00B03238">
      <w:pPr>
        <w:jc w:val="both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50 – Spotreba </w:t>
      </w:r>
    </w:p>
    <w:p w:rsidR="002416C5" w:rsidRPr="00B03238" w:rsidRDefault="002416C5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triede sa vykazuje spotreba energie (napr. voda, para, plyn, elektrická energia)</w:t>
      </w:r>
      <w:r w:rsidR="002416C5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2416C5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502 – Spotreba energie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503 – Spotreba ostatných neskladovateľných dodávok </w:t>
      </w: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51 – Služby </w:t>
      </w:r>
    </w:p>
    <w:p w:rsidR="00A015E3" w:rsidRPr="00A015E3" w:rsidRDefault="002416C5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416C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511 – Opravy a udržiavanie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512 - Cestovné náhrady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518 - Ostatné služby </w:t>
      </w: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Default="00CA79E5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52 – Osobné výdavky</w:t>
      </w:r>
    </w:p>
    <w:p w:rsidR="00D54222" w:rsidRPr="00B03238" w:rsidRDefault="00D54222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D54222" w:rsidRPr="00D54222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sem 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najmä 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mzdy, platy, povinné odvody za zamestnávateľa ako aj povinné sociálne náklady - ošetrovné, PN, </w:t>
      </w:r>
      <w:r w:rsidR="00C4435D"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príspevok do </w:t>
      </w:r>
      <w:r w:rsidR="002230F0" w:rsidRPr="002230F0">
        <w:rPr>
          <w:rFonts w:ascii="Century Gothic" w:eastAsiaTheme="minorHAnsi" w:hAnsi="Century Gothic" w:cs="Arial"/>
          <w:sz w:val="20"/>
          <w:szCs w:val="20"/>
          <w:lang w:eastAsia="en-US"/>
        </w:rPr>
        <w:t>doplnkové</w:t>
      </w:r>
      <w:r w:rsidR="002230F0">
        <w:rPr>
          <w:rFonts w:ascii="Century Gothic" w:eastAsiaTheme="minorHAnsi" w:hAnsi="Century Gothic" w:cs="Arial"/>
          <w:sz w:val="20"/>
          <w:szCs w:val="20"/>
          <w:lang w:eastAsia="en-US"/>
        </w:rPr>
        <w:t>ho</w:t>
      </w:r>
      <w:r w:rsidR="00C4435D"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dôchodkového </w:t>
      </w:r>
      <w:r w:rsidR="00D012F6">
        <w:rPr>
          <w:rFonts w:ascii="Century Gothic" w:eastAsiaTheme="minorHAnsi" w:hAnsi="Century Gothic" w:cs="Arial"/>
          <w:sz w:val="20"/>
          <w:szCs w:val="20"/>
          <w:lang w:eastAsia="en-US"/>
        </w:rPr>
        <w:t>sporenia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. Ďalej do triedy sú zahrnuté aj dohody o výkone prác mimo pracovného pomeru vrátane povinných odvodov za zamestnávateľa.</w:t>
      </w:r>
    </w:p>
    <w:p w:rsidR="00D54222" w:rsidRDefault="00D54222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A015E3" w:rsidRPr="00A015E3" w:rsidRDefault="00CA79E5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A79E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A015E3" w:rsidRPr="00A015E3" w:rsidRDefault="00A015E3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521 - Mzdové výdavky</w:t>
      </w:r>
      <w:r w:rsidR="00D54222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3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54222"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(vrátane odmien za prácu vykonávanú mimo pracovného pomeru, platov, povinných odvodov za zamestnávateľa a iných zákonných náhrad)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Default="00C4435D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54 – Ostatné výdavky</w:t>
      </w:r>
    </w:p>
    <w:p w:rsidR="00C4435D" w:rsidRPr="00B03238" w:rsidRDefault="00C4435D" w:rsidP="00C4435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C4435D" w:rsidRPr="00A015E3" w:rsidRDefault="00C4435D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Vykazujú sa tu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ostatné položky, ktoré neboli uvedené v predchádzajúcich skupinách, ktoré sa týkajú hospodárskej činnosti, napríklad poistenie majetku určeného na prevádzkovú činnosť a iné poistné súvi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siace s prevádzkovou činnosťou.</w:t>
      </w:r>
    </w:p>
    <w:p w:rsidR="00C4435D" w:rsidRDefault="00C4435D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A015E3" w:rsidRPr="00A015E3" w:rsidRDefault="00A015E3" w:rsidP="00D54222">
      <w:pPr>
        <w:jc w:val="both"/>
        <w:rPr>
          <w:rFonts w:eastAsiaTheme="minorHAnsi"/>
          <w:sz w:val="23"/>
          <w:szCs w:val="23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548 – Výdavky na prevádzkovú činnosť</w:t>
      </w:r>
      <w:r w:rsidRPr="00A015E3">
        <w:rPr>
          <w:rFonts w:eastAsiaTheme="minorHAnsi"/>
          <w:sz w:val="23"/>
          <w:szCs w:val="23"/>
          <w:lang w:eastAsia="en-US"/>
        </w:rPr>
        <w:t xml:space="preserve"> </w:t>
      </w:r>
    </w:p>
    <w:p w:rsidR="00D54222" w:rsidRDefault="00D54222" w:rsidP="00A015E3">
      <w:pPr>
        <w:autoSpaceDE w:val="0"/>
        <w:autoSpaceDN w:val="0"/>
        <w:adjustRightInd w:val="0"/>
        <w:rPr>
          <w:rFonts w:eastAsiaTheme="minorHAnsi"/>
          <w:b/>
          <w:bCs/>
          <w:sz w:val="23"/>
          <w:szCs w:val="23"/>
          <w:lang w:eastAsia="en-US"/>
        </w:rPr>
      </w:pPr>
    </w:p>
    <w:p w:rsidR="00A015E3" w:rsidRDefault="00A015E3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>5</w:t>
      </w:r>
      <w:r w:rsidR="00D54222">
        <w:rPr>
          <w:rFonts w:ascii="Century Gothic" w:eastAsiaTheme="minorHAnsi" w:hAnsi="Century Gothic" w:cs="Arial"/>
          <w:b/>
          <w:sz w:val="20"/>
          <w:szCs w:val="20"/>
          <w:lang w:eastAsia="en-US"/>
        </w:rPr>
        <w:t>6 – Finančné výdavky a poplatky</w:t>
      </w:r>
    </w:p>
    <w:p w:rsidR="00D54222" w:rsidRPr="00C4435D" w:rsidRDefault="00D54222" w:rsidP="00D54222">
      <w:pPr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>Vecné vymedzenie</w:t>
      </w:r>
    </w:p>
    <w:p w:rsidR="00D54222" w:rsidRPr="00C4435D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správ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ne poplatky, notárske poplatky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, poplatky za používanie  ciest a diaľnic formou diaľničných známok ale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bo mýta v tuzemsku.</w:t>
      </w:r>
    </w:p>
    <w:p w:rsidR="00D54222" w:rsidRPr="00A015E3" w:rsidRDefault="00D54222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A015E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568 - Ostatné finančné výdavky</w:t>
      </w:r>
    </w:p>
    <w:p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182F72" w:rsidRDefault="00182F7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  <w:sectPr w:rsidR="00182F72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Číselník</w:t>
      </w:r>
      <w:r w:rsidRPr="002B4EF1">
        <w:t xml:space="preserve"> </w:t>
      </w: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oprávnených výdavkov pre projekty TP OP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ĽZ pre prioritnú os 1</w:t>
      </w:r>
    </w:p>
    <w:p w:rsidR="00422530" w:rsidRDefault="00422530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182F72" w:rsidRDefault="00182F7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tbl>
      <w:tblPr>
        <w:tblW w:w="14601" w:type="dxa"/>
        <w:tblInd w:w="-781" w:type="dxa"/>
        <w:tblCellMar>
          <w:left w:w="70" w:type="dxa"/>
          <w:right w:w="70" w:type="dxa"/>
        </w:tblCellMar>
        <w:tblLook w:val="04A0"/>
      </w:tblPr>
      <w:tblGrid>
        <w:gridCol w:w="3261"/>
        <w:gridCol w:w="2693"/>
        <w:gridCol w:w="1701"/>
        <w:gridCol w:w="1560"/>
        <w:gridCol w:w="1842"/>
        <w:gridCol w:w="3544"/>
      </w:tblGrid>
      <w:tr w:rsidR="005865F2" w:rsidRPr="00AF3C83" w:rsidTr="00182F72">
        <w:trPr>
          <w:trHeight w:val="50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Číselník oprávnených výdavkov pre projekty TP OP ĽZ prioritná os 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Nadväznosť na ekonomickú klasifikáciu rozpočtovej klasifikácie (MF/0101475/2014-42)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 oprávnených výdavkov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oprávnených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Podtrieda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Položka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5865F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výdavkov</w:t>
            </w:r>
            <w:r w:rsidRPr="005865F2">
              <w:rPr>
                <w:rFonts w:ascii="Century Gothic" w:hAnsi="Century Gothic"/>
                <w:b/>
                <w:bCs/>
                <w:color w:val="000000"/>
                <w:sz w:val="14"/>
                <w:szCs w:val="14"/>
                <w:vertAlign w:val="superscript"/>
              </w:rPr>
              <w:t>14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01 Dlhodobý nehmotný majetok 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2 400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013 Softvér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711003 Nákup softvéru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718006 Softvéru</w:t>
            </w:r>
          </w:p>
        </w:tc>
      </w:tr>
      <w:tr w:rsidR="005865F2" w:rsidRPr="00AF3C83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014 Oceniteľné práva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711004 Nákup licencií</w:t>
            </w:r>
          </w:p>
        </w:tc>
      </w:tr>
      <w:tr w:rsidR="005865F2" w:rsidRPr="00AF3C83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182F72">
        <w:trPr>
          <w:trHeight w:val="75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019 Ostatný dlhodobý nehmotný majetok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711005 Nákup ostatných nehmotných aktív</w:t>
            </w:r>
          </w:p>
        </w:tc>
      </w:tr>
      <w:tr w:rsidR="005865F2" w:rsidRPr="00AF3C83" w:rsidTr="00422530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422530">
        <w:trPr>
          <w:trHeight w:val="37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530" w:rsidRPr="00B84688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02 Dlhodobý hmotný majetok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1 700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022 Samostatné hnuteľné veci a súbory hnuteľných vecí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 Nákup strojov, prístrojov, zariadení, techniky a náradia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713001 Interiérového vybavenia</w:t>
            </w:r>
          </w:p>
        </w:tc>
      </w:tr>
      <w:tr w:rsidR="005865F2" w:rsidRPr="00AF3C83" w:rsidTr="00422530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713002 Výpočtovej techniky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713003 Telekomunikačnej techniky</w:t>
            </w:r>
          </w:p>
        </w:tc>
      </w:tr>
      <w:tr w:rsidR="005865F2" w:rsidRPr="00AF3C83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713004 Prevádzkových strojov, prístrojov, zariadení, techniky a náradia</w:t>
            </w:r>
          </w:p>
        </w:tc>
      </w:tr>
      <w:tr w:rsidR="005865F2" w:rsidRPr="00AF3C83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713005 Špeciálnych strojov, prístrojov, zariadení, techniky, náradia a materiálu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713006 Komunikačnej infraštruktúry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718002 Výpočtovej techniky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718003 Telekomunikačnej techniky</w:t>
            </w:r>
          </w:p>
        </w:tc>
      </w:tr>
      <w:tr w:rsidR="005865F2" w:rsidRPr="00AF3C83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718004 Prevádzkových strojov, prístrojov, zariadení, techniky a náradia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718005 Špeciálnych strojov, prístrojov, zariadení, techniky a náradia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718007 Komunikačnej infraštruktúry</w:t>
            </w:r>
          </w:p>
        </w:tc>
      </w:tr>
      <w:tr w:rsidR="005865F2" w:rsidRPr="00AF3C83" w:rsidTr="00182F72">
        <w:trPr>
          <w:trHeight w:val="126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023 Dopravné prostriedky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 Nákup dopravných prostriedkov všetkých druhov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714001 Nákup Osobných automobilov</w:t>
            </w:r>
          </w:p>
        </w:tc>
      </w:tr>
      <w:tr w:rsidR="005865F2" w:rsidRPr="00AF3C83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11 Zásoby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(doba použiteľnosti najviac 1 rok; bez ohľadu na obstarávaciu cenu)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112 Zásoby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633001 Interiérové vybavenie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633002 Výpočtová technika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633003 Telekomunikačná technika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633004 Prevádzkové stroje, prístroje, zariadenie, technika a náradie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633005 Špeciálne stroje, prístroje, zariadenie, technika a náradie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633006 Všeobecný materiál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633009 Knihy, časopisy, noviny , učebnice, učebné pomôcky a kompenzačné pomôcky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633010 Materiál Pracovné odevy, obuv a pracovné pomôcky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633019 Komunikačná infraštruktúra</w:t>
            </w:r>
          </w:p>
        </w:tc>
      </w:tr>
      <w:tr w:rsidR="005865F2" w:rsidRPr="00AF3C83" w:rsidTr="00182F72">
        <w:trPr>
          <w:trHeight w:val="58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50 Spotreba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502 Spotreba energie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632001 Energie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632002 Vodné, stočné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503 Spotreba ostatných neskladovateľných dodávok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634001 Palivo, mazivá, oleje, špeciálne kvapaliny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51 Služby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511 Opravy a udržiavanie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634002 Servis, údržba, opravy a výdavky s tým spojené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 Rutinná a štandardná údržba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635001 Interiérového vybavenia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635002 Výpočtovej techniky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635003 Telekomunikačnej techniky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635004 Prevádzkových strojov, prístrojov, zariadení, techniky a náradia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635005 Špeciálnych strojov, prístrojov, zariadení, techniky a náradia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635006 Budov, objektov alebo ich častí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635009 Softvéru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512 Cestovné náhrady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 Cestovné náhrady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631001 Tuzemské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631002 Zahraničné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jc w:val="both"/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637007 Cestovné náhrady (Cestovné náhrady a cestovné výdavky iným než vlastným zamestnancom)</w:t>
            </w:r>
          </w:p>
        </w:tc>
      </w:tr>
      <w:tr w:rsidR="005865F2" w:rsidRPr="00AF3C83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518 Ostatné služby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632003 Poštové služby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632004 Komunikačná infraštruktúra</w:t>
            </w:r>
          </w:p>
        </w:tc>
      </w:tr>
      <w:tr w:rsidR="005865F2" w:rsidRPr="00AF3C83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632005 Telekomunikačné služby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633016 Reprezentačné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633013 Softvér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633018 Licencie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634004 Prepravné a nájom dopravných prostriedkov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 Nájomné za nájom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636001 Budov, objektov alebo ich častí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636002 Prevádzkových strojov, prístrojov, zariadení, techniky a náradia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636003 Špeciálnych strojov, prístrojov, zariadení, techniky, náradia a materiálu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636006 Výpočtovej techniky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636007 Softvéru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636008 Komunikačnej infraštruktúry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637001 Školenia, kurzy, semináre, porady, konferencie, sympóziá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637003 Propagácia, reklama a inzercia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637004 Všeobecné služby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637005 Špeciálne služby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637011 Štúdie, expertízy, posudky</w:t>
            </w:r>
          </w:p>
        </w:tc>
      </w:tr>
      <w:tr w:rsidR="005865F2" w:rsidRPr="00AF3C83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637040 Služby v oblasti informačno-komunikačných technológií</w:t>
            </w:r>
          </w:p>
        </w:tc>
      </w:tr>
      <w:tr w:rsidR="005865F2" w:rsidRPr="00AF3C83" w:rsidTr="005A1BDE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52 Osobné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521 Mzdové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Okrem 613, 615, 628</w:t>
            </w:r>
          </w:p>
        </w:tc>
      </w:tr>
      <w:tr w:rsidR="005865F2" w:rsidRPr="00AF3C83" w:rsidTr="005A1BDE">
        <w:trPr>
          <w:trHeight w:val="30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637027 Odmeny zamestnancov mimopracovného pomeru</w:t>
            </w:r>
          </w:p>
        </w:tc>
      </w:tr>
      <w:tr w:rsidR="005865F2" w:rsidRPr="00AF3C83" w:rsidTr="00BD4622">
        <w:trPr>
          <w:trHeight w:val="28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640 Bežné transfery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 Transfery jednotlivcom a neziskovým právnickým osobám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804249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642015 Na nemocenské dávky</w:t>
            </w:r>
          </w:p>
        </w:tc>
      </w:tr>
      <w:tr w:rsidR="005865F2" w:rsidRPr="00AF3C83" w:rsidTr="00BD4622">
        <w:trPr>
          <w:trHeight w:val="288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9877FE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  <w:vertAlign w:val="superscript"/>
              </w:rPr>
            </w:pPr>
            <w:r w:rsidRPr="009877FE">
              <w:rPr>
                <w:rFonts w:eastAsiaTheme="minorHAnsi"/>
              </w:rPr>
              <w:t xml:space="preserve"> </w:t>
            </w:r>
            <w:r w:rsidR="009877FE">
              <w:rPr>
                <w:rFonts w:ascii="Century Gothic" w:hAnsi="Century Gothic"/>
                <w:color w:val="000000"/>
                <w:sz w:val="14"/>
                <w:szCs w:val="14"/>
              </w:rPr>
              <w:t>642030 Príplatky a príspevky</w:t>
            </w:r>
            <w:r w:rsidR="009877FE" w:rsidRPr="009877FE">
              <w:rPr>
                <w:rFonts w:ascii="Century Gothic" w:hAnsi="Century Gothic"/>
                <w:color w:val="000000"/>
                <w:sz w:val="14"/>
                <w:szCs w:val="14"/>
                <w:vertAlign w:val="superscript"/>
              </w:rPr>
              <w:t>1</w:t>
            </w:r>
            <w:r w:rsidR="005865F2">
              <w:rPr>
                <w:rFonts w:ascii="Century Gothic" w:hAnsi="Century Gothic"/>
                <w:color w:val="000000"/>
                <w:sz w:val="14"/>
                <w:szCs w:val="14"/>
                <w:vertAlign w:val="superscript"/>
              </w:rPr>
              <w:t>5</w:t>
            </w:r>
          </w:p>
        </w:tc>
      </w:tr>
      <w:tr w:rsidR="005865F2" w:rsidRPr="00AF3C83" w:rsidTr="00BD4622">
        <w:trPr>
          <w:trHeight w:val="288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9877FE" w:rsidRDefault="009877FE" w:rsidP="00C86FA6">
            <w:pPr>
              <w:rPr>
                <w:rFonts w:eastAsiaTheme="minorHAnsi"/>
              </w:rPr>
            </w:pPr>
          </w:p>
        </w:tc>
      </w:tr>
      <w:tr w:rsidR="005865F2" w:rsidRPr="00AF3C83" w:rsidTr="00182F72">
        <w:trPr>
          <w:trHeight w:val="416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54 Ostatné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548 Výdavky na prevádzkovú činnosť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634003 Poistenie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637015 Poistné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56 Finančné výdavky a poplatky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568 Ostatné finančné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634005 Karty, známky, poplatky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637012 Poplatky a odvody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637023 Kolkové známky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FA6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  <w:p w:rsidR="005865F2" w:rsidRPr="00B84688" w:rsidRDefault="005865F2" w:rsidP="005865F2">
            <w:pPr>
              <w:jc w:val="both"/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182F72">
        <w:trPr>
          <w:trHeight w:val="30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5F2" w:rsidRPr="00B84688" w:rsidRDefault="005865F2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</w:tbl>
    <w:p w:rsidR="00182F72" w:rsidRPr="00AF3C83" w:rsidRDefault="00642CA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noProof/>
          <w:sz w:val="20"/>
          <w:szCs w:val="20"/>
        </w:rPr>
        <w:pict>
          <v:line id="Rovná spojnica 2" o:spid="_x0000_s1026" style="position:absolute;left:0;text-align:left;flip:y;z-index:251659264;visibility:visible;mso-position-horizontal-relative:text;mso-position-vertical-relative:text" from="-6.35pt,10.2pt" to="247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" strokecolor="black [3040]"/>
        </w:pict>
      </w:r>
    </w:p>
    <w:p w:rsidR="002B4EF1" w:rsidRPr="00AF3C8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F91720" w:rsidRPr="00F91720" w:rsidRDefault="00F91720" w:rsidP="00F91720">
      <w:pPr>
        <w:rPr>
          <w:rFonts w:ascii="Century Gothic" w:hAnsi="Century Gothic"/>
          <w:color w:val="000000"/>
          <w:sz w:val="16"/>
          <w:szCs w:val="16"/>
        </w:rPr>
      </w:pPr>
      <w:r w:rsidRPr="00F91720">
        <w:rPr>
          <w:rFonts w:ascii="Century Gothic" w:hAnsi="Century Gothic"/>
          <w:color w:val="000000"/>
          <w:sz w:val="16"/>
          <w:szCs w:val="16"/>
          <w:vertAlign w:val="superscript"/>
        </w:rPr>
        <w:t xml:space="preserve">14 </w:t>
      </w:r>
      <w:r w:rsidRPr="00F91720">
        <w:rPr>
          <w:rFonts w:ascii="Century Gothic" w:hAnsi="Century Gothic"/>
          <w:color w:val="000000"/>
          <w:sz w:val="16"/>
          <w:szCs w:val="16"/>
        </w:rPr>
        <w:t>kategorizuje oprávnenosť výdavku pre TP OPĽZ prioritná os 1 v súlade s ustanoveniami  uvedenými v prílohe č.3 písomného vyzvania</w:t>
      </w:r>
    </w:p>
    <w:p w:rsidR="00F91720" w:rsidRPr="00F91720" w:rsidRDefault="00F91720" w:rsidP="00F91720">
      <w:pPr>
        <w:rPr>
          <w:rFonts w:ascii="Century Gothic" w:hAnsi="Century Gothic"/>
          <w:color w:val="000000"/>
          <w:sz w:val="16"/>
          <w:szCs w:val="16"/>
        </w:rPr>
      </w:pPr>
    </w:p>
    <w:p w:rsidR="00A015E3" w:rsidRPr="00AF3C83" w:rsidRDefault="00F91720" w:rsidP="00F91720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6015C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F91720">
        <w:rPr>
          <w:rFonts w:ascii="Century Gothic" w:hAnsi="Century Gothic"/>
          <w:sz w:val="16"/>
          <w:szCs w:val="16"/>
          <w:vertAlign w:val="superscript"/>
        </w:rPr>
        <w:t>5</w:t>
      </w:r>
      <w:r w:rsidRPr="00C6015C">
        <w:rPr>
          <w:rFonts w:ascii="Century Gothic" w:hAnsi="Century Gothic"/>
          <w:sz w:val="16"/>
          <w:szCs w:val="16"/>
        </w:rPr>
        <w:t xml:space="preserve"> Napr. príplatok k nemocenskému, k podpore pri ošetrovaní člena rodiny, k peňažnej pomoci v materstve, k dôchodku za výkon funkcie sudcu a prokurátora a príplatok k dôchodku pozostalých, príplatok k dôchodku politickým väzňom, pri smrteľných úrazoch a chorobách z povolania, frekventantom rehabilitačného strediska pre prípravu na pracovné uplatnenie občanov  so zmenenou pracovnou schopnosťou, príspevky podľa osobitného zákona (napr. resocializačný príspevok).</w:t>
      </w:r>
    </w:p>
    <w:p w:rsidR="00A015E3" w:rsidRPr="00AF3C8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E0ED1" w:rsidRPr="00AF3C83" w:rsidRDefault="00AE0ED1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sectPr w:rsidR="00AE0ED1" w:rsidRPr="00AF3C83" w:rsidSect="00182F72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739" w:rsidRDefault="00096739" w:rsidP="008E4422">
      <w:r>
        <w:separator/>
      </w:r>
    </w:p>
  </w:endnote>
  <w:endnote w:type="continuationSeparator" w:id="0">
    <w:p w:rsidR="00096739" w:rsidRDefault="00096739" w:rsidP="008E4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739" w:rsidRDefault="00096739" w:rsidP="008E4422">
      <w:r>
        <w:separator/>
      </w:r>
    </w:p>
  </w:footnote>
  <w:footnote w:type="continuationSeparator" w:id="0">
    <w:p w:rsidR="00096739" w:rsidRDefault="00096739" w:rsidP="008E4422">
      <w:r>
        <w:continuationSeparator/>
      </w:r>
    </w:p>
  </w:footnote>
  <w:footnote w:id="1">
    <w:p w:rsidR="008872DA" w:rsidRPr="00674A78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 xml:space="preserve"> Zdroj: </w:t>
      </w:r>
      <w:hyperlink r:id="rId1" w:history="1">
        <w:r w:rsidRPr="00674A78">
          <w:rPr>
            <w:rStyle w:val="Hypertextovprepojenie"/>
            <w:rFonts w:ascii="Century Gothic" w:hAnsi="Century Gothic"/>
            <w:sz w:val="16"/>
            <w:szCs w:val="16"/>
          </w:rPr>
          <w:t>www.partnerskadohoda.sk</w:t>
        </w:r>
      </w:hyperlink>
      <w:r w:rsidRPr="00674A78">
        <w:rPr>
          <w:rFonts w:ascii="Century Gothic" w:hAnsi="Century Gothic"/>
          <w:sz w:val="16"/>
          <w:szCs w:val="16"/>
        </w:rPr>
        <w:t xml:space="preserve"> </w:t>
      </w:r>
    </w:p>
  </w:footnote>
  <w:footnote w:id="2">
    <w:p w:rsidR="008872DA" w:rsidRPr="00674A78" w:rsidRDefault="008872DA" w:rsidP="004E18AB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3">
    <w:p w:rsidR="008872DA" w:rsidRDefault="008872DA" w:rsidP="00D66D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4A78">
        <w:rPr>
          <w:rFonts w:ascii="Century Gothic" w:hAnsi="Century Gothic"/>
          <w:sz w:val="16"/>
          <w:szCs w:val="16"/>
        </w:rPr>
        <w:t>Výnimku tvoria daň z príjmu fyzických osôb, ktorá je súčasťou hrubej mzdy, resp. odmeny za vykonanú prácu a je oprávneným výdavkom v rámci osobných výdavkov a daň za ubytovanie, ktorá je oprávneným výdavkom v rámci cestovných náhrad.</w:t>
      </w:r>
    </w:p>
  </w:footnote>
  <w:footnote w:id="4">
    <w:p w:rsidR="008872DA" w:rsidRPr="000628A5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Číselník oprávnených výdavkov s uvedenými triedami a skupinami tvorí súčasť ITMS 2014+.</w:t>
      </w:r>
    </w:p>
  </w:footnote>
  <w:footnote w:id="5">
    <w:p w:rsidR="008872DA" w:rsidRPr="000628A5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6">
    <w:p w:rsidR="008872DA" w:rsidRPr="000628A5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7">
    <w:p w:rsidR="008872DA" w:rsidRPr="009A1576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8">
    <w:p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0FD6">
        <w:rPr>
          <w:rFonts w:ascii="Century Gothic" w:hAnsi="Century Gothic"/>
          <w:sz w:val="16"/>
          <w:szCs w:val="16"/>
        </w:rPr>
        <w:t xml:space="preserve">Vrátane nákladov súvisiacich s obstaraním dlhodobého majetku do času uvedenia predmetného majetku do užívania.  </w:t>
      </w:r>
    </w:p>
  </w:footnote>
  <w:footnote w:id="9">
    <w:p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0">
    <w:p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1">
    <w:p w:rsidR="008872DA" w:rsidRDefault="008872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2">
    <w:p w:rsidR="008872DA" w:rsidRDefault="008872DA">
      <w:pPr>
        <w:pStyle w:val="Textpoznmkypodiarou"/>
      </w:pPr>
      <w:r w:rsidRPr="00B03238">
        <w:rPr>
          <w:rStyle w:val="Odkaznapoznmkupodiarou"/>
        </w:rPr>
        <w:footnoteRef/>
      </w:r>
      <w:r w:rsidRPr="00B03238">
        <w:rPr>
          <w:rFonts w:ascii="Century Gothic" w:hAnsi="Century Gothic"/>
          <w:sz w:val="16"/>
          <w:szCs w:val="16"/>
        </w:rPr>
        <w:t xml:space="preserve"> Vrátane nákladov súvisiacich s obstaraním uvedeného hmotného majetku do užívania.</w:t>
      </w:r>
    </w:p>
  </w:footnote>
  <w:footnote w:id="13">
    <w:p w:rsidR="008872DA" w:rsidRPr="00D54222" w:rsidRDefault="008872DA">
      <w:pPr>
        <w:pStyle w:val="Textpoznmkypodiarou"/>
        <w:rPr>
          <w:rFonts w:ascii="Century Gothic" w:hAnsi="Century Gothic"/>
          <w:sz w:val="16"/>
          <w:szCs w:val="16"/>
        </w:rPr>
      </w:pPr>
      <w:r w:rsidRPr="00D54222">
        <w:rPr>
          <w:rStyle w:val="Odkaznapoznmkupodiarou"/>
        </w:rPr>
        <w:footnoteRef/>
      </w:r>
      <w:r w:rsidRPr="00D54222">
        <w:rPr>
          <w:rStyle w:val="Odkaznapoznmkupodiarou"/>
        </w:rPr>
        <w:t xml:space="preserve">  </w:t>
      </w:r>
      <w:r w:rsidRPr="00D54222">
        <w:rPr>
          <w:rFonts w:ascii="Century Gothic" w:hAnsi="Century Gothic"/>
          <w:sz w:val="16"/>
          <w:szCs w:val="16"/>
        </w:rPr>
        <w:t xml:space="preserve"> Relevantné zložky mzdy vrátane pohyblivých zložiek (napr. osobné príplatky).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DA" w:rsidRDefault="008872DA">
    <w:pPr>
      <w:pStyle w:val="Hlavika"/>
    </w:pPr>
    <w:r>
      <w:rPr>
        <w:noProof/>
      </w:rPr>
      <w:drawing>
        <wp:inline distT="0" distB="0" distL="0" distR="0">
          <wp:extent cx="5568949" cy="409433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lz.hlavicka2 (3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589" cy="414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72DA" w:rsidRDefault="008872DA" w:rsidP="00684922">
    <w:pPr>
      <w:pStyle w:val="Hlavika"/>
      <w:jc w:val="right"/>
      <w:rPr>
        <w:rFonts w:ascii="Century Gothic" w:hAnsi="Century Gothic"/>
        <w:sz w:val="18"/>
        <w:szCs w:val="18"/>
      </w:rPr>
    </w:pPr>
  </w:p>
  <w:p w:rsidR="008872DA" w:rsidRPr="00491BC6" w:rsidRDefault="008872DA" w:rsidP="00684922">
    <w:pPr>
      <w:pStyle w:val="Hlavika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Príloha č. 3 vyzvania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25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9A4F63"/>
    <w:multiLevelType w:val="hybridMultilevel"/>
    <w:tmpl w:val="AB1012A2"/>
    <w:lvl w:ilvl="0" w:tplc="3D22C782">
      <w:start w:val="1"/>
      <w:numFmt w:val="bullet"/>
      <w:lvlText w:val="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A48CC"/>
    <w:multiLevelType w:val="hybridMultilevel"/>
    <w:tmpl w:val="19DE9A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93EFB"/>
    <w:multiLevelType w:val="hybridMultilevel"/>
    <w:tmpl w:val="AA7CF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61827"/>
    <w:multiLevelType w:val="hybridMultilevel"/>
    <w:tmpl w:val="D3C4A332"/>
    <w:lvl w:ilvl="0" w:tplc="B3FAFE6C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64CF3"/>
    <w:rsid w:val="000002FF"/>
    <w:rsid w:val="0003178C"/>
    <w:rsid w:val="000321E4"/>
    <w:rsid w:val="000628A5"/>
    <w:rsid w:val="0006465A"/>
    <w:rsid w:val="00070A6A"/>
    <w:rsid w:val="000877E2"/>
    <w:rsid w:val="00096739"/>
    <w:rsid w:val="0009728F"/>
    <w:rsid w:val="000977BE"/>
    <w:rsid w:val="000A6C10"/>
    <w:rsid w:val="000A724C"/>
    <w:rsid w:val="000B2A66"/>
    <w:rsid w:val="000B38E3"/>
    <w:rsid w:val="000B6616"/>
    <w:rsid w:val="000C3303"/>
    <w:rsid w:val="000E0FDC"/>
    <w:rsid w:val="001368B4"/>
    <w:rsid w:val="00152EDD"/>
    <w:rsid w:val="00160DE6"/>
    <w:rsid w:val="0016143C"/>
    <w:rsid w:val="00182F72"/>
    <w:rsid w:val="0018507F"/>
    <w:rsid w:val="001868D9"/>
    <w:rsid w:val="00190D69"/>
    <w:rsid w:val="00191EB1"/>
    <w:rsid w:val="001947CB"/>
    <w:rsid w:val="001D0D43"/>
    <w:rsid w:val="001D4793"/>
    <w:rsid w:val="001E0DE4"/>
    <w:rsid w:val="001E7D02"/>
    <w:rsid w:val="00217E9C"/>
    <w:rsid w:val="002230F0"/>
    <w:rsid w:val="002324A4"/>
    <w:rsid w:val="00233C5F"/>
    <w:rsid w:val="002416C5"/>
    <w:rsid w:val="002557FE"/>
    <w:rsid w:val="002766B4"/>
    <w:rsid w:val="00277B44"/>
    <w:rsid w:val="002B21CE"/>
    <w:rsid w:val="002B2BC8"/>
    <w:rsid w:val="002B4EF1"/>
    <w:rsid w:val="002D3331"/>
    <w:rsid w:val="002D6495"/>
    <w:rsid w:val="002E2923"/>
    <w:rsid w:val="00317D84"/>
    <w:rsid w:val="003255F5"/>
    <w:rsid w:val="00364CF3"/>
    <w:rsid w:val="003743AE"/>
    <w:rsid w:val="00393449"/>
    <w:rsid w:val="003A0FD6"/>
    <w:rsid w:val="003D3D71"/>
    <w:rsid w:val="003E04FD"/>
    <w:rsid w:val="003E56F1"/>
    <w:rsid w:val="003F458C"/>
    <w:rsid w:val="003F740B"/>
    <w:rsid w:val="00400099"/>
    <w:rsid w:val="0040228E"/>
    <w:rsid w:val="004200E3"/>
    <w:rsid w:val="00422530"/>
    <w:rsid w:val="00455C9E"/>
    <w:rsid w:val="0046595F"/>
    <w:rsid w:val="00491BC6"/>
    <w:rsid w:val="004A73D9"/>
    <w:rsid w:val="004C3E45"/>
    <w:rsid w:val="004C426C"/>
    <w:rsid w:val="004D183B"/>
    <w:rsid w:val="004E0482"/>
    <w:rsid w:val="004E18AB"/>
    <w:rsid w:val="004E35CF"/>
    <w:rsid w:val="005202C7"/>
    <w:rsid w:val="00531EE7"/>
    <w:rsid w:val="00535D62"/>
    <w:rsid w:val="0056503A"/>
    <w:rsid w:val="00575BD3"/>
    <w:rsid w:val="0058241F"/>
    <w:rsid w:val="005834FC"/>
    <w:rsid w:val="005865F2"/>
    <w:rsid w:val="00587C69"/>
    <w:rsid w:val="005B29B1"/>
    <w:rsid w:val="005B4FE2"/>
    <w:rsid w:val="005D1262"/>
    <w:rsid w:val="005E6608"/>
    <w:rsid w:val="00602EE7"/>
    <w:rsid w:val="00610594"/>
    <w:rsid w:val="006125BA"/>
    <w:rsid w:val="00622618"/>
    <w:rsid w:val="006251E7"/>
    <w:rsid w:val="0063473D"/>
    <w:rsid w:val="00642CA1"/>
    <w:rsid w:val="00666288"/>
    <w:rsid w:val="00674A78"/>
    <w:rsid w:val="00675AC3"/>
    <w:rsid w:val="00684922"/>
    <w:rsid w:val="00692A12"/>
    <w:rsid w:val="00696CD2"/>
    <w:rsid w:val="006C68BE"/>
    <w:rsid w:val="006D2803"/>
    <w:rsid w:val="006E0DC5"/>
    <w:rsid w:val="006E408D"/>
    <w:rsid w:val="006F1AF4"/>
    <w:rsid w:val="006F5E5B"/>
    <w:rsid w:val="00700DE6"/>
    <w:rsid w:val="00715BDE"/>
    <w:rsid w:val="007546E2"/>
    <w:rsid w:val="007767CD"/>
    <w:rsid w:val="007C7CB3"/>
    <w:rsid w:val="007D38CF"/>
    <w:rsid w:val="007D465A"/>
    <w:rsid w:val="007E159A"/>
    <w:rsid w:val="007F4B44"/>
    <w:rsid w:val="00802BDF"/>
    <w:rsid w:val="00804249"/>
    <w:rsid w:val="00805EB1"/>
    <w:rsid w:val="00821636"/>
    <w:rsid w:val="00825CF3"/>
    <w:rsid w:val="00827F69"/>
    <w:rsid w:val="00841101"/>
    <w:rsid w:val="00853459"/>
    <w:rsid w:val="00873249"/>
    <w:rsid w:val="0088071D"/>
    <w:rsid w:val="00886BEC"/>
    <w:rsid w:val="008872DA"/>
    <w:rsid w:val="008B6D37"/>
    <w:rsid w:val="008E438F"/>
    <w:rsid w:val="008E4422"/>
    <w:rsid w:val="008E6618"/>
    <w:rsid w:val="008E705A"/>
    <w:rsid w:val="008F550D"/>
    <w:rsid w:val="00905B54"/>
    <w:rsid w:val="009124C8"/>
    <w:rsid w:val="009161E3"/>
    <w:rsid w:val="00923F7E"/>
    <w:rsid w:val="00934854"/>
    <w:rsid w:val="00946189"/>
    <w:rsid w:val="0096457A"/>
    <w:rsid w:val="009735F7"/>
    <w:rsid w:val="009860DF"/>
    <w:rsid w:val="0098778C"/>
    <w:rsid w:val="009877FE"/>
    <w:rsid w:val="00993978"/>
    <w:rsid w:val="00995820"/>
    <w:rsid w:val="009A1576"/>
    <w:rsid w:val="009B0455"/>
    <w:rsid w:val="009C60C9"/>
    <w:rsid w:val="009D330C"/>
    <w:rsid w:val="009D40EF"/>
    <w:rsid w:val="009D4DAF"/>
    <w:rsid w:val="009E69A1"/>
    <w:rsid w:val="00A015E3"/>
    <w:rsid w:val="00A019C8"/>
    <w:rsid w:val="00A144BA"/>
    <w:rsid w:val="00A20DF7"/>
    <w:rsid w:val="00A23E8B"/>
    <w:rsid w:val="00A240C6"/>
    <w:rsid w:val="00A257AD"/>
    <w:rsid w:val="00A434A3"/>
    <w:rsid w:val="00A562B7"/>
    <w:rsid w:val="00A664FA"/>
    <w:rsid w:val="00A725FB"/>
    <w:rsid w:val="00A975C3"/>
    <w:rsid w:val="00AB393A"/>
    <w:rsid w:val="00AB46EF"/>
    <w:rsid w:val="00AB4DBA"/>
    <w:rsid w:val="00AB7E9C"/>
    <w:rsid w:val="00AE0ED1"/>
    <w:rsid w:val="00AE59AD"/>
    <w:rsid w:val="00AE72ED"/>
    <w:rsid w:val="00AF228B"/>
    <w:rsid w:val="00AF3C83"/>
    <w:rsid w:val="00B03238"/>
    <w:rsid w:val="00B10E3F"/>
    <w:rsid w:val="00B17E2A"/>
    <w:rsid w:val="00B543EA"/>
    <w:rsid w:val="00B80AD8"/>
    <w:rsid w:val="00B84688"/>
    <w:rsid w:val="00B92AE1"/>
    <w:rsid w:val="00B95530"/>
    <w:rsid w:val="00BA7C81"/>
    <w:rsid w:val="00BB3198"/>
    <w:rsid w:val="00C119DC"/>
    <w:rsid w:val="00C12B99"/>
    <w:rsid w:val="00C168C5"/>
    <w:rsid w:val="00C225EA"/>
    <w:rsid w:val="00C4435D"/>
    <w:rsid w:val="00C5039B"/>
    <w:rsid w:val="00C86FA6"/>
    <w:rsid w:val="00CA2EE3"/>
    <w:rsid w:val="00CA79E5"/>
    <w:rsid w:val="00CB303F"/>
    <w:rsid w:val="00CE664F"/>
    <w:rsid w:val="00D012F6"/>
    <w:rsid w:val="00D03E89"/>
    <w:rsid w:val="00D11104"/>
    <w:rsid w:val="00D11283"/>
    <w:rsid w:val="00D13A04"/>
    <w:rsid w:val="00D20615"/>
    <w:rsid w:val="00D35959"/>
    <w:rsid w:val="00D54222"/>
    <w:rsid w:val="00D606AD"/>
    <w:rsid w:val="00D62536"/>
    <w:rsid w:val="00D66D3F"/>
    <w:rsid w:val="00D67060"/>
    <w:rsid w:val="00D75B7D"/>
    <w:rsid w:val="00D833D7"/>
    <w:rsid w:val="00D85D9C"/>
    <w:rsid w:val="00DC6E3E"/>
    <w:rsid w:val="00DE75A3"/>
    <w:rsid w:val="00E04911"/>
    <w:rsid w:val="00E2302A"/>
    <w:rsid w:val="00E23965"/>
    <w:rsid w:val="00E251F7"/>
    <w:rsid w:val="00E26540"/>
    <w:rsid w:val="00E421B3"/>
    <w:rsid w:val="00E45F04"/>
    <w:rsid w:val="00E51245"/>
    <w:rsid w:val="00E54C71"/>
    <w:rsid w:val="00E751DD"/>
    <w:rsid w:val="00E82486"/>
    <w:rsid w:val="00E85665"/>
    <w:rsid w:val="00E90061"/>
    <w:rsid w:val="00EA0655"/>
    <w:rsid w:val="00EA2A51"/>
    <w:rsid w:val="00ED0897"/>
    <w:rsid w:val="00EE0C1E"/>
    <w:rsid w:val="00EE2B46"/>
    <w:rsid w:val="00EF7E38"/>
    <w:rsid w:val="00F03281"/>
    <w:rsid w:val="00F11E8F"/>
    <w:rsid w:val="00F137F4"/>
    <w:rsid w:val="00F22F6A"/>
    <w:rsid w:val="00F242A0"/>
    <w:rsid w:val="00F371F1"/>
    <w:rsid w:val="00F61600"/>
    <w:rsid w:val="00F91720"/>
    <w:rsid w:val="00F97C56"/>
    <w:rsid w:val="00FC10E0"/>
    <w:rsid w:val="00FC21AD"/>
    <w:rsid w:val="00FC6D3B"/>
    <w:rsid w:val="00FD4985"/>
    <w:rsid w:val="00FD62EB"/>
    <w:rsid w:val="00FD7D85"/>
    <w:rsid w:val="00FE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5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unhideWhenUsed/>
    <w:rsid w:val="00AE7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E72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E72E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72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72E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72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2ED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E18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E18A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40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25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3E5D9-2326-4B77-928E-2A0A9B31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3648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2020-05-19T11:22:00Z</dcterms:created>
  <dcterms:modified xsi:type="dcterms:W3CDTF">2020-05-19T11:22:00Z</dcterms:modified>
</cp:coreProperties>
</file>