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4D0" w:rsidRPr="00DC34D0" w:rsidRDefault="00DC34D0" w:rsidP="00DC34D0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212529"/>
          <w:kern w:val="36"/>
          <w:sz w:val="44"/>
          <w:szCs w:val="48"/>
          <w:lang w:eastAsia="sk-SK"/>
        </w:rPr>
      </w:pPr>
      <w:r w:rsidRPr="00DC34D0">
        <w:rPr>
          <w:rFonts w:eastAsia="Times New Roman" w:cstheme="minorHAnsi"/>
          <w:b/>
          <w:bCs/>
          <w:color w:val="212529"/>
          <w:kern w:val="36"/>
          <w:sz w:val="44"/>
          <w:szCs w:val="48"/>
          <w:lang w:eastAsia="sk-SK"/>
        </w:rPr>
        <w:t>Normatívy a normatívne príspevky na rok 2026</w:t>
      </w:r>
    </w:p>
    <w:p w:rsidR="00DC34D0" w:rsidRPr="00DC34D0" w:rsidRDefault="00DC34D0" w:rsidP="00DC34D0">
      <w:pPr>
        <w:shd w:val="clear" w:color="auto" w:fill="FFFFFF"/>
        <w:spacing w:after="480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Na webovom sídle ministerstva sú zverejnené normatívy na rok 2026 pre školy a zariadenia poradenstva a prevencie všetkých zriaďovateľov a školské zariadenia v zriaďovateľskej pôsobnosti RUŠS, ktoré boli vypočítané v súlade </w:t>
      </w:r>
      <w:r w:rsidRPr="00DC34D0">
        <w:rPr>
          <w:rFonts w:eastAsia="Times New Roman" w:cstheme="minorHAnsi"/>
          <w:i/>
          <w:iCs/>
          <w:color w:val="212529"/>
          <w:sz w:val="24"/>
          <w:szCs w:val="27"/>
          <w:lang w:eastAsia="sk-SK"/>
        </w:rPr>
        <w:t>so zákonom č. 322/2025 Z. z. o financovaní škôl a školských zariadení (ďalej „Zákon“) a s nariadením vlády č. 412/2025 Z. z., ktorým sa ustanovujú podrobnosti rozpisu finančných prostriedkov zo štátneho rozpočtu pre školy a školské zariadenia (ďalej „NV“)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. V súlade s týmto nariadením vlády sú na webovom sídle zverejnené aj:</w:t>
      </w:r>
    </w:p>
    <w:p w:rsidR="00DC34D0" w:rsidRPr="00DC34D0" w:rsidRDefault="00DC34D0" w:rsidP="00DC34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normatívne príspevky na rok 2026 pre: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br/>
        <w:t> </w:t>
      </w:r>
    </w:p>
    <w:p w:rsidR="00DC34D0" w:rsidRPr="00DC34D0" w:rsidRDefault="00DC34D0" w:rsidP="00DC34D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školy, v ktorých sa vzdelávanie považuje za sústavnú prípravu na povolanie a materské školy (ďalej „MŠ“),</w:t>
      </w:r>
    </w:p>
    <w:p w:rsidR="00DC34D0" w:rsidRPr="00DC34D0" w:rsidRDefault="00DC34D0" w:rsidP="00DC34D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zariadenia poradenstva a prevencie,</w:t>
      </w:r>
    </w:p>
    <w:p w:rsidR="00DC34D0" w:rsidRPr="00DC34D0" w:rsidRDefault="00DC34D0" w:rsidP="00DC34D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ostatné školské zariadenia v zriaďovateľskej pôsobnosti RUŠS,</w:t>
      </w:r>
    </w:p>
    <w:p w:rsidR="00DC34D0" w:rsidRPr="00DC34D0" w:rsidRDefault="00DC34D0" w:rsidP="00DC34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normatívne určené objemy finančných prostriedkov pre zriaďovateľov na rok 2026.</w:t>
      </w:r>
    </w:p>
    <w:p w:rsidR="00DC34D0" w:rsidRPr="00DC34D0" w:rsidRDefault="00DC34D0" w:rsidP="00DC34D0">
      <w:pPr>
        <w:shd w:val="clear" w:color="auto" w:fill="FFFFFF"/>
        <w:spacing w:after="480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V norm</w:t>
      </w:r>
      <w:bookmarkStart w:id="0" w:name="_GoBack"/>
      <w:bookmarkEnd w:id="0"/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atívnych príspevkoch na rok 2026 je zahrnuté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 navýšenie rozpočtu z dôvodu:</w:t>
      </w:r>
    </w:p>
    <w:p w:rsidR="00DC34D0" w:rsidRPr="00DC34D0" w:rsidRDefault="00DC34D0" w:rsidP="00DC34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valorizácie platov zamestnancov v školstve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 od 1.9.2025 vo výške 7 % pre pedagogických (PZ), odborných (OZ) a nepedagogických  zamestnancov (NZ),</w:t>
      </w:r>
    </w:p>
    <w:p w:rsidR="00DC34D0" w:rsidRPr="00DC34D0" w:rsidRDefault="00DC34D0" w:rsidP="00DC34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valorizácie platov zamestnancov v školstve od 1.1.2026 vo výške 7 % pre NZ,</w:t>
      </w:r>
    </w:p>
    <w:p w:rsidR="00DC34D0" w:rsidRPr="00DC34D0" w:rsidRDefault="00DC34D0" w:rsidP="00DC34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valorizácie platov zamestnancov v školstve od 1.1.2026 vo výške 5 % pre PZ a OZ,</w:t>
      </w:r>
    </w:p>
    <w:p w:rsidR="00DC34D0" w:rsidRPr="00DC34D0" w:rsidRDefault="00DC34D0" w:rsidP="00DC34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vyplácania príplatku  za hodnotenie PZ a OZ vo výške  2 %, ktorý sa PZ a OZ vypláca podľa </w:t>
      </w:r>
      <w:r w:rsidRPr="00DC34D0">
        <w:rPr>
          <w:rFonts w:eastAsia="Times New Roman" w:cstheme="minorHAnsi"/>
          <w:i/>
          <w:iCs/>
          <w:color w:val="212529"/>
          <w:sz w:val="24"/>
          <w:szCs w:val="27"/>
          <w:lang w:eastAsia="sk-SK"/>
        </w:rPr>
        <w:t>§32k ods.2 zákona č.553/2003 Z. z. o odmeňovaní niektorých zamestnancov pri výkone práce vo verejnom záujme a o zmene a doplnení niektorých zákonov,</w:t>
      </w:r>
    </w:p>
    <w:p w:rsidR="00DC34D0" w:rsidRPr="00DC34D0" w:rsidRDefault="00DC34D0" w:rsidP="00DC34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vyplácania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príplatku riaditeľa školy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 podľa</w:t>
      </w:r>
      <w:r w:rsidRPr="00DC34D0">
        <w:rPr>
          <w:rFonts w:eastAsia="Times New Roman" w:cstheme="minorHAnsi"/>
          <w:i/>
          <w:iCs/>
          <w:color w:val="212529"/>
          <w:sz w:val="24"/>
          <w:szCs w:val="27"/>
          <w:lang w:eastAsia="sk-SK"/>
        </w:rPr>
        <w:t> §8a zákona č.553/2003 Z. z.</w:t>
      </w:r>
    </w:p>
    <w:p w:rsidR="00DC34D0" w:rsidRPr="00DC34D0" w:rsidRDefault="00DC34D0" w:rsidP="00DC34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navýšenie rozpočtu z dôvodu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nárastu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počtu detí a žiakov škôl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,</w:t>
      </w:r>
    </w:p>
    <w:p w:rsidR="00DC34D0" w:rsidRPr="00DC34D0" w:rsidRDefault="00DC34D0" w:rsidP="00DC34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navýšenie rozpočtu na prevádzku z dôvodu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nárastu cien energií.</w:t>
      </w:r>
    </w:p>
    <w:p w:rsidR="00DC34D0" w:rsidRPr="00DC34D0" w:rsidRDefault="00DC34D0" w:rsidP="00DC34D0">
      <w:pPr>
        <w:shd w:val="clear" w:color="auto" w:fill="FFFFFF"/>
        <w:spacing w:after="480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Pri výpočte normatívov na rok 2026 použilo ministerstvo v súlade s </w:t>
      </w:r>
      <w:r w:rsidRPr="00DC34D0">
        <w:rPr>
          <w:rFonts w:eastAsia="Times New Roman" w:cstheme="minorHAnsi"/>
          <w:i/>
          <w:iCs/>
          <w:color w:val="212529"/>
          <w:sz w:val="24"/>
          <w:szCs w:val="27"/>
          <w:lang w:eastAsia="sk-SK"/>
        </w:rPr>
        <w:t>§3 ods. 3 NV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 pomer osobných nákladov k prevádzkovým nákladom:</w:t>
      </w:r>
    </w:p>
    <w:p w:rsidR="00DC34D0" w:rsidRPr="00DC34D0" w:rsidRDefault="00DC34D0" w:rsidP="00DC34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pre základné a stredné školy 89,80 % : 10,20 %,</w:t>
      </w:r>
    </w:p>
    <w:p w:rsidR="00DC34D0" w:rsidRPr="00DC34D0" w:rsidRDefault="00DC34D0" w:rsidP="00DC34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pre materské školy 86,42 % : 13,58 %.</w:t>
      </w:r>
    </w:p>
    <w:p w:rsidR="00DC34D0" w:rsidRPr="00DC34D0" w:rsidRDefault="00DC34D0" w:rsidP="00DC34D0">
      <w:pPr>
        <w:shd w:val="clear" w:color="auto" w:fill="FFFFFF"/>
        <w:spacing w:after="480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Z dôvodu legislatívnych zmien došlo od 1.1.2026 k početným zmenám vo výpočte normatívov a normatívnych príspevkov:</w:t>
      </w:r>
    </w:p>
    <w:p w:rsidR="00DC34D0" w:rsidRPr="00DC34D0" w:rsidRDefault="00DC34D0" w:rsidP="00DC34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Od 1.1.2026 sa znížili hodnoty a zmenil sa spôsob stanovenia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veľkostného koeficientu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 (ďalej „VK“) pre školy.</w:t>
      </w:r>
    </w:p>
    <w:p w:rsidR="00DC34D0" w:rsidRPr="00DC34D0" w:rsidRDefault="00DC34D0" w:rsidP="00DC34D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Pre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ZŠ  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sa VK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  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v súlade s </w:t>
      </w:r>
      <w:r w:rsidRPr="00DC34D0">
        <w:rPr>
          <w:rFonts w:eastAsia="Times New Roman" w:cstheme="minorHAnsi"/>
          <w:i/>
          <w:iCs/>
          <w:color w:val="212529"/>
          <w:sz w:val="24"/>
          <w:szCs w:val="27"/>
          <w:lang w:eastAsia="sk-SK"/>
        </w:rPr>
        <w:t>§7 ods. 4a NV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  určuje podľa počtu žiakov s príslušným vyučovacím jazykom v dennej forme štúdia vo všetkých základných školách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 xml:space="preserve">na 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lastRenderedPageBreak/>
        <w:t>území obce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. Podľa doteraz platnej legislatívy sa určoval podľa tohto počtu žiakov v ZŠ zriaďovateľa na území obce. Súčasne podľa NV sa hodnoty VK  znížili v </w:t>
      </w:r>
      <w:r w:rsidRPr="00DC34D0">
        <w:rPr>
          <w:rFonts w:eastAsia="Times New Roman" w:cstheme="minorHAnsi"/>
          <w:i/>
          <w:iCs/>
          <w:color w:val="212529"/>
          <w:sz w:val="24"/>
          <w:szCs w:val="27"/>
          <w:lang w:eastAsia="sk-SK"/>
        </w:rPr>
        <w:t>Prílohe č. 9 NV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.</w:t>
      </w:r>
    </w:p>
    <w:p w:rsidR="00DC34D0" w:rsidRPr="00DC34D0" w:rsidRDefault="00DC34D0" w:rsidP="00DC34D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Pre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MŠ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 zostali hodnoty VK nezmenené (</w:t>
      </w:r>
      <w:r w:rsidRPr="00DC34D0">
        <w:rPr>
          <w:rFonts w:eastAsia="Times New Roman" w:cstheme="minorHAnsi"/>
          <w:i/>
          <w:iCs/>
          <w:color w:val="212529"/>
          <w:sz w:val="24"/>
          <w:szCs w:val="27"/>
          <w:lang w:eastAsia="sk-SK"/>
        </w:rPr>
        <w:t>Príloha č. 5 NV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). V súlade s </w:t>
      </w:r>
      <w:r w:rsidRPr="00DC34D0">
        <w:rPr>
          <w:rFonts w:eastAsia="Times New Roman" w:cstheme="minorHAnsi"/>
          <w:i/>
          <w:iCs/>
          <w:color w:val="212529"/>
          <w:sz w:val="24"/>
          <w:szCs w:val="27"/>
          <w:lang w:eastAsia="sk-SK"/>
        </w:rPr>
        <w:t>§6 ods. 2a NV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 sa zmenil spôsob určenia hodnoty VK podľa počtu detí v MŠ na území obce. Doteraz sa určovala podľa počtu detí vo všetkých MŠ zriaďovateľa na území obce.</w:t>
      </w:r>
    </w:p>
    <w:p w:rsidR="00DC34D0" w:rsidRPr="00DC34D0" w:rsidRDefault="00DC34D0" w:rsidP="00DC34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Zmenil sa rozsah a počet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teplotných pásiem.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 S ohľadom na skutočnú vykázanú spotrebu v správe o hospodárení sa znížil objem finančných prostriedkov na teplo, pričom bol navýšený objem financií na výchovno-vzdelávací proces a na ostatnú prevádzku.</w:t>
      </w:r>
    </w:p>
    <w:p w:rsidR="00DC34D0" w:rsidRPr="00DC34D0" w:rsidRDefault="00DC34D0" w:rsidP="00DC34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Zmenili sa hodnoty a spôsob aplikácie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koeficientov upravujúcich normatívy škôl 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v súlade s </w:t>
      </w:r>
      <w:r w:rsidRPr="00DC34D0">
        <w:rPr>
          <w:rFonts w:eastAsia="Times New Roman" w:cstheme="minorHAnsi"/>
          <w:i/>
          <w:iCs/>
          <w:color w:val="212529"/>
          <w:sz w:val="24"/>
          <w:szCs w:val="27"/>
          <w:lang w:eastAsia="sk-SK"/>
        </w:rPr>
        <w:t>§6 a §7 NV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.</w:t>
      </w:r>
    </w:p>
    <w:p w:rsidR="00DC34D0" w:rsidRPr="00DC34D0" w:rsidRDefault="00DC34D0" w:rsidP="00DC34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V oblasti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zariadení poradenstva a prevencie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 boli zapracované opravné protokoly zberu dát za školský rok 2024/2025. Zmenili sa koeficienty upravujúce výkony odbornej činnosti pre ZPP.</w:t>
      </w:r>
    </w:p>
    <w:p w:rsidR="00DC34D0" w:rsidRPr="00DC34D0" w:rsidRDefault="00DC34D0" w:rsidP="00DC34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Zmenil sa spôsob financovania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školských internátov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 xml:space="preserve"> v zriaďovateľskej pôsobnosti RUŠS. Od 1.1.2026 sú  školské internáty zaradené do kategórie školských </w:t>
      </w:r>
      <w:proofErr w:type="spellStart"/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výchovno</w:t>
      </w:r>
      <w:proofErr w:type="spellEnd"/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 xml:space="preserve"> -vzdelávacích zariadení.</w:t>
      </w:r>
    </w:p>
    <w:p w:rsidR="00DC34D0" w:rsidRPr="00DC34D0" w:rsidRDefault="00DC34D0" w:rsidP="00DC34D0">
      <w:pPr>
        <w:shd w:val="clear" w:color="auto" w:fill="FFFFFF"/>
        <w:spacing w:after="480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Rozpis normatívnych príspevkov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 pre školy a školské zariadenia je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zverejnený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 na troch hárkoch: zvlášť za január – august 2026, september – december 2026 (hárok bude aktualizovaný po zbere dát k 15.9.2026) a spolu za kalendárny rok 2026.</w:t>
      </w:r>
    </w:p>
    <w:p w:rsidR="00DC34D0" w:rsidRPr="00DC34D0" w:rsidRDefault="00DC34D0" w:rsidP="00DC34D0">
      <w:pPr>
        <w:shd w:val="clear" w:color="auto" w:fill="FFFFFF"/>
        <w:spacing w:after="480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Pre väčšiu prehľadnosť boli pridané samostatné hárky pre základné a stredné školy „ZŠ a SŠ“ a materské školy „MŠ“ s celkovou sumou rozpočtu pre rok 2026.</w:t>
      </w:r>
    </w:p>
    <w:p w:rsidR="00DC34D0" w:rsidRPr="00DC34D0" w:rsidRDefault="00DC34D0" w:rsidP="00DC34D0">
      <w:pPr>
        <w:shd w:val="clear" w:color="auto" w:fill="FFFFFF"/>
        <w:spacing w:after="480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Taktiež boli pridané hárky, v ktorých bude samostatne sledovaný rozpočet ZŠ a SŠ, MŠ, ZPP a ostatných ŠZ v štruktúre po zriaďovateľoch, vrátane finančných prostriedkov poskytnutých v rámci dofinancovania do výšky garantovaného minima a prostredníctvom dohodovacích konaní podľa </w:t>
      </w:r>
      <w:r w:rsidRPr="00DC34D0">
        <w:rPr>
          <w:rFonts w:eastAsia="Times New Roman" w:cstheme="minorHAnsi"/>
          <w:i/>
          <w:iCs/>
          <w:color w:val="212529"/>
          <w:sz w:val="24"/>
          <w:szCs w:val="27"/>
          <w:lang w:eastAsia="sk-SK"/>
        </w:rPr>
        <w:t>§12 Zákona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.</w:t>
      </w:r>
    </w:p>
    <w:p w:rsidR="00DC34D0" w:rsidRPr="00DC34D0" w:rsidRDefault="00DC34D0" w:rsidP="00DC34D0">
      <w:pPr>
        <w:shd w:val="clear" w:color="auto" w:fill="FFFFFF"/>
        <w:spacing w:after="480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Z dôvodu, že základným a stredným školám v zriaďovateľskej pôsobnosti VÚC, obcí, súkromných a cirkevných zriaďovateľov bol v decembri 2025 </w:t>
      </w:r>
      <w:r w:rsidRPr="00DC34D0">
        <w:rPr>
          <w:rFonts w:eastAsia="Times New Roman" w:cstheme="minorHAnsi"/>
          <w:b/>
          <w:bCs/>
          <w:color w:val="212529"/>
          <w:sz w:val="24"/>
          <w:szCs w:val="27"/>
          <w:lang w:eastAsia="sk-SK"/>
        </w:rPr>
        <w:t>poskytnutý preddavok na pokrytie nákladov na prevádzku</w:t>
      </w: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 na rok 2026 je v hárku „ZŠ a SŠ“:</w:t>
      </w:r>
    </w:p>
    <w:p w:rsidR="00DC34D0" w:rsidRPr="00DC34D0" w:rsidRDefault="00DC34D0" w:rsidP="00DC34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zosumarizovaný rozpočet škôl (bez školských zariadení),</w:t>
      </w:r>
    </w:p>
    <w:p w:rsidR="00DC34D0" w:rsidRPr="00DC34D0" w:rsidRDefault="00DC34D0" w:rsidP="00DC34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uvedená suma poskytnutého preddavku a</w:t>
      </w:r>
    </w:p>
    <w:p w:rsidR="00DC34D0" w:rsidRPr="00DC34D0" w:rsidRDefault="00DC34D0" w:rsidP="00DC34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7"/>
          <w:lang w:eastAsia="sk-SK"/>
        </w:rPr>
      </w:pPr>
      <w:r w:rsidRPr="00DC34D0">
        <w:rPr>
          <w:rFonts w:eastAsia="Times New Roman" w:cstheme="minorHAnsi"/>
          <w:color w:val="212529"/>
          <w:sz w:val="24"/>
          <w:szCs w:val="27"/>
          <w:lang w:eastAsia="sk-SK"/>
        </w:rPr>
        <w:t>celková výška rozpočtu na rok 2026 bez preddavku.</w:t>
      </w:r>
    </w:p>
    <w:p w:rsidR="00147A62" w:rsidRPr="00DC34D0" w:rsidRDefault="00DC34D0" w:rsidP="00DC34D0">
      <w:pPr>
        <w:spacing w:line="240" w:lineRule="auto"/>
        <w:rPr>
          <w:rFonts w:cstheme="minorHAnsi"/>
          <w:sz w:val="20"/>
        </w:rPr>
      </w:pPr>
    </w:p>
    <w:sectPr w:rsidR="00147A62" w:rsidRPr="00DC3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A5EF3"/>
    <w:multiLevelType w:val="multilevel"/>
    <w:tmpl w:val="AD5C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04AF2"/>
    <w:multiLevelType w:val="multilevel"/>
    <w:tmpl w:val="DE5A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66250"/>
    <w:multiLevelType w:val="multilevel"/>
    <w:tmpl w:val="C100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F169B"/>
    <w:multiLevelType w:val="multilevel"/>
    <w:tmpl w:val="CE76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704E9"/>
    <w:multiLevelType w:val="multilevel"/>
    <w:tmpl w:val="0CC4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036BC"/>
    <w:multiLevelType w:val="multilevel"/>
    <w:tmpl w:val="1D6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D0"/>
    <w:rsid w:val="006E7F83"/>
    <w:rsid w:val="009070D3"/>
    <w:rsid w:val="00DC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07C39-3EE7-4835-8AC1-86B9E33E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C3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34D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C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DC34D0"/>
    <w:rPr>
      <w:i/>
      <w:iCs/>
    </w:rPr>
  </w:style>
  <w:style w:type="character" w:styleId="Vrazn">
    <w:name w:val="Strong"/>
    <w:basedOn w:val="Predvolenpsmoodseku"/>
    <w:uiPriority w:val="22"/>
    <w:qFormat/>
    <w:rsid w:val="00DC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Monika</dc:creator>
  <cp:keywords/>
  <dc:description/>
  <cp:lastModifiedBy>Szabó Monika</cp:lastModifiedBy>
  <cp:revision>1</cp:revision>
  <dcterms:created xsi:type="dcterms:W3CDTF">2026-02-10T12:28:00Z</dcterms:created>
  <dcterms:modified xsi:type="dcterms:W3CDTF">2026-02-10T12:29:00Z</dcterms:modified>
</cp:coreProperties>
</file>