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0F2012ED" w:rsidR="00B87C18" w:rsidRPr="00C75FCA" w:rsidRDefault="00150C52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81.7pt;z-index:251658253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CA5A58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80082F" w:rsidRPr="00DE40BF">
        <w:rPr>
          <w:b/>
          <w:sz w:val="28"/>
          <w:szCs w:val="28"/>
          <w:lang w:val="sk-SK"/>
        </w:rPr>
        <w:t>1.1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877528">
        <w:rPr>
          <w:b/>
          <w:sz w:val="28"/>
          <w:szCs w:val="28"/>
          <w:lang w:val="sk-SK"/>
        </w:rPr>
        <w:t>9</w:t>
      </w:r>
    </w:p>
    <w:p w14:paraId="54264823" w14:textId="12B59AE4" w:rsidR="000561C9" w:rsidRDefault="00150C52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2.3pt;z-index:251658277;mso-width-relative:margin;mso-height-relative:margin" filled="f" stroked="f">
            <v:textbox style="mso-next-textbox:#_x0000_s1191">
              <w:txbxContent>
                <w:p w14:paraId="55ED577F" w14:textId="0BA1B8F3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185B79">
                    <w:rPr>
                      <w:b/>
                      <w:bCs/>
                      <w:lang w:val="sk-SK"/>
                    </w:rPr>
                    <w:t>9</w:t>
                  </w:r>
                </w:p>
                <w:p w14:paraId="0D429781" w14:textId="14BC20FB" w:rsidR="00DD7C0B" w:rsidRDefault="00815D12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185B79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>
                    <w:rPr>
                      <w:b/>
                      <w:bCs/>
                      <w:lang w:val="sk-SK"/>
                    </w:rPr>
                    <w:t xml:space="preserve"> </w:t>
                  </w:r>
                  <w:r w:rsidR="00185B79" w:rsidRPr="0081441C">
                    <w:rPr>
                      <w:lang w:val="sk-SK"/>
                    </w:rPr>
                    <w:t>Podpora profesijnej orientácie žiakov ZŠ na odborné vzdelávanie a prípravu prostredníctvom rozvoja polytechnickej výchovy zameranej na rozvoj pracovných zručností a práca s talentami</w:t>
                  </w:r>
                </w:p>
                <w:p w14:paraId="4EBAE6B6" w14:textId="3826B44F" w:rsidR="000154C1" w:rsidRPr="00DD7C0B" w:rsidRDefault="006D202E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9F20A9">
                    <w:rPr>
                      <w:b/>
                      <w:lang w:val="sk-SK"/>
                    </w:rPr>
                    <w:t>Cieľová skupina</w:t>
                  </w:r>
                  <w:r w:rsidR="000154C1" w:rsidRPr="009F20A9">
                    <w:rPr>
                      <w:b/>
                      <w:lang w:val="sk-SK"/>
                    </w:rPr>
                    <w:t xml:space="preserve">: </w:t>
                  </w:r>
                  <w:r w:rsidR="009F20A9" w:rsidRPr="00971988">
                    <w:rPr>
                      <w:lang w:val="sk-SK"/>
                    </w:rPr>
                    <w:t>Žiaci a pedagogickí zamestnanci (PZ) ZŠ:</w:t>
                  </w:r>
                  <w:r w:rsidR="009F20A9">
                    <w:rPr>
                      <w:lang w:val="sk-SK"/>
                    </w:rPr>
                    <w:t xml:space="preserve"> </w:t>
                  </w:r>
                  <w:r w:rsidR="009F20A9" w:rsidRPr="00971988">
                    <w:rPr>
                      <w:lang w:val="sk-SK"/>
                    </w:rPr>
                    <w:t>49 pilotných ZŠ</w:t>
                  </w:r>
                  <w:r w:rsidR="009F20A9">
                    <w:rPr>
                      <w:lang w:val="sk-SK"/>
                    </w:rPr>
                    <w:t xml:space="preserve"> </w:t>
                  </w:r>
                  <w:r w:rsidR="009F20A9" w:rsidRPr="00971988">
                    <w:rPr>
                      <w:lang w:val="sk-SK"/>
                    </w:rPr>
                    <w:t>a 451 nepilotných ZŠ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79.8pt;z-index:251658276" arcsize="21360f" fillcolor="#c6d9f1 [671]"/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75pt;z-index:251658254;mso-width-relative:margin;mso-height-relative:margin" filled="f" stroked="f">
            <v:textbox style="mso-next-textbox:#_x0000_s1180">
              <w:txbxContent>
                <w:p w14:paraId="53B1E443" w14:textId="2634D202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877528">
                    <w:rPr>
                      <w:b/>
                      <w:bCs/>
                      <w:lang w:val="sk-SK"/>
                    </w:rPr>
                    <w:t>9</w:t>
                  </w:r>
                </w:p>
                <w:p w14:paraId="6ED722D1" w14:textId="22C95062" w:rsidR="001F7279" w:rsidRPr="00623260" w:rsidRDefault="00815D12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185B79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185B79">
                    <w:rPr>
                      <w:b/>
                      <w:bCs/>
                    </w:rPr>
                    <w:t>projektu: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623260" w:rsidRPr="0081441C">
                    <w:rPr>
                      <w:lang w:val="sk-SK"/>
                    </w:rPr>
                    <w:t>Podpora profesijnej orientácie žiakov ZŠ na odborné vzdelávanie a prípravu prostredníctvom rozvoja polytechnickej výchovy zameranej na rozvoj pracovných zručností a práca s talentami</w:t>
                  </w:r>
                </w:p>
                <w:p w14:paraId="010B8513" w14:textId="1815FF6F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CA0306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CA0306" w:rsidRPr="003F1687">
                    <w:rPr>
                      <w:rFonts w:eastAsia="Calibri" w:cstheme="minorHAnsi"/>
                      <w:lang w:val="sk-SK"/>
                    </w:rPr>
                    <w:t>Štátny inštitút odborného vzdelávania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14:paraId="5BAA5B87" w14:textId="6DAB6A6B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4AE5A102" w:rsidR="000561C9" w:rsidRDefault="000561C9" w:rsidP="000561C9"/>
    <w:p w14:paraId="31981C6F" w14:textId="3AA1CF56" w:rsidR="00623260" w:rsidRDefault="00623260" w:rsidP="000561C9"/>
    <w:p w14:paraId="0320FB02" w14:textId="665EAEE1" w:rsidR="000561C9" w:rsidRDefault="00150C52" w:rsidP="000561C9">
      <w:r>
        <w:rPr>
          <w:noProof/>
          <w:lang w:eastAsia="cs-CZ"/>
        </w:rPr>
        <w:pict w14:anchorId="4E726D5C">
          <v:roundrect id="_x0000_s1199" style="position:absolute;margin-left:522.55pt;margin-top:3.1pt;width:367pt;height:605.3pt;z-index:251658262" arcsize="2473f" filled="f" strokecolor="#0070c0" strokeweight="2.25pt"/>
        </w:pict>
      </w:r>
      <w:r>
        <w:rPr>
          <w:noProof/>
          <w:lang w:eastAsia="cs-CZ"/>
        </w:rPr>
        <w:pict w14:anchorId="16DA5357">
          <v:roundrect id="_x0000_s1166" style="position:absolute;margin-left:-5.65pt;margin-top:3.7pt;width:481.9pt;height:605.4pt;z-index:251658252" arcsize="1775f" filled="f" strokecolor="#00b050" strokeweight="2.25pt"/>
        </w:pict>
      </w:r>
      <w:r>
        <w:rPr>
          <w:noProof/>
          <w:lang w:eastAsia="cs-CZ"/>
        </w:rPr>
        <w:pict w14:anchorId="6EC6748E">
          <v:roundrect id="_x0000_s1220" style="position:absolute;margin-left:897.7pt;margin-top:3.7pt;width:108.8pt;height:588.1pt;z-index:251658267;visibility:visible" arcsize="5364f" fillcolor="#b2a1c7 [1943]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1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1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0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DBFE571" w:rsidR="00FF2CDE" w:rsidRPr="00B46CF7" w:rsidRDefault="00FF2CDE" w:rsidP="00C3709B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0746D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0746D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0746D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77777777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65E98881" w:rsidR="000561C9" w:rsidRDefault="00150C52" w:rsidP="000561C9">
      <w:r>
        <w:rPr>
          <w:noProof/>
          <w:lang w:eastAsia="cs-CZ"/>
        </w:rPr>
        <w:pict w14:anchorId="317BC199">
          <v:shape id="_x0000_s1136" type="#_x0000_t202" style="position:absolute;margin-left:123pt;margin-top:8.8pt;width:131.55pt;height:34.95pt;z-index:251658247;visibility:visible;mso-width-relative:margin;mso-height-relative:margin">
            <v:textbox style="mso-next-textbox:#_x0000_s1136">
              <w:txbxContent>
                <w:p w14:paraId="7216EEAB" w14:textId="77777777" w:rsidR="00A77C95" w:rsidRPr="00B51760" w:rsidRDefault="00A77C95" w:rsidP="00A77C95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51760">
                    <w:rPr>
                      <w:sz w:val="14"/>
                      <w:szCs w:val="14"/>
                      <w:lang w:val="sk-SK"/>
                    </w:rPr>
                    <w:t>Novovytvorené odborné učebne fyziky, techniky a bio-chémie na 49 pilotných školách</w:t>
                  </w:r>
                </w:p>
                <w:p w14:paraId="7F19E471" w14:textId="77777777" w:rsidR="00FF2CDE" w:rsidRPr="006C16A7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5E22E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54.55pt;margin-top:22.65pt;width:20.3pt;height:45.8pt;z-index:251658286" o:connectortype="straight">
            <v:stroke endarrow="block"/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5.65pt;margin-top:9.95pt;width:96.4pt;height:69.4pt;z-index:251658283;visibility:visible;mso-width-relative:margin;mso-height-relative:margin">
            <v:textbox style="mso-next-textbox:#_x0000_s1254">
              <w:txbxContent>
                <w:p w14:paraId="6C87D3B6" w14:textId="07B81384" w:rsidR="008D44DC" w:rsidRPr="008D44DC" w:rsidRDefault="008D44DC" w:rsidP="008D44DC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8D44DC">
                    <w:rPr>
                      <w:bCs/>
                      <w:sz w:val="14"/>
                      <w:szCs w:val="14"/>
                      <w:lang w:val="sk-SK"/>
                    </w:rPr>
                    <w:t xml:space="preserve">Podpora polytechnickej výchovy žiakov ZŠ </w:t>
                  </w:r>
                  <w:r w:rsidRPr="008D44DC">
                    <w:rPr>
                      <w:b/>
                      <w:sz w:val="14"/>
                      <w:szCs w:val="14"/>
                      <w:lang w:val="sk-SK"/>
                    </w:rPr>
                    <w:t>na 49</w:t>
                  </w:r>
                  <w:r w:rsidRPr="008D44DC">
                    <w:rPr>
                      <w:bCs/>
                      <w:sz w:val="14"/>
                      <w:szCs w:val="14"/>
                      <w:lang w:val="sk-SK"/>
                    </w:rPr>
                    <w:t xml:space="preserve"> </w:t>
                  </w:r>
                  <w:r w:rsidRPr="008D44DC">
                    <w:rPr>
                      <w:b/>
                      <w:sz w:val="14"/>
                      <w:szCs w:val="14"/>
                      <w:lang w:val="sk-SK"/>
                    </w:rPr>
                    <w:t>pilotných ZŠ</w:t>
                  </w:r>
                  <w:r w:rsidRPr="008D44DC">
                    <w:rPr>
                      <w:bCs/>
                      <w:sz w:val="14"/>
                      <w:szCs w:val="14"/>
                      <w:lang w:val="sk-SK"/>
                    </w:rPr>
                    <w:t xml:space="preserve">  </w:t>
                  </w:r>
                  <w:r w:rsidR="009865EF">
                    <w:rPr>
                      <w:bCs/>
                      <w:sz w:val="14"/>
                      <w:szCs w:val="14"/>
                      <w:lang w:val="sk-SK"/>
                    </w:rPr>
                    <w:t>a</w:t>
                  </w:r>
                  <w:r w:rsidRPr="008D44DC">
                    <w:rPr>
                      <w:bCs/>
                      <w:sz w:val="14"/>
                      <w:szCs w:val="14"/>
                      <w:lang w:val="sk-SK"/>
                    </w:rPr>
                    <w:t xml:space="preserve"> ďalšie vzdelávanie pedagogických zamestnancov ZŠ v predmete polytechnická výchova </w:t>
                  </w:r>
                  <w:r w:rsidR="00CA5A58">
                    <w:rPr>
                      <w:bCs/>
                      <w:sz w:val="14"/>
                      <w:szCs w:val="14"/>
                      <w:lang w:val="sk-SK"/>
                    </w:rPr>
                    <w:t>(</w:t>
                  </w:r>
                  <w:r w:rsidRPr="008D44DC">
                    <w:rPr>
                      <w:bCs/>
                      <w:sz w:val="14"/>
                      <w:szCs w:val="14"/>
                      <w:lang w:val="sk-SK"/>
                    </w:rPr>
                    <w:t>500 ZŠ</w:t>
                  </w:r>
                  <w:r w:rsidR="00CA5A58">
                    <w:rPr>
                      <w:bCs/>
                      <w:sz w:val="14"/>
                      <w:szCs w:val="14"/>
                      <w:lang w:val="sk-SK"/>
                    </w:rPr>
                    <w:t>)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13B0177" w14:textId="0E5FC2B5" w:rsidR="000561C9" w:rsidRDefault="00150C52" w:rsidP="000561C9">
      <w:r>
        <w:rPr>
          <w:noProof/>
          <w:lang w:eastAsia="cs-CZ"/>
        </w:rPr>
        <w:pict w14:anchorId="7D892E30">
          <v:shape id="_x0000_s1349" type="#_x0000_t202" style="position:absolute;margin-left:121.95pt;margin-top:21.35pt;width:131.55pt;height:37.4pt;z-index:251658248;visibility:visible;mso-width-relative:margin;mso-height-relative:margin">
            <v:textbox style="mso-next-textbox:#_x0000_s1349">
              <w:txbxContent>
                <w:p w14:paraId="6AFB357F" w14:textId="09966A14" w:rsidR="00FF2CDE" w:rsidRPr="00764471" w:rsidRDefault="006A5A09" w:rsidP="00BB13A5">
                  <w:pPr>
                    <w:rPr>
                      <w:sz w:val="14"/>
                      <w:szCs w:val="14"/>
                    </w:rPr>
                  </w:pPr>
                  <w:r w:rsidRPr="00B51760">
                    <w:rPr>
                      <w:sz w:val="14"/>
                      <w:szCs w:val="14"/>
                      <w:lang w:val="sk-SK"/>
                    </w:rPr>
                    <w:t>Materiálno-technické vybaven</w:t>
                  </w:r>
                  <w:r w:rsidR="00CD770E">
                    <w:rPr>
                      <w:sz w:val="14"/>
                      <w:szCs w:val="14"/>
                      <w:lang w:val="sk-SK"/>
                    </w:rPr>
                    <w:t>ie a využívanie didaktických pomôcok</w:t>
                  </w:r>
                  <w:r w:rsidR="00BB13A5">
                    <w:rPr>
                      <w:sz w:val="14"/>
                      <w:szCs w:val="14"/>
                      <w:lang w:val="sk-SK"/>
                    </w:rPr>
                    <w:t xml:space="preserve"> pre odborné učebne - </w:t>
                  </w:r>
                  <w:r w:rsidRPr="00B51760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BB13A5">
                    <w:rPr>
                      <w:sz w:val="14"/>
                      <w:szCs w:val="14"/>
                      <w:lang w:val="sk-SK"/>
                    </w:rPr>
                    <w:t xml:space="preserve">laboratóriá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2.05pt;margin-top:4.7pt;width:20.45pt;height:137.5pt;z-index:251658291" o:connectortype="straight">
            <v:stroke endarrow="block"/>
          </v:shape>
        </w:pict>
      </w:r>
      <w:r>
        <w:rPr>
          <w:noProof/>
          <w:lang w:eastAsia="cs-CZ"/>
        </w:rPr>
        <w:pict w14:anchorId="7D51488A">
          <v:shape id="_x0000_s1404" type="#_x0000_t32" style="position:absolute;margin-left:102.45pt;margin-top:6.35pt;width:19pt;height:197.05pt;z-index:251660392" o:connectortype="straight">
            <v:stroke endarrow="block"/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9.8pt;margin-top:16.05pt;width:85.05pt;height:85.2pt;z-index:251658269;mso-width-relative:margin;mso-height-relative:margin" fillcolor="white [3212]">
            <v:textbox style="mso-next-textbox:#_x0000_s1222">
              <w:txbxContent>
                <w:p w14:paraId="6B4D196B" w14:textId="77777777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0pt;margin-top:21.7pt;width:116.15pt;height:53.2pt;z-index:251658265;mso-width-relative:margin;mso-height-relative:margin" fillcolor="white [3212]">
            <v:textbox style="mso-next-textbox:#_x0000_s1211">
              <w:txbxContent>
                <w:p w14:paraId="2226671A" w14:textId="6E95E0F2" w:rsidR="00904F09" w:rsidRPr="001675C4" w:rsidRDefault="005E116B" w:rsidP="00482823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1675C4">
                    <w:rPr>
                      <w:sz w:val="14"/>
                      <w:szCs w:val="14"/>
                      <w:lang w:val="sk-SK"/>
                    </w:rPr>
                    <w:t>Praktická orientácia vyučovania s podporou inovovaných metód vyučovania prispieva k zlepšeniu</w:t>
                  </w:r>
                  <w:r w:rsidR="00683626" w:rsidRPr="001675C4">
                    <w:rPr>
                      <w:sz w:val="14"/>
                      <w:szCs w:val="14"/>
                      <w:lang w:val="sk-SK"/>
                    </w:rPr>
                    <w:t xml:space="preserve"> kľúčových </w:t>
                  </w:r>
                  <w:r w:rsidRPr="001675C4">
                    <w:rPr>
                      <w:sz w:val="14"/>
                      <w:szCs w:val="14"/>
                      <w:lang w:val="sk-SK"/>
                    </w:rPr>
                    <w:t>kompetencií</w:t>
                  </w:r>
                  <w:r w:rsidR="00683626" w:rsidRPr="001675C4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Pr="001675C4">
                    <w:rPr>
                      <w:sz w:val="14"/>
                      <w:szCs w:val="14"/>
                      <w:lang w:val="sk-SK"/>
                    </w:rPr>
                    <w:t>žiakov ZŠ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AB111A5">
          <v:shape id="_x0000_s1354" type="#_x0000_t202" style="position:absolute;margin-left:555.8pt;margin-top:7.55pt;width:138.05pt;height:35.45pt;z-index:251658274;visibility:visible;mso-width-relative:margin;mso-height-relative:margin">
            <v:textbox style="mso-next-textbox:#_x0000_s1354">
              <w:txbxContent>
                <w:p w14:paraId="5C62BB73" w14:textId="013C5294" w:rsidR="00FF2CDE" w:rsidRPr="00C3709B" w:rsidRDefault="00C3709B" w:rsidP="004F0E0D">
                  <w:pPr>
                    <w:rPr>
                      <w:sz w:val="14"/>
                      <w:szCs w:val="14"/>
                      <w:lang w:val="sk-SK"/>
                    </w:rPr>
                  </w:pPr>
                  <w:r w:rsidRPr="00C3709B">
                    <w:rPr>
                      <w:sz w:val="14"/>
                      <w:szCs w:val="14"/>
                      <w:lang w:val="sk-SK"/>
                    </w:rPr>
                    <w:t>Zlepšená úroveň praktických zručností žiakov ZŠ</w:t>
                  </w:r>
                  <w:r w:rsidR="00E77DBC">
                    <w:rPr>
                      <w:sz w:val="14"/>
                      <w:szCs w:val="14"/>
                      <w:lang w:val="sk-SK"/>
                    </w:rPr>
                    <w:t xml:space="preserve"> v predmetoch polytechnickej výchovy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BC0683">
          <v:shape id="_x0000_s1342" type="#_x0000_t32" style="position:absolute;margin-left:459.3pt;margin-top:24.65pt;width:96.5pt;height:18.35pt;flip:y;z-index:251658302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102.05pt;margin-top:5.2pt;width:19.9pt;height:81.45pt;z-index:251658315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1pt;width:20.35pt;height:4.2pt;flip:y;z-index:251658285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45pt;margin-top:5.75pt;width:20.55pt;height:36.6pt;z-index:251658299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4.45pt;margin-top:25.25pt;width:185.5pt;height:38.45pt;z-index:251658296;visibility:visible;mso-width-relative:margin;mso-height-relative:margin">
            <v:textbox style="mso-next-textbox:#_x0000_s1344">
              <w:txbxContent>
                <w:p w14:paraId="0EEEB434" w14:textId="59B75D7C" w:rsidR="00A97DB5" w:rsidRPr="00C2153F" w:rsidRDefault="00A97DB5" w:rsidP="00A97DB5">
                  <w:pPr>
                    <w:rPr>
                      <w:sz w:val="14"/>
                      <w:szCs w:val="14"/>
                      <w:lang w:val="sk-SK"/>
                    </w:rPr>
                  </w:pPr>
                  <w:r w:rsidRPr="00C2153F">
                    <w:rPr>
                      <w:sz w:val="14"/>
                      <w:szCs w:val="14"/>
                      <w:lang w:val="sk-SK"/>
                    </w:rPr>
                    <w:t xml:space="preserve">Praktické vzdelávanie žiakov ZŠ </w:t>
                  </w:r>
                  <w:r w:rsidR="00AC5CC7">
                    <w:rPr>
                      <w:sz w:val="14"/>
                      <w:szCs w:val="14"/>
                      <w:lang w:val="sk-SK"/>
                    </w:rPr>
                    <w:t xml:space="preserve">podľa inovovaného obsahu </w:t>
                  </w:r>
                  <w:r w:rsidRPr="00C2153F">
                    <w:rPr>
                      <w:sz w:val="14"/>
                      <w:szCs w:val="14"/>
                      <w:lang w:val="sk-SK"/>
                    </w:rPr>
                    <w:t>prebieha</w:t>
                  </w:r>
                  <w:r w:rsidR="00AC5CC7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Pr="00C2153F">
                    <w:rPr>
                      <w:sz w:val="14"/>
                      <w:szCs w:val="14"/>
                      <w:lang w:val="sk-SK"/>
                    </w:rPr>
                    <w:t>v novovytvorených alebo modernizovaných učebniach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BC9C65D">
          <v:shape id="_x0000_s1328" type="#_x0000_t32" style="position:absolute;margin-left:694.8pt;margin-top:24.1pt;width:55.2pt;height:26.6pt;z-index:251658306" o:connectortype="straight">
            <v:stroke endarrow="block"/>
          </v:shape>
        </w:pict>
      </w:r>
    </w:p>
    <w:p w14:paraId="7FB42DC9" w14:textId="4062E0C7" w:rsidR="000561C9" w:rsidRDefault="00150C52" w:rsidP="000561C9">
      <w:r>
        <w:rPr>
          <w:noProof/>
          <w:lang w:eastAsia="cs-CZ"/>
        </w:rPr>
        <w:pict w14:anchorId="09D035A5">
          <v:shape id="_x0000_s1410" type="#_x0000_t32" style="position:absolute;margin-left:460.75pt;margin-top:.9pt;width:94.6pt;height:113.75pt;flip:y;z-index:251665512" o:connectortype="straight">
            <v:stroke endarrow="block"/>
          </v:shape>
        </w:pict>
      </w:r>
      <w:r>
        <w:rPr>
          <w:noProof/>
          <w:lang w:eastAsia="cs-CZ"/>
        </w:rPr>
        <w:pict w14:anchorId="4D67047B">
          <v:shape id="_x0000_s1353" type="#_x0000_t32" style="position:absolute;margin-left:253.6pt;margin-top:18.9pt;width:20.5pt;height:43.55pt;flip:y;z-index:251658297" o:connectortype="straight">
            <v:stroke endarrow="block"/>
          </v:shape>
        </w:pict>
      </w:r>
      <w:r>
        <w:rPr>
          <w:noProof/>
          <w:lang w:eastAsia="cs-CZ"/>
        </w:rPr>
        <w:pict w14:anchorId="209B3AAC">
          <v:shape id="_x0000_s1412" type="#_x0000_t32" style="position:absolute;margin-left:459.95pt;margin-top:17.6pt;width:97.45pt;height:64.25pt;z-index:251667560" o:connectortype="straight">
            <v:stroke endarrow="block"/>
          </v:shape>
        </w:pict>
      </w:r>
      <w:r>
        <w:rPr>
          <w:noProof/>
          <w:lang w:eastAsia="cs-CZ"/>
        </w:rPr>
        <w:pict w14:anchorId="73BEDA4E">
          <v:shape id="_x0000_s1345" type="#_x0000_t32" style="position:absolute;margin-left:867.25pt;margin-top:21.75pt;width:41.2pt;height:9pt;z-index:251658308" o:connectortype="straight">
            <v:stroke endarrow="block"/>
          </v:shape>
        </w:pict>
      </w:r>
      <w:r>
        <w:rPr>
          <w:noProof/>
        </w:rPr>
        <w:pict w14:anchorId="12BDD55C">
          <v:shape id="_x0000_s1332" type="#_x0000_t32" style="position:absolute;margin-left:695.45pt;margin-top:25.3pt;width:55.15pt;height:61.7pt;flip:y;z-index:251658307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4.05pt;margin-top:16.95pt;width:20.8pt;height:.65pt;z-index:251658300" o:connectortype="straight">
            <v:stroke endarrow="block"/>
          </v:shape>
        </w:pict>
      </w:r>
    </w:p>
    <w:p w14:paraId="3E4D6617" w14:textId="1A206BE9" w:rsidR="000561C9" w:rsidRDefault="00150C52" w:rsidP="000561C9">
      <w:r>
        <w:rPr>
          <w:noProof/>
          <w:lang w:eastAsia="cs-CZ"/>
        </w:rPr>
        <w:pict w14:anchorId="5BB82A97">
          <v:shape id="_x0000_s1401" type="#_x0000_t32" style="position:absolute;margin-left:862.95pt;margin-top:4.4pt;width:45.5pt;height:550.4pt;flip:y;z-index:251658514" o:connectortype="straight">
            <v:stroke endarrow="block"/>
          </v:shape>
        </w:pict>
      </w:r>
      <w:r>
        <w:rPr>
          <w:noProof/>
          <w:lang w:eastAsia="cs-CZ"/>
        </w:rPr>
        <w:pict w14:anchorId="7D892E30">
          <v:shape id="_x0000_s1363" type="#_x0000_t202" style="position:absolute;margin-left:121.95pt;margin-top:11.2pt;width:131.55pt;height:48.1pt;z-index:251658316;visibility:visible;mso-width-relative:margin;mso-height-relative:margin">
            <v:textbox style="mso-next-textbox:#_x0000_s1363">
              <w:txbxContent>
                <w:p w14:paraId="6BD815B9" w14:textId="77777777" w:rsidR="000F273F" w:rsidRPr="006A1F06" w:rsidRDefault="000F273F" w:rsidP="000F273F">
                  <w:pPr>
                    <w:rPr>
                      <w:sz w:val="18"/>
                      <w:szCs w:val="18"/>
                      <w:lang w:val="sk-SK"/>
                    </w:rPr>
                  </w:pPr>
                  <w:r w:rsidRPr="00B51760">
                    <w:rPr>
                      <w:sz w:val="14"/>
                      <w:szCs w:val="14"/>
                      <w:lang w:val="sk-SK"/>
                    </w:rPr>
                    <w:t>Inovovaný obsah vzdelávania vo vzdelávacích oblastiach Človek a príroda - biológia, chémia, fyzika a Človek a svet</w:t>
                  </w:r>
                  <w:r w:rsidRPr="006A1F06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B51760">
                    <w:rPr>
                      <w:sz w:val="14"/>
                      <w:szCs w:val="14"/>
                      <w:lang w:val="sk-SK"/>
                    </w:rPr>
                    <w:t>práce - technika</w:t>
                  </w:r>
                </w:p>
                <w:p w14:paraId="2CC1CFA1" w14:textId="77777777" w:rsidR="006A5A09" w:rsidRPr="00764471" w:rsidRDefault="006A5A09" w:rsidP="006A5A09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3A5253C0" w14:textId="60CF515A" w:rsidR="000561C9" w:rsidRDefault="00150C52" w:rsidP="000561C9">
      <w:r>
        <w:rPr>
          <w:noProof/>
          <w:lang w:eastAsia="cs-CZ"/>
        </w:rPr>
        <w:pict w14:anchorId="643A6FA6">
          <v:shape id="_x0000_s1411" type="#_x0000_t32" style="position:absolute;margin-left:460.75pt;margin-top:16.45pt;width:97.05pt;height:18pt;z-index:251666536" o:connectortype="straight">
            <v:stroke endarrow="block"/>
          </v:shape>
        </w:pict>
      </w:r>
      <w:r>
        <w:rPr>
          <w:noProof/>
          <w:lang w:eastAsia="cs-CZ"/>
        </w:rPr>
        <w:pict w14:anchorId="62FB26E2">
          <v:shape id="_x0000_s1406" type="#_x0000_t32" style="position:absolute;margin-left:253.05pt;margin-top:10.95pt;width:21.4pt;height:8.95pt;z-index:251662440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405" type="#_x0000_t202" style="position:absolute;margin-left:274.85pt;margin-top:.95pt;width:185.5pt;height:35.15pt;z-index:251661416;visibility:visible;mso-width-relative:margin;mso-height-relative:margin">
            <v:textbox style="mso-next-textbox:#_x0000_s1405">
              <w:txbxContent>
                <w:p w14:paraId="608A9E3C" w14:textId="5646B22E" w:rsidR="001529EB" w:rsidRPr="00C2153F" w:rsidRDefault="003E1A66" w:rsidP="001529EB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Pilotné overenie a hodnotenie inovovaného obsahu vzdelávania</w:t>
                  </w:r>
                </w:p>
                <w:p w14:paraId="40E5497A" w14:textId="77777777" w:rsidR="001529EB" w:rsidRPr="00611FA8" w:rsidRDefault="001529EB" w:rsidP="001529EB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7.8pt;margin-top:17.95pt;width:138.05pt;height:38.7pt;z-index:251658288;visibility:visible;mso-width-relative:margin;mso-height-relative:margin">
            <v:textbox style="mso-next-textbox:#_x0000_s1331">
              <w:txbxContent>
                <w:p w14:paraId="466D2ABE" w14:textId="69E26D1C" w:rsidR="008A7037" w:rsidRPr="00C2153F" w:rsidRDefault="008A7037" w:rsidP="004F0E0D">
                  <w:pPr>
                    <w:rPr>
                      <w:sz w:val="14"/>
                      <w:szCs w:val="14"/>
                      <w:lang w:val="sk-SK"/>
                    </w:rPr>
                  </w:pPr>
                  <w:r w:rsidRPr="00C2153F">
                    <w:rPr>
                      <w:sz w:val="14"/>
                      <w:szCs w:val="14"/>
                      <w:lang w:val="sk-SK"/>
                    </w:rPr>
                    <w:t xml:space="preserve">Aplikácia </w:t>
                  </w:r>
                  <w:r>
                    <w:rPr>
                      <w:sz w:val="14"/>
                      <w:szCs w:val="14"/>
                      <w:lang w:val="sk-SK"/>
                    </w:rPr>
                    <w:t>nových foriem a metód</w:t>
                  </w:r>
                  <w:r w:rsidRPr="00C2153F">
                    <w:rPr>
                      <w:sz w:val="14"/>
                      <w:szCs w:val="14"/>
                      <w:lang w:val="sk-SK"/>
                    </w:rPr>
                    <w:t xml:space="preserve"> do vyučovacieho procesu s ohľadom na podporu polytechnickej výchovy</w:t>
                  </w:r>
                </w:p>
                <w:p w14:paraId="042BFDD0" w14:textId="77777777" w:rsidR="00FF2CDE" w:rsidRPr="006C16A7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363CCF6" w14:textId="0A7C3137" w:rsidR="000561C9" w:rsidRDefault="00150C52" w:rsidP="000561C9">
      <w:r>
        <w:rPr>
          <w:noProof/>
          <w:lang w:eastAsia="cs-CZ"/>
        </w:rPr>
        <w:pict w14:anchorId="5BB2F014">
          <v:shape id="_x0000_s1403" type="#_x0000_t202" style="position:absolute;margin-left:122.5pt;margin-top:11.85pt;width:131.55pt;height:54.65pt;z-index:251659368;visibility:visible;mso-width-relative:margin;mso-height-relative:margin">
            <v:textbox style="mso-next-textbox:#_x0000_s1403">
              <w:txbxContent>
                <w:p w14:paraId="7D01CFFB" w14:textId="39E2A9CD" w:rsidR="002C13B6" w:rsidRPr="00C84075" w:rsidRDefault="00C84075" w:rsidP="00C84075">
                  <w:pPr>
                    <w:spacing w:after="0"/>
                    <w:rPr>
                      <w:rFonts w:cstheme="minorHAnsi"/>
                      <w:sz w:val="14"/>
                      <w:szCs w:val="14"/>
                      <w:lang w:val="sk-SK"/>
                    </w:rPr>
                  </w:pPr>
                  <w:r w:rsidRPr="00C84075">
                    <w:rPr>
                      <w:rFonts w:cstheme="minorHAnsi"/>
                      <w:sz w:val="14"/>
                      <w:szCs w:val="14"/>
                      <w:lang w:val="sk-SK"/>
                    </w:rPr>
                    <w:t>Pracovné cesty na zapojené ZŠ a iné ZŠ s cieľom konzultácií, poradenstva, overovania priebehu vzdelávania</w:t>
                  </w:r>
                  <w:r w:rsidR="004B1544">
                    <w:rPr>
                      <w:rFonts w:cstheme="minorHAnsi"/>
                      <w:sz w:val="14"/>
                      <w:szCs w:val="14"/>
                      <w:lang w:val="sk-SK"/>
                    </w:rPr>
                    <w:t xml:space="preserve"> </w:t>
                  </w:r>
                  <w:r w:rsidR="00A302A7">
                    <w:rPr>
                      <w:rFonts w:cstheme="minorHAnsi"/>
                      <w:sz w:val="14"/>
                      <w:szCs w:val="14"/>
                      <w:lang w:val="sk-SK"/>
                    </w:rPr>
                    <w:t>a</w:t>
                  </w:r>
                  <w:r w:rsidR="00BB13A5">
                    <w:rPr>
                      <w:rFonts w:cstheme="minorHAnsi"/>
                      <w:sz w:val="14"/>
                      <w:szCs w:val="14"/>
                      <w:lang w:val="sk-SK"/>
                    </w:rPr>
                    <w:t xml:space="preserve"> s cieľom získania skúseností a metodickej podpory (zahraničie)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8.55pt;margin-top:9.85pt;width:99.25pt;height:148.55pt;flip:y;z-index:251658304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408" type="#_x0000_t202" style="position:absolute;margin-left:274.85pt;margin-top:19.95pt;width:185.5pt;height:35.15pt;z-index:251663464;visibility:visible;mso-width-relative:margin;mso-height-relative:margin">
            <v:textbox style="mso-next-textbox:#_x0000_s1408">
              <w:txbxContent>
                <w:p w14:paraId="4213130F" w14:textId="1392DACC" w:rsidR="003E1A66" w:rsidRPr="00C2153F" w:rsidRDefault="003E1A66" w:rsidP="003E1A66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Metodická podpora </w:t>
                  </w:r>
                  <w:r w:rsidR="008441B4">
                    <w:rPr>
                      <w:sz w:val="14"/>
                      <w:szCs w:val="14"/>
                      <w:lang w:val="sk-SK"/>
                    </w:rPr>
                    <w:t>pedagogických pracovníkov na zapojených a nezapojených školách</w:t>
                  </w:r>
                </w:p>
                <w:p w14:paraId="70CEF785" w14:textId="77777777" w:rsidR="003E1A66" w:rsidRPr="00611FA8" w:rsidRDefault="003E1A66" w:rsidP="003E1A66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26BAB589" w14:textId="148719BF" w:rsidR="000561C9" w:rsidRDefault="00150C52" w:rsidP="000561C9">
      <w:r>
        <w:rPr>
          <w:noProof/>
          <w:lang w:eastAsia="cs-CZ"/>
        </w:rPr>
        <w:pict w14:anchorId="126C4F62">
          <v:shape id="_x0000_s1409" type="#_x0000_t32" style="position:absolute;margin-left:254.55pt;margin-top:12.15pt;width:20.3pt;height:.05pt;z-index:251664488" o:connectortype="straight">
            <v:stroke endarrow="block"/>
          </v:shape>
        </w:pict>
      </w:r>
    </w:p>
    <w:p w14:paraId="1C31426B" w14:textId="1DF36AA3" w:rsidR="00E822F7" w:rsidRDefault="00150C52" w:rsidP="000561C9">
      <w:r>
        <w:rPr>
          <w:noProof/>
          <w:lang w:eastAsia="cs-CZ"/>
        </w:rPr>
        <w:pict w14:anchorId="017C6820">
          <v:shape id="_x0000_s1223" type="#_x0000_t202" style="position:absolute;margin-left:911.5pt;margin-top:13.35pt;width:85.05pt;height:117.45pt;z-index:251658270;mso-width-relative:margin;mso-height-relative:margin" fillcolor="white [3212]">
            <v:textbox style="mso-next-textbox:#_x0000_s1223">
              <w:txbxContent>
                <w:p w14:paraId="000AADA1" w14:textId="77777777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2.5pt;margin-top:20.25pt;width:131.55pt;height:64.7pt;z-index:251658249;visibility:visible;mso-width-relative:margin;mso-height-relative:margin">
            <v:textbox style="mso-next-textbox:#_x0000_s1355">
              <w:txbxContent>
                <w:p w14:paraId="4F6381E4" w14:textId="1368C6E8" w:rsidR="00844D89" w:rsidRPr="00C2153F" w:rsidRDefault="00844D89" w:rsidP="00844D8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C2153F">
                    <w:rPr>
                      <w:sz w:val="14"/>
                      <w:szCs w:val="14"/>
                      <w:lang w:val="sk-SK"/>
                    </w:rPr>
                    <w:t xml:space="preserve">Vytvorené programy </w:t>
                  </w:r>
                  <w:r w:rsidR="00FB0CC3">
                    <w:rPr>
                      <w:sz w:val="14"/>
                      <w:szCs w:val="14"/>
                      <w:lang w:val="sk-SK"/>
                    </w:rPr>
                    <w:t xml:space="preserve">inovačného </w:t>
                  </w:r>
                  <w:r w:rsidRPr="00C2153F">
                    <w:rPr>
                      <w:sz w:val="14"/>
                      <w:szCs w:val="14"/>
                      <w:lang w:val="sk-SK"/>
                    </w:rPr>
                    <w:t xml:space="preserve">kontinuálneho vzdelávania pre </w:t>
                  </w:r>
                  <w:r w:rsidR="00FB0CC3">
                    <w:rPr>
                      <w:sz w:val="14"/>
                      <w:szCs w:val="14"/>
                      <w:lang w:val="sk-SK"/>
                    </w:rPr>
                    <w:t>p</w:t>
                  </w:r>
                  <w:r w:rsidRPr="00C2153F">
                    <w:rPr>
                      <w:sz w:val="14"/>
                      <w:szCs w:val="14"/>
                      <w:lang w:val="sk-SK"/>
                    </w:rPr>
                    <w:t>edagógov</w:t>
                  </w:r>
                  <w:r w:rsidR="000E300B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0E300B" w:rsidRPr="00C04AF2">
                    <w:rPr>
                      <w:sz w:val="14"/>
                      <w:szCs w:val="14"/>
                      <w:lang w:val="sk-SK"/>
                    </w:rPr>
                    <w:t xml:space="preserve">v oblasti </w:t>
                  </w:r>
                  <w:r w:rsidR="00C04AF2" w:rsidRPr="00C04AF2">
                    <w:rPr>
                      <w:sz w:val="14"/>
                      <w:szCs w:val="14"/>
                      <w:lang w:val="sk-SK"/>
                    </w:rPr>
                    <w:t xml:space="preserve">zavádzania </w:t>
                  </w:r>
                  <w:r w:rsidR="007C3B67">
                    <w:rPr>
                      <w:sz w:val="14"/>
                      <w:szCs w:val="14"/>
                      <w:lang w:val="sk-SK"/>
                    </w:rPr>
                    <w:t xml:space="preserve">inovovaných </w:t>
                  </w:r>
                  <w:r w:rsidR="00C04AF2" w:rsidRPr="00C04AF2">
                    <w:rPr>
                      <w:sz w:val="14"/>
                      <w:szCs w:val="14"/>
                      <w:lang w:val="sk-SK"/>
                    </w:rPr>
                    <w:t>metód do vyučovacieho procesu v predmete biológia a chémia, fyzika, technika</w:t>
                  </w:r>
                </w:p>
                <w:p w14:paraId="4213EE64" w14:textId="77777777" w:rsidR="00FF2CDE" w:rsidRPr="00844D89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3D31D23" w14:textId="42C9B725" w:rsidR="000561C9" w:rsidRDefault="00150C52" w:rsidP="000561C9">
      <w:r>
        <w:rPr>
          <w:noProof/>
          <w:lang w:eastAsia="cs-CZ"/>
        </w:rPr>
        <w:pict w14:anchorId="7690DA37">
          <v:shape id="_x0000_s1217" type="#_x0000_t202" style="position:absolute;margin-left:749.35pt;margin-top:12.4pt;width:114.4pt;height:53.8pt;z-index:251658266;mso-width-relative:margin;mso-height-relative:margin" fillcolor="white [3212]">
            <v:fill color2="#dbe5f1 [660]" rotate="t"/>
            <v:textbox style="mso-next-textbox:#_x0000_s1217">
              <w:txbxContent>
                <w:p w14:paraId="4FC54497" w14:textId="40AABB90" w:rsidR="00961260" w:rsidRPr="006C16A7" w:rsidRDefault="00961260" w:rsidP="00961260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Pedagogickí zamestnanci s kompetenciami potrebnými </w:t>
                  </w:r>
                  <w:r w:rsidR="00534187" w:rsidRPr="008B170F">
                    <w:rPr>
                      <w:sz w:val="14"/>
                      <w:szCs w:val="14"/>
                      <w:lang w:val="sk-SK"/>
                    </w:rPr>
                    <w:t>na</w:t>
                  </w:r>
                  <w:r w:rsidR="006349F9">
                    <w:rPr>
                      <w:sz w:val="14"/>
                      <w:szCs w:val="14"/>
                      <w:lang w:val="sk-SK"/>
                    </w:rPr>
                    <w:t> </w:t>
                  </w:r>
                  <w:r w:rsidR="00534187" w:rsidRPr="008B170F">
                    <w:rPr>
                      <w:sz w:val="14"/>
                      <w:szCs w:val="14"/>
                      <w:lang w:val="sk-SK"/>
                    </w:rPr>
                    <w:t>premenu tradičnej školy na</w:t>
                  </w:r>
                  <w:r w:rsidR="006349F9">
                    <w:rPr>
                      <w:sz w:val="14"/>
                      <w:szCs w:val="14"/>
                      <w:lang w:val="sk-SK"/>
                    </w:rPr>
                    <w:t> </w:t>
                  </w:r>
                  <w:r w:rsidR="00534187" w:rsidRPr="008B170F">
                    <w:rPr>
                      <w:sz w:val="14"/>
                      <w:szCs w:val="14"/>
                      <w:lang w:val="sk-SK"/>
                    </w:rPr>
                    <w:t>modernú</w:t>
                  </w:r>
                </w:p>
                <w:p w14:paraId="142B9329" w14:textId="77777777" w:rsidR="00FF2CDE" w:rsidRPr="00FC7B91" w:rsidRDefault="00FF2CDE" w:rsidP="000561C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0611A39">
          <v:shape id="_x0000_s1394" type="#_x0000_t202" style="position:absolute;margin-left:557.4pt;margin-top:8.55pt;width:138.05pt;height:57.05pt;z-index:251658339;visibility:visible;mso-width-relative:margin;mso-height-relative:margin">
            <v:textbox style="mso-next-textbox:#_x0000_s1394">
              <w:txbxContent>
                <w:p w14:paraId="2A89035F" w14:textId="7418F8D9" w:rsidR="004F0E0D" w:rsidRPr="006C16A7" w:rsidRDefault="0079351D" w:rsidP="004F0E0D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  <w:r w:rsidRPr="00534187">
                    <w:rPr>
                      <w:sz w:val="14"/>
                      <w:szCs w:val="14"/>
                      <w:lang w:val="sk-SK"/>
                    </w:rPr>
                    <w:t xml:space="preserve">Pedagogickí zamestnanci </w:t>
                  </w:r>
                  <w:r w:rsidR="00671A00" w:rsidRPr="00534187">
                    <w:rPr>
                      <w:sz w:val="14"/>
                      <w:szCs w:val="14"/>
                      <w:lang w:val="sk-SK"/>
                    </w:rPr>
                    <w:t xml:space="preserve">majú zvýšené kompetencie </w:t>
                  </w:r>
                  <w:r w:rsidR="00534187" w:rsidRPr="00F15C17">
                    <w:rPr>
                      <w:sz w:val="14"/>
                      <w:szCs w:val="14"/>
                      <w:lang w:val="sk-SK"/>
                    </w:rPr>
                    <w:t xml:space="preserve">podporujúce profesijnú orientáciu žiakov ZŠ </w:t>
                  </w:r>
                  <w:r w:rsidR="00AC4F7A" w:rsidRPr="00F15C17">
                    <w:rPr>
                      <w:sz w:val="14"/>
                      <w:szCs w:val="14"/>
                      <w:lang w:val="sk-SK"/>
                    </w:rPr>
                    <w:t>v </w:t>
                  </w:r>
                  <w:r w:rsidR="00534187" w:rsidRPr="00F15C17">
                    <w:rPr>
                      <w:sz w:val="14"/>
                      <w:szCs w:val="14"/>
                      <w:lang w:val="sk-SK"/>
                    </w:rPr>
                    <w:t>predmet</w:t>
                  </w:r>
                  <w:r w:rsidR="00AC4F7A" w:rsidRPr="00F15C17">
                    <w:rPr>
                      <w:sz w:val="14"/>
                      <w:szCs w:val="14"/>
                      <w:lang w:val="sk-SK"/>
                    </w:rPr>
                    <w:t xml:space="preserve">och </w:t>
                  </w:r>
                  <w:r w:rsidR="00534187" w:rsidRPr="00F15C17">
                    <w:rPr>
                      <w:sz w:val="14"/>
                      <w:szCs w:val="14"/>
                      <w:lang w:val="sk-SK"/>
                    </w:rPr>
                    <w:t>polytechnickej výchovy</w:t>
                  </w:r>
                  <w:r w:rsidR="00AC4F7A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</w:txbxContent>
            </v:textbox>
          </v:shape>
        </w:pict>
      </w:r>
    </w:p>
    <w:p w14:paraId="3B6CF80D" w14:textId="7616675D" w:rsidR="00E822F7" w:rsidRDefault="00150C52" w:rsidP="000561C9">
      <w:r>
        <w:rPr>
          <w:noProof/>
          <w:lang w:eastAsia="cs-CZ"/>
        </w:rPr>
        <w:pict w14:anchorId="427CEABE">
          <v:shape id="_x0000_s1396" type="#_x0000_t32" style="position:absolute;margin-left:459.95pt;margin-top:10pt;width:97.85pt;height:128.65pt;flip:y;z-index:251658341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694.25pt;margin-top:11.85pt;width:55.1pt;height:.05pt;z-index:251658305" o:connectortype="straight">
            <v:stroke endarrow="block"/>
          </v:shape>
        </w:pict>
      </w:r>
      <w:r>
        <w:rPr>
          <w:noProof/>
        </w:rPr>
        <w:pict w14:anchorId="30D30D0F">
          <v:shape id="_x0000_s1320" type="#_x0000_t32" style="position:absolute;margin-left:863.4pt;margin-top:14.1pt;width:47.5pt;height:.3pt;z-index:251658309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4.05pt;margin-top:3.1pt;width:19.25pt;height:132.25pt;z-index:251658298" o:connectortype="straight">
            <v:stroke endarrow="block"/>
          </v:shape>
        </w:pict>
      </w:r>
    </w:p>
    <w:p w14:paraId="3402342F" w14:textId="17297C14" w:rsidR="003859F3" w:rsidRDefault="00150C52" w:rsidP="000561C9">
      <w:r>
        <w:rPr>
          <w:noProof/>
          <w:lang w:eastAsia="cs-CZ"/>
        </w:rPr>
        <w:pict w14:anchorId="02836BCA">
          <v:shape id="_x0000_s1416" type="#_x0000_t202" style="position:absolute;margin-left:273.3pt;margin-top:18.3pt;width:185.5pt;height:28.2pt;z-index:251670632;visibility:visible;mso-width-relative:margin;mso-height-relative:margin">
            <v:textbox style="mso-next-textbox:#_x0000_s1416">
              <w:txbxContent>
                <w:p w14:paraId="28DFD710" w14:textId="70055614" w:rsidR="002A6E83" w:rsidRPr="00C2153F" w:rsidRDefault="005F04D7" w:rsidP="002A6E83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Vytvorenie</w:t>
                  </w:r>
                  <w:r w:rsidR="0006654F">
                    <w:rPr>
                      <w:sz w:val="14"/>
                      <w:szCs w:val="14"/>
                      <w:lang w:val="sk-SK"/>
                    </w:rPr>
                    <w:t xml:space="preserve"> odbornej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metodiky </w:t>
                  </w:r>
                  <w:r w:rsidR="0006654F">
                    <w:rPr>
                      <w:sz w:val="14"/>
                      <w:szCs w:val="14"/>
                      <w:lang w:val="sk-SK"/>
                    </w:rPr>
                    <w:t xml:space="preserve">pre identifikáciu potenciálu </w:t>
                  </w:r>
                  <w:r w:rsidR="0083755C">
                    <w:rPr>
                      <w:sz w:val="14"/>
                      <w:szCs w:val="14"/>
                      <w:lang w:val="sk-SK"/>
                    </w:rPr>
                    <w:t xml:space="preserve">orientácie </w:t>
                  </w:r>
                  <w:r w:rsidR="00BD2879">
                    <w:rPr>
                      <w:sz w:val="14"/>
                      <w:szCs w:val="14"/>
                      <w:lang w:val="sk-SK"/>
                    </w:rPr>
                    <w:t>žiakov ZŠ na SOŠ</w:t>
                  </w:r>
                </w:p>
                <w:p w14:paraId="2E4A3650" w14:textId="77777777" w:rsidR="002A6E83" w:rsidRPr="006C16A7" w:rsidRDefault="002A6E83" w:rsidP="002A6E83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58721C3">
          <v:shape id="_x0000_s1413" type="#_x0000_t202" style="position:absolute;margin-left:122.05pt;margin-top:13.8pt;width:131.55pt;height:37.65pt;z-index:251668584;visibility:visible;mso-width-relative:margin;mso-height-relative:margin">
            <v:textbox style="mso-next-textbox:#_x0000_s1413">
              <w:txbxContent>
                <w:p w14:paraId="50BE9ED4" w14:textId="49B1D21C" w:rsidR="003859F3" w:rsidRPr="00FF6351" w:rsidRDefault="00B13F9B" w:rsidP="003859F3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Pracovné cesty </w:t>
                  </w:r>
                  <w:r w:rsidR="00942ECE">
                    <w:rPr>
                      <w:sz w:val="14"/>
                      <w:szCs w:val="14"/>
                      <w:lang w:val="sk-SK"/>
                    </w:rPr>
                    <w:t xml:space="preserve">s cieľom </w:t>
                  </w:r>
                  <w:r w:rsidR="0034249E">
                    <w:rPr>
                      <w:sz w:val="14"/>
                      <w:szCs w:val="14"/>
                      <w:lang w:val="sk-SK"/>
                    </w:rPr>
                    <w:t xml:space="preserve">vytvorenia </w:t>
                  </w:r>
                  <w:r w:rsidR="005F04D7">
                    <w:rPr>
                      <w:sz w:val="14"/>
                      <w:szCs w:val="14"/>
                      <w:lang w:val="sk-SK"/>
                    </w:rPr>
                    <w:t>koncepcie</w:t>
                  </w:r>
                  <w:r w:rsidR="0034249E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CD680A">
                    <w:rPr>
                      <w:sz w:val="14"/>
                      <w:szCs w:val="14"/>
                      <w:lang w:val="sk-SK"/>
                    </w:rPr>
                    <w:t xml:space="preserve">prepojenia ZŠ a SOŠ </w:t>
                  </w:r>
                  <w:r w:rsidR="007119E9">
                    <w:rPr>
                      <w:sz w:val="14"/>
                      <w:szCs w:val="14"/>
                      <w:lang w:val="sk-SK"/>
                    </w:rPr>
                    <w:t>použitím</w:t>
                  </w:r>
                  <w:r w:rsidR="00CD680A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7119E9">
                    <w:rPr>
                      <w:sz w:val="14"/>
                      <w:szCs w:val="14"/>
                      <w:lang w:val="sk-SK"/>
                    </w:rPr>
                    <w:t>zahraničných modelov</w:t>
                  </w:r>
                </w:p>
                <w:p w14:paraId="3BE0042E" w14:textId="77777777" w:rsidR="003859F3" w:rsidRPr="00FF6351" w:rsidRDefault="003859F3" w:rsidP="003859F3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2494CAE2" w14:textId="78F78854" w:rsidR="003859F3" w:rsidRDefault="00150C52" w:rsidP="000561C9">
      <w:r>
        <w:rPr>
          <w:noProof/>
        </w:rPr>
        <w:pict w14:anchorId="4B35E791">
          <v:shape id="_x0000_s1417" type="#_x0000_t32" style="position:absolute;margin-left:253.05pt;margin-top:5.75pt;width:20.25pt;height:.3pt;z-index:251671656" o:connectortype="straight">
            <v:stroke endarrow="block"/>
          </v:shape>
        </w:pict>
      </w:r>
      <w:r>
        <w:rPr>
          <w:noProof/>
        </w:rPr>
        <w:pict w14:anchorId="370C3D27">
          <v:shape id="_x0000_s1415" type="#_x0000_t32" style="position:absolute;margin-left:102.65pt;margin-top:5.75pt;width:18.8pt;height:129.1pt;flip:y;z-index:251669608" o:connectortype="straight">
            <v:stroke endarrow="block"/>
          </v:shape>
        </w:pict>
      </w:r>
    </w:p>
    <w:p w14:paraId="448E2433" w14:textId="1EF98984" w:rsidR="00E822F7" w:rsidRDefault="00150C52" w:rsidP="000561C9">
      <w:r>
        <w:rPr>
          <w:noProof/>
          <w:lang w:eastAsia="cs-CZ"/>
        </w:rPr>
        <w:pict w14:anchorId="06180011">
          <v:shape id="_x0000_s1377" type="#_x0000_t32" style="position:absolute;margin-left:103.25pt;margin-top:24.6pt;width:18.7pt;height:84.85pt;flip:y;z-index:251658326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74" type="#_x0000_t202" style="position:absolute;margin-left:122.05pt;margin-top:5.45pt;width:131.55pt;height:48.5pt;z-index:251658324;visibility:visible;mso-width-relative:margin;mso-height-relative:margin">
            <v:textbox style="mso-next-textbox:#_x0000_s1374">
              <w:txbxContent>
                <w:p w14:paraId="71138610" w14:textId="32945CD3" w:rsidR="00FF6351" w:rsidRPr="00FF6351" w:rsidRDefault="008F43E4" w:rsidP="00FF6351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P</w:t>
                  </w:r>
                  <w:r w:rsidR="00984C51">
                    <w:rPr>
                      <w:sz w:val="14"/>
                      <w:szCs w:val="14"/>
                      <w:lang w:val="sk-SK"/>
                    </w:rPr>
                    <w:t xml:space="preserve">rogramy </w:t>
                  </w:r>
                  <w:r w:rsidR="00ED72C1">
                    <w:rPr>
                      <w:sz w:val="14"/>
                      <w:szCs w:val="14"/>
                      <w:lang w:val="sk-SK"/>
                    </w:rPr>
                    <w:t xml:space="preserve">inovačného </w:t>
                  </w:r>
                  <w:r w:rsidR="00984C51">
                    <w:rPr>
                      <w:sz w:val="14"/>
                      <w:szCs w:val="14"/>
                      <w:lang w:val="sk-SK"/>
                    </w:rPr>
                    <w:t xml:space="preserve">kontinuálneho vzdelávania </w:t>
                  </w:r>
                  <w:r w:rsidR="00FF6351" w:rsidRPr="00FF6351">
                    <w:rPr>
                      <w:sz w:val="14"/>
                      <w:szCs w:val="14"/>
                      <w:lang w:val="sk-SK"/>
                    </w:rPr>
                    <w:t xml:space="preserve">pre </w:t>
                  </w:r>
                  <w:r w:rsidR="00F40621">
                    <w:rPr>
                      <w:sz w:val="14"/>
                      <w:szCs w:val="14"/>
                      <w:lang w:val="sk-SK"/>
                    </w:rPr>
                    <w:t>zamestnancov</w:t>
                  </w:r>
                  <w:r w:rsidR="00984C51">
                    <w:rPr>
                      <w:sz w:val="14"/>
                      <w:szCs w:val="14"/>
                      <w:lang w:val="sk-SK"/>
                    </w:rPr>
                    <w:t xml:space="preserve"> pracujúcich </w:t>
                  </w:r>
                  <w:r w:rsidR="00FF6351" w:rsidRPr="00FF6351">
                    <w:rPr>
                      <w:sz w:val="14"/>
                      <w:szCs w:val="14"/>
                      <w:lang w:val="sk-SK"/>
                    </w:rPr>
                    <w:t xml:space="preserve">v oblasti profesijnej </w:t>
                  </w:r>
                  <w:r w:rsidR="00984C51">
                    <w:rPr>
                      <w:sz w:val="14"/>
                      <w:szCs w:val="14"/>
                      <w:lang w:val="sk-SK"/>
                    </w:rPr>
                    <w:t>o</w:t>
                  </w:r>
                  <w:r w:rsidR="00FF6351" w:rsidRPr="00FF6351">
                    <w:rPr>
                      <w:sz w:val="14"/>
                      <w:szCs w:val="14"/>
                      <w:lang w:val="sk-SK"/>
                    </w:rPr>
                    <w:t>rientácie žiakov ZŠ</w:t>
                  </w:r>
                </w:p>
                <w:p w14:paraId="62C77B43" w14:textId="77777777" w:rsidR="000E110D" w:rsidRPr="00FF6351" w:rsidRDefault="000E110D" w:rsidP="000E110D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3511B5C9" w14:textId="2C76BEC0" w:rsidR="000561C9" w:rsidRDefault="00150C52" w:rsidP="000561C9">
      <w:r>
        <w:rPr>
          <w:noProof/>
          <w:lang w:eastAsia="cs-CZ"/>
        </w:rPr>
        <w:pict w14:anchorId="02836BCA">
          <v:shape id="_x0000_s1356" type="#_x0000_t202" style="position:absolute;margin-left:273.05pt;margin-top:20.6pt;width:185.5pt;height:36.45pt;z-index:251658314;visibility:visible;mso-width-relative:margin;mso-height-relative:margin">
            <v:textbox style="mso-next-textbox:#_x0000_s1356">
              <w:txbxContent>
                <w:p w14:paraId="1827B4BE" w14:textId="677E1C45" w:rsidR="000125A8" w:rsidRPr="00C2153F" w:rsidRDefault="000125A8" w:rsidP="000125A8">
                  <w:pPr>
                    <w:rPr>
                      <w:sz w:val="14"/>
                      <w:szCs w:val="14"/>
                      <w:lang w:val="sk-SK"/>
                    </w:rPr>
                  </w:pPr>
                  <w:r w:rsidRPr="00C2153F">
                    <w:rPr>
                      <w:sz w:val="14"/>
                      <w:szCs w:val="14"/>
                      <w:lang w:val="sk-SK"/>
                    </w:rPr>
                    <w:t>Pedag</w:t>
                  </w:r>
                  <w:r w:rsidR="00BB13A5">
                    <w:rPr>
                      <w:sz w:val="14"/>
                      <w:szCs w:val="14"/>
                      <w:lang w:val="sk-SK"/>
                    </w:rPr>
                    <w:t xml:space="preserve">ogickí zamestnanci </w:t>
                  </w:r>
                  <w:r w:rsidR="00C04AF2">
                    <w:rPr>
                      <w:sz w:val="14"/>
                      <w:szCs w:val="14"/>
                      <w:lang w:val="sk-SK"/>
                    </w:rPr>
                    <w:t>úspešne</w:t>
                  </w:r>
                  <w:r w:rsidRPr="00C2153F">
                    <w:rPr>
                      <w:sz w:val="14"/>
                      <w:szCs w:val="14"/>
                      <w:lang w:val="sk-SK"/>
                    </w:rPr>
                    <w:t xml:space="preserve"> absolvovali </w:t>
                  </w:r>
                  <w:r w:rsidR="003C6084">
                    <w:rPr>
                      <w:sz w:val="14"/>
                      <w:szCs w:val="14"/>
                      <w:lang w:val="sk-SK"/>
                    </w:rPr>
                    <w:t>programy kontinuálneho vzdelávania</w:t>
                  </w:r>
                  <w:r w:rsidRPr="00C2153F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300D1F">
                    <w:rPr>
                      <w:sz w:val="14"/>
                      <w:szCs w:val="14"/>
                      <w:lang w:val="sk-SK"/>
                    </w:rPr>
                    <w:t>a získali osvedčenie o absolvovaní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8443E0">
          <v:shape id="_x0000_s1378" type="#_x0000_t32" style="position:absolute;margin-left:253.6pt;margin-top:5.1pt;width:19.05pt;height:32.4pt;z-index:251658327" o:connectortype="straight">
            <v:stroke endarrow="block"/>
          </v:shape>
        </w:pict>
      </w:r>
    </w:p>
    <w:p w14:paraId="0377B358" w14:textId="6A0A5BDE" w:rsidR="000561C9" w:rsidRDefault="00150C52" w:rsidP="000561C9">
      <w:r>
        <w:rPr>
          <w:noProof/>
        </w:rPr>
        <w:pict w14:anchorId="7DFA2A04">
          <v:shape id="_x0000_s1446" type="#_x0000_t32" style="position:absolute;margin-left:258.85pt;margin-top:12.8pt;width:12.3pt;height:201.7pt;flip:y;z-index:251680872" o:connectortype="straight">
            <v:stroke endarrow="block"/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9.8pt;margin-top:19.05pt;width:85.05pt;height:84.45pt;z-index:251658271;mso-width-relative:margin;mso-height-relative:margin" fillcolor="white [3212]">
            <v:textbox style="mso-next-textbox:#_x0000_s1224">
              <w:txbxContent>
                <w:p w14:paraId="4970DEB4" w14:textId="77777777" w:rsidR="00FF2CDE" w:rsidRPr="00982AB5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3pt;margin-top:8.15pt;width:131.55pt;height:55.35pt;z-index:251658250;visibility:visible;mso-width-relative:margin;mso-height-relative:margin">
            <v:textbox style="mso-next-textbox:#_x0000_s1141">
              <w:txbxContent>
                <w:p w14:paraId="3C74F383" w14:textId="2B9A2672" w:rsidR="000315FB" w:rsidRPr="00EB10A8" w:rsidRDefault="002D2D3A" w:rsidP="000315FB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Organizované podujatia:</w:t>
                  </w:r>
                  <w:r w:rsidR="000315FB" w:rsidRPr="00EB10A8">
                    <w:rPr>
                      <w:sz w:val="14"/>
                      <w:szCs w:val="14"/>
                      <w:lang w:val="sk-SK"/>
                    </w:rPr>
                    <w:t xml:space="preserve"> realizované diskusie, exkurzie do firiem, dni otvorených dverí u partnerov, SOŠ, stretnutie so zástupcami jednotlivých profesií </w:t>
                  </w:r>
                  <w:r w:rsidR="00C53860">
                    <w:rPr>
                      <w:sz w:val="14"/>
                      <w:szCs w:val="14"/>
                      <w:lang w:val="sk-SK"/>
                    </w:rPr>
                    <w:t xml:space="preserve">na 49 pilotných ZŠ </w:t>
                  </w:r>
                </w:p>
                <w:p w14:paraId="1DD45E81" w14:textId="77777777" w:rsidR="00FF2CDE" w:rsidRDefault="00FF2CDE"/>
              </w:txbxContent>
            </v:textbox>
          </v:shape>
        </w:pict>
      </w:r>
    </w:p>
    <w:p w14:paraId="2227E9D9" w14:textId="4C86B547" w:rsidR="000561C9" w:rsidRDefault="00150C52" w:rsidP="000561C9">
      <w:r>
        <w:rPr>
          <w:noProof/>
          <w:lang w:eastAsia="cs-CZ"/>
        </w:rPr>
        <w:pict w14:anchorId="62569D35">
          <v:shape id="_x0000_s1157" type="#_x0000_t202" style="position:absolute;margin-left:273.05pt;margin-top:23.55pt;width:185.5pt;height:30.35pt;z-index:251658244;visibility:visible;mso-width-relative:margin;mso-height-relative:margin">
            <v:textbox style="mso-next-textbox:#_x0000_s1157">
              <w:txbxContent>
                <w:p w14:paraId="250DC1B3" w14:textId="2F17FBB2" w:rsidR="00AC3A38" w:rsidRPr="00F26077" w:rsidRDefault="009C7136" w:rsidP="00AC3A38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Žiaci využívajú p</w:t>
                  </w:r>
                  <w:r w:rsidR="007E7A18">
                    <w:rPr>
                      <w:sz w:val="14"/>
                      <w:szCs w:val="14"/>
                      <w:lang w:val="sk-SK"/>
                    </w:rPr>
                    <w:t xml:space="preserve">rístup k informáciám </w:t>
                  </w:r>
                  <w:r w:rsidR="00670111">
                    <w:rPr>
                      <w:sz w:val="14"/>
                      <w:szCs w:val="14"/>
                      <w:lang w:val="sk-SK"/>
                    </w:rPr>
                    <w:t>o povolaniach</w:t>
                  </w:r>
                  <w:r w:rsidR="007E7A18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0721E9">
                    <w:rPr>
                      <w:sz w:val="14"/>
                      <w:szCs w:val="14"/>
                      <w:lang w:val="sk-SK"/>
                    </w:rPr>
                    <w:t>(Katalóg o povolaniach, záznamy z podujatí)</w:t>
                  </w:r>
                </w:p>
                <w:p w14:paraId="08E082B7" w14:textId="77777777" w:rsidR="00FF2CDE" w:rsidRPr="00DD7C0B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FBF92B1">
          <v:shape id="_x0000_s1419" type="#_x0000_t32" style="position:absolute;margin-left:254.05pt;margin-top:10.75pt;width:19pt;height:29.35pt;z-index:251672680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3.25pt;margin-top:10.75pt;width:20.25pt;height:22.35pt;flip:y;z-index:251658292" o:connectortype="straight">
            <v:stroke endarrow="block"/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58.6pt;margin-top:9.05pt;width:138.05pt;height:38.6pt;z-index:251658275;visibility:visible;mso-width-relative:margin;mso-height-relative:margin">
            <v:textbox style="mso-next-textbox:#_x0000_s1361">
              <w:txbxContent>
                <w:p w14:paraId="1ED1BB35" w14:textId="2B3E5436" w:rsidR="0087623F" w:rsidRPr="00B41F20" w:rsidRDefault="007E7A18" w:rsidP="004F0E0D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Žiaci sa rozhodujú</w:t>
                  </w:r>
                  <w:r w:rsidR="001C2A33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87623F" w:rsidRPr="00B41F20">
                    <w:rPr>
                      <w:sz w:val="14"/>
                      <w:szCs w:val="14"/>
                      <w:lang w:val="sk-SK"/>
                    </w:rPr>
                    <w:t xml:space="preserve">o budúcom štúdiu na SOŠ na základe </w:t>
                  </w:r>
                  <w:r w:rsidR="008D1061">
                    <w:rPr>
                      <w:sz w:val="14"/>
                      <w:szCs w:val="14"/>
                      <w:lang w:val="sk-SK"/>
                    </w:rPr>
                    <w:t xml:space="preserve">uplatniteľnosti </w:t>
                  </w:r>
                  <w:r>
                    <w:rPr>
                      <w:sz w:val="14"/>
                      <w:szCs w:val="14"/>
                      <w:lang w:val="sk-SK"/>
                    </w:rPr>
                    <w:t>na trhu práce</w:t>
                  </w:r>
                </w:p>
                <w:p w14:paraId="2843FF09" w14:textId="77777777" w:rsidR="00FF2CDE" w:rsidRPr="006C16A7" w:rsidRDefault="00FF2CDE" w:rsidP="000561C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6.85pt;margin-top:10.75pt;width:96.4pt;height:42.25pt;z-index:251658284;visibility:visible;mso-width-relative:margin;mso-height-relative:margin">
            <v:textbox style="mso-next-textbox:#_x0000_s1259">
              <w:txbxContent>
                <w:p w14:paraId="1C85BD72" w14:textId="77777777" w:rsidR="00F25EF6" w:rsidRPr="00EB10A8" w:rsidRDefault="00F25EF6" w:rsidP="00F25EF6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EB10A8">
                    <w:rPr>
                      <w:bCs/>
                      <w:sz w:val="14"/>
                      <w:szCs w:val="14"/>
                      <w:lang w:val="sk-SK"/>
                    </w:rPr>
                    <w:t>Podpora profesijnej orientácie žiakov ZŠ na odborné vzdelávanie a prípravu</w:t>
                  </w:r>
                </w:p>
                <w:p w14:paraId="3EE5E14F" w14:textId="77777777" w:rsidR="00FF2CDE" w:rsidRPr="00F25EF6" w:rsidRDefault="00FF2CDE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7042EA1E" w14:textId="2DBEB2F1" w:rsidR="000561C9" w:rsidRDefault="00150C52" w:rsidP="000561C9">
      <w:r>
        <w:rPr>
          <w:noProof/>
          <w:lang w:eastAsia="cs-CZ"/>
        </w:rPr>
        <w:pict w14:anchorId="0094C7B5">
          <v:shape id="_x0000_s1398" type="#_x0000_t32" style="position:absolute;margin-left:697.15pt;margin-top:1.6pt;width:49.2pt;height:218.6pt;z-index:251658343" o:connectortype="straight">
            <v:stroke endarrow="block"/>
          </v:shape>
        </w:pict>
      </w:r>
      <w:r>
        <w:rPr>
          <w:noProof/>
        </w:rPr>
        <w:pict w14:anchorId="38B729EE">
          <v:shape id="_x0000_s1386" type="#_x0000_t32" style="position:absolute;margin-left:254.95pt;margin-top:19.25pt;width:18.35pt;height:47.65pt;flip:y;z-index:251658334" o:connectortype="straight">
            <v:stroke endarrow="block"/>
          </v:shape>
        </w:pict>
      </w:r>
      <w:r>
        <w:rPr>
          <w:noProof/>
        </w:rPr>
        <w:pict w14:anchorId="63AE0BD3">
          <v:shape id="_x0000_s1285" type="#_x0000_t32" style="position:absolute;margin-left:254.95pt;margin-top:15.25pt;width:17.7pt;height:15.35pt;flip:y;z-index:251658295" o:connectortype="straight">
            <v:stroke endarrow="block"/>
          </v:shape>
        </w:pict>
      </w:r>
      <w:r>
        <w:rPr>
          <w:noProof/>
          <w:lang w:eastAsia="cs-CZ"/>
        </w:rPr>
        <w:pict w14:anchorId="3DDF4668">
          <v:shape id="_x0000_s1380" type="#_x0000_t32" style="position:absolute;margin-left:103.25pt;margin-top:7.7pt;width:19.75pt;height:22.45pt;z-index:251658329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84" type="#_x0000_t202" style="position:absolute;margin-left:123.4pt;margin-top:17.4pt;width:131.55pt;height:26.65pt;z-index:251658332;visibility:visible;mso-width-relative:margin;mso-height-relative:margin">
            <v:textbox style="mso-next-textbox:#_x0000_s1384">
              <w:txbxContent>
                <w:p w14:paraId="0502440E" w14:textId="7F59FB2D" w:rsidR="00420CAD" w:rsidRPr="00F26077" w:rsidRDefault="00420CAD" w:rsidP="00420CAD">
                  <w:pPr>
                    <w:rPr>
                      <w:sz w:val="14"/>
                      <w:szCs w:val="14"/>
                      <w:lang w:val="sk-SK"/>
                    </w:rPr>
                  </w:pPr>
                  <w:r w:rsidRPr="00EB10A8">
                    <w:rPr>
                      <w:sz w:val="14"/>
                      <w:szCs w:val="14"/>
                      <w:lang w:val="sk-SK"/>
                    </w:rPr>
                    <w:t xml:space="preserve">Katalóg o pracovných pozíciách a nárokoch 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(iba </w:t>
                  </w:r>
                  <w:r w:rsidRPr="00EB10A8">
                    <w:rPr>
                      <w:sz w:val="14"/>
                      <w:szCs w:val="14"/>
                      <w:lang w:val="sk-SK"/>
                    </w:rPr>
                    <w:t>v elektronickej forme</w:t>
                  </w:r>
                  <w:r>
                    <w:rPr>
                      <w:sz w:val="14"/>
                      <w:szCs w:val="14"/>
                      <w:lang w:val="sk-SK"/>
                    </w:rPr>
                    <w:t>)</w:t>
                  </w:r>
                </w:p>
                <w:p w14:paraId="489F81C7" w14:textId="77777777" w:rsidR="00420CAD" w:rsidRDefault="00420CAD" w:rsidP="00420CAD"/>
              </w:txbxContent>
            </v:textbox>
          </v:shape>
        </w:pict>
      </w:r>
      <w:r>
        <w:rPr>
          <w:noProof/>
        </w:rPr>
        <w:pict w14:anchorId="0837DE44">
          <v:shape id="_x0000_s1337" type="#_x0000_t32" style="position:absolute;margin-left:458.8pt;margin-top:1.2pt;width:99.8pt;height:18.05pt;flip:y;z-index:251658301" o:connectortype="straight">
            <v:stroke endarrow="block"/>
          </v:shape>
        </w:pict>
      </w:r>
      <w:r>
        <w:rPr>
          <w:noProof/>
        </w:rPr>
        <w:pict w14:anchorId="27DF62F0">
          <v:shape id="_x0000_s1385" type="#_x0000_t32" style="position:absolute;margin-left:103.25pt;margin-top:8.6pt;width:20.25pt;height:58.3pt;z-index:251658333" o:connectortype="straight">
            <v:stroke endarrow="block"/>
          </v:shape>
        </w:pict>
      </w:r>
    </w:p>
    <w:p w14:paraId="521C7B41" w14:textId="1434CC9E" w:rsidR="000561C9" w:rsidRDefault="00150C52" w:rsidP="000561C9">
      <w:r>
        <w:rPr>
          <w:noProof/>
          <w:lang w:eastAsia="cs-CZ"/>
        </w:rPr>
        <w:pict w14:anchorId="158721C3">
          <v:shape id="_x0000_s1366" type="#_x0000_t202" style="position:absolute;margin-left:123.75pt;margin-top:24.15pt;width:131.55pt;height:36.95pt;z-index:251658318;visibility:visible;mso-width-relative:margin;mso-height-relative:margin">
            <v:textbox style="mso-next-textbox:#_x0000_s1366">
              <w:txbxContent>
                <w:p w14:paraId="2ABB41D7" w14:textId="77777777" w:rsidR="00CF7234" w:rsidRPr="00CF7234" w:rsidRDefault="00CF7234" w:rsidP="00CF7234">
                  <w:pPr>
                    <w:rPr>
                      <w:sz w:val="14"/>
                      <w:szCs w:val="14"/>
                      <w:lang w:val="sk-SK"/>
                    </w:rPr>
                  </w:pPr>
                  <w:r w:rsidRPr="00CF7234">
                    <w:rPr>
                      <w:sz w:val="14"/>
                      <w:szCs w:val="14"/>
                      <w:lang w:val="sk-SK"/>
                    </w:rPr>
                    <w:t>Zakúpenie softvérového nástroja na identifikáciu profesijnej orientácie žiakov na 500 ZŠ</w:t>
                  </w:r>
                </w:p>
                <w:p w14:paraId="563DD8A2" w14:textId="77777777" w:rsidR="009771CA" w:rsidRPr="00CF7234" w:rsidRDefault="009771CA" w:rsidP="009771CA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29B15E48" w14:textId="13F5F77C" w:rsidR="000561C9" w:rsidRDefault="00150C52" w:rsidP="000561C9">
      <w:r>
        <w:rPr>
          <w:noProof/>
        </w:rPr>
        <w:pict w14:anchorId="2F737201">
          <v:shape id="_x0000_s1338" type="#_x0000_t32" style="position:absolute;margin-left:459.5pt;margin-top:15.6pt;width:100.15pt;height:137.55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7D8FB725">
          <v:shape id="_x0000_s1379" type="#_x0000_t32" style="position:absolute;margin-left:254.95pt;margin-top:12.8pt;width:19.15pt;height:3.85pt;flip:y;z-index:251658328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_x0000_s1369" type="#_x0000_t202" style="position:absolute;margin-left:273.8pt;margin-top:.3pt;width:185.5pt;height:28.75pt;z-index:251658320;visibility:visible;mso-width-relative:margin;mso-height-relative:margin">
            <v:textbox style="mso-next-textbox:#_x0000_s1369">
              <w:txbxContent>
                <w:p w14:paraId="11C88651" w14:textId="2D3869A1" w:rsidR="00EA5380" w:rsidRPr="00EA5380" w:rsidRDefault="00EA5380" w:rsidP="00EA5380">
                  <w:pPr>
                    <w:rPr>
                      <w:rFonts w:cstheme="minorHAnsi"/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EA5380">
                    <w:rPr>
                      <w:rFonts w:cstheme="minorHAnsi"/>
                      <w:color w:val="000000" w:themeColor="text1"/>
                      <w:sz w:val="14"/>
                      <w:szCs w:val="14"/>
                      <w:lang w:val="sk-SK"/>
                    </w:rPr>
                    <w:t xml:space="preserve">Učitelia využívajú nástroje na </w:t>
                  </w:r>
                  <w:r w:rsidR="00A57E97">
                    <w:rPr>
                      <w:rFonts w:cstheme="minorHAnsi"/>
                      <w:color w:val="000000" w:themeColor="text1"/>
                      <w:sz w:val="14"/>
                      <w:szCs w:val="14"/>
                      <w:lang w:val="sk-SK"/>
                    </w:rPr>
                    <w:t xml:space="preserve">identifikáciu </w:t>
                  </w:r>
                  <w:r w:rsidR="00C0793A">
                    <w:rPr>
                      <w:rFonts w:cstheme="minorHAnsi"/>
                      <w:color w:val="000000" w:themeColor="text1"/>
                      <w:sz w:val="14"/>
                      <w:szCs w:val="14"/>
                      <w:lang w:val="sk-SK"/>
                    </w:rPr>
                    <w:t xml:space="preserve">potenciálu </w:t>
                  </w:r>
                  <w:r w:rsidRPr="00420CAD">
                    <w:rPr>
                      <w:rFonts w:cstheme="minorHAnsi"/>
                      <w:color w:val="000000" w:themeColor="text1"/>
                      <w:sz w:val="14"/>
                      <w:szCs w:val="14"/>
                      <w:lang w:val="sk-SK"/>
                    </w:rPr>
                    <w:t>profesijnej orientácie žiakov</w:t>
                  </w:r>
                  <w:r w:rsidR="00B41F20">
                    <w:rPr>
                      <w:rFonts w:cstheme="minorHAnsi"/>
                      <w:color w:val="000000" w:themeColor="text1"/>
                      <w:sz w:val="14"/>
                      <w:szCs w:val="14"/>
                      <w:lang w:val="sk-SK"/>
                    </w:rPr>
                    <w:t xml:space="preserve"> ZŠ</w:t>
                  </w:r>
                </w:p>
                <w:p w14:paraId="5823C277" w14:textId="77777777" w:rsidR="00FF36EF" w:rsidRPr="00634AF8" w:rsidRDefault="00FF36EF" w:rsidP="00FF36E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495AEDE4" w14:textId="2335117B" w:rsidR="00CF5DA5" w:rsidRDefault="00CF5DA5" w:rsidP="000561C9"/>
    <w:p w14:paraId="7FC316B9" w14:textId="7ED3872E" w:rsidR="00CF5DA5" w:rsidRDefault="00CF5DA5" w:rsidP="000561C9"/>
    <w:p w14:paraId="46E1BC38" w14:textId="6E042CAB" w:rsidR="00CF5DA5" w:rsidRDefault="00CF5DA5" w:rsidP="000561C9"/>
    <w:p w14:paraId="430C0B2F" w14:textId="60B626D1" w:rsidR="000561C9" w:rsidRDefault="00150C52" w:rsidP="000561C9">
      <w:r>
        <w:rPr>
          <w:noProof/>
          <w:lang w:eastAsia="cs-CZ"/>
        </w:rPr>
        <w:lastRenderedPageBreak/>
        <w:pict w14:anchorId="6EC6748E">
          <v:roundrect id="AutoShape 16" o:spid="_x0000_s1420" style="position:absolute;margin-left:897.7pt;margin-top:5.1pt;width:108.8pt;height:200.8pt;z-index:251657215;visibility:visible" arcsize="5364f" fillcolor="#b2a1c7 [1943]"/>
        </w:pict>
      </w:r>
      <w:r>
        <w:rPr>
          <w:noProof/>
          <w:lang w:eastAsia="cs-CZ"/>
        </w:rPr>
        <w:pict w14:anchorId="16DA5357">
          <v:roundrect id="_x0000_s1437" style="position:absolute;margin-left:-5.4pt;margin-top:-21.6pt;width:481.9pt;height:227.5pt;z-index:251674728" arcsize="1775f" filled="f" strokecolor="#00b050" strokeweight="2.25pt"/>
        </w:pict>
      </w:r>
      <w:r>
        <w:rPr>
          <w:noProof/>
        </w:rPr>
        <w:pict w14:anchorId="0703FB66">
          <v:roundrect id="_x0000_s1421" style="position:absolute;margin-left:.05pt;margin-top:3.9pt;width:107.3pt;height:193pt;z-index:251656190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</w:rPr>
        <w:pict w14:anchorId="5A364373">
          <v:roundrect id="_x0000_s1422" style="position:absolute;margin-left:115.35pt;margin-top:2.9pt;width:147.4pt;height:194pt;z-index:25165516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</w:rPr>
        <w:pict w14:anchorId="21231701">
          <v:roundrect id="AutoShape 34" o:spid="_x0000_s1424" style="position:absolute;margin-left:268.8pt;margin-top:2.9pt;width:202.9pt;height:194pt;z-index:2516541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4E726D5C">
          <v:roundrect id="_x0000_s1439" style="position:absolute;margin-left:522.15pt;margin-top:-15.55pt;width:367pt;height:221.45pt;z-index:251675752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_x0000_s1427" style="position:absolute;margin-left:735.35pt;margin-top:5.1pt;width:146.45pt;height:191.8pt;z-index:251652090;visibility:visible" arcsize="3856f" fillcolor="#c6d9f1 [671]">
            <v:textbox style="mso-next-textbox:#_x0000_s1427">
              <w:txbxContent>
                <w:p w14:paraId="320FC1A8" w14:textId="319F943A" w:rsidR="00D77605" w:rsidRPr="00B46CF7" w:rsidRDefault="00D77605" w:rsidP="00D77605"/>
              </w:txbxContent>
            </v:textbox>
          </v:roundrect>
        </w:pict>
      </w:r>
      <w:r>
        <w:rPr>
          <w:noProof/>
        </w:rPr>
        <w:pict w14:anchorId="53EC0906">
          <v:roundrect id="_x0000_s1426" style="position:absolute;margin-left:528.25pt;margin-top:2.9pt;width:199.7pt;height:194pt;z-index:251653115;visibility:visible" arcsize="4333f" fillcolor="#d8d8d8 [2732]">
            <v:textbox style="mso-next-textbox:#_x0000_s1426">
              <w:txbxContent>
                <w:p w14:paraId="2F4D22D7" w14:textId="77777777" w:rsidR="00150162" w:rsidRDefault="00150162" w:rsidP="00150162"/>
                <w:p w14:paraId="3D3E529F" w14:textId="63549D62" w:rsidR="00150162" w:rsidRPr="00B46CF7" w:rsidRDefault="00150162" w:rsidP="00150162"/>
              </w:txbxContent>
            </v:textbox>
          </v:roundrect>
        </w:pict>
      </w:r>
      <w:r>
        <w:rPr>
          <w:noProof/>
          <w:lang w:eastAsia="cs-CZ"/>
        </w:rPr>
        <w:pict w14:anchorId="026D723F">
          <v:shape id="_x0000_s1452" type="#_x0000_t32" style="position:absolute;margin-left:863.75pt;margin-top:-10.15pt;width:4.65pt;height:63.8pt;flip:y;z-index:251684968" o:connectortype="straight">
            <v:stroke endarrow="block"/>
          </v:shape>
        </w:pict>
      </w:r>
      <w:r>
        <w:rPr>
          <w:noProof/>
          <w:lang w:eastAsia="cs-CZ"/>
        </w:rPr>
        <w:pict w14:anchorId="13D92808">
          <v:shape id="_x0000_s1449" type="#_x0000_t32" style="position:absolute;margin-left:734.15pt;margin-top:-3.15pt;width:14pt;height:54.8pt;z-index:251682920" o:connectortype="straight">
            <v:stroke endarrow="block"/>
          </v:shape>
        </w:pict>
      </w:r>
      <w:r>
        <w:rPr>
          <w:noProof/>
          <w:lang w:eastAsia="cs-CZ"/>
        </w:rPr>
        <w:pict w14:anchorId="2EE3CECE">
          <v:shape id="_x0000_s1441" type="#_x0000_t32" style="position:absolute;margin-left:528.85pt;margin-top:-6.4pt;width:30.9pt;height:39.1pt;z-index:251677800" o:connectortype="straight">
            <v:stroke endarrow="block"/>
          </v:shape>
        </w:pict>
      </w:r>
      <w:r>
        <w:rPr>
          <w:noProof/>
          <w:lang w:eastAsia="cs-CZ"/>
        </w:rPr>
        <w:pict w14:anchorId="6EE0E345">
          <v:shape id="_x0000_s1445" type="#_x0000_t32" style="position:absolute;margin-left:258.85pt;margin-top:-139.6pt;width:4.6pt;height:136.45pt;flip:y;z-index:251679848" o:connectortype="straight">
            <v:stroke endarrow="block"/>
          </v:shape>
        </w:pict>
      </w:r>
      <w:r>
        <w:rPr>
          <w:noProof/>
          <w:lang w:eastAsia="cs-CZ"/>
        </w:rPr>
        <w:pict w14:anchorId="07ED1E2F">
          <v:shape id="_x0000_s1440" type="#_x0000_t32" style="position:absolute;margin-left:255.35pt;margin-top:-3.15pt;width:2.85pt;height:53.9pt;flip:y;z-index:251676776" o:connectortype="straight"/>
        </w:pict>
      </w:r>
      <w:r>
        <w:rPr>
          <w:noProof/>
        </w:rPr>
        <w:pict w14:anchorId="78F9FDE3">
          <v:shape id="_x0000_s1339" type="#_x0000_t202" style="position:absolute;margin-left:560.1pt;margin-top:12.55pt;width:138.05pt;height:45.6pt;z-index:251658290;visibility:visible;mso-width-relative:margin;mso-height-relative:margin">
            <v:textbox style="mso-next-textbox:#_x0000_s1339">
              <w:txbxContent>
                <w:p w14:paraId="63E2BCA7" w14:textId="421CAF9F" w:rsidR="00077CCA" w:rsidRPr="00B41F20" w:rsidRDefault="00FF1128" w:rsidP="00040DB8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B41F20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Zlepšená úroveň poskytovania</w:t>
                  </w:r>
                  <w:r w:rsidR="00A26E33" w:rsidRPr="00B41F20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poradenstva v oblasti</w:t>
                  </w:r>
                  <w:r w:rsidRPr="00B41F20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profesijnej orientácie pre žiakov ZŠ</w:t>
                  </w:r>
                </w:p>
              </w:txbxContent>
            </v:textbox>
          </v:shape>
        </w:pict>
      </w:r>
    </w:p>
    <w:p w14:paraId="4015DC59" w14:textId="5F981ABD" w:rsidR="00DD7C0B" w:rsidRDefault="00150C52">
      <w:r>
        <w:rPr>
          <w:noProof/>
          <w:lang w:eastAsia="cs-CZ"/>
        </w:rPr>
        <w:pict w14:anchorId="3F6409EB">
          <v:shape id="_x0000_s1397" type="#_x0000_t32" style="position:absolute;margin-left:698.15pt;margin-top:8.25pt;width:50.8pt;height:20.95pt;z-index:251658342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67" type="#_x0000_t202" style="position:absolute;margin-left:123.4pt;margin-top:1.55pt;width:131.55pt;height:37.15pt;z-index:251658319;visibility:visible;mso-width-relative:margin;mso-height-relative:margin">
            <v:textbox style="mso-next-textbox:#_x0000_s1367">
              <w:txbxContent>
                <w:p w14:paraId="2E81BDED" w14:textId="654E3C25" w:rsidR="000860BA" w:rsidRPr="000860BA" w:rsidRDefault="00A44CA4" w:rsidP="000860BA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Programy inovačné kontinuálneho vzdelávania pre prácu s talentami </w:t>
                  </w:r>
                  <w:r w:rsidR="004708C2">
                    <w:rPr>
                      <w:sz w:val="14"/>
                      <w:szCs w:val="14"/>
                      <w:lang w:val="sk-SK"/>
                    </w:rPr>
                    <w:t>(workshopy)</w:t>
                  </w:r>
                </w:p>
                <w:p w14:paraId="49D683E5" w14:textId="77777777" w:rsidR="009771CA" w:rsidRDefault="009771CA" w:rsidP="009771CA"/>
              </w:txbxContent>
            </v:textbox>
          </v:shape>
        </w:pict>
      </w:r>
      <w:r>
        <w:rPr>
          <w:noProof/>
          <w:lang w:eastAsia="cs-CZ"/>
        </w:rPr>
        <w:pict w14:anchorId="2D1B6C3A">
          <v:shape id="_x0000_s1212" type="#_x0000_t202" style="position:absolute;margin-left:748.75pt;margin-top:3.6pt;width:115pt;height:52.4pt;z-index:251658287;mso-width-relative:margin;mso-height-relative:margin" fillcolor="white [3212]">
            <v:textbox style="mso-next-textbox:#_x0000_s1212">
              <w:txbxContent>
                <w:p w14:paraId="45AFCF33" w14:textId="428D94B2" w:rsidR="00FF2CDE" w:rsidRPr="008A1160" w:rsidRDefault="008A1160" w:rsidP="008A1160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8A1160">
                    <w:rPr>
                      <w:sz w:val="14"/>
                      <w:szCs w:val="14"/>
                      <w:lang w:val="sk-SK"/>
                    </w:rPr>
                    <w:t>Základná škola podporuje profesijnú orientáciu žiakov a zvyšuje ich informovanosť o kompetenciách potrebných pre uplatnenie na trhu práce</w:t>
                  </w:r>
                  <w:r w:rsidR="00B730C8" w:rsidRPr="008A1160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56D84A9">
          <v:shape id="_x0000_s1371" type="#_x0000_t202" style="position:absolute;margin-left:276.05pt;margin-top:15.25pt;width:185.5pt;height:55.75pt;z-index:251658322;visibility:visible;mso-width-relative:margin;mso-height-relative:margin">
            <v:textbox style="mso-next-textbox:#_x0000_s1371">
              <w:txbxContent>
                <w:p w14:paraId="72A5417A" w14:textId="5E8A288E" w:rsidR="00FF36EF" w:rsidRPr="00BE17A1" w:rsidRDefault="00BE17A1" w:rsidP="00FF36EF">
                  <w:pPr>
                    <w:rPr>
                      <w:sz w:val="14"/>
                      <w:szCs w:val="14"/>
                    </w:rPr>
                  </w:pPr>
                  <w:r w:rsidRPr="00BE17A1">
                    <w:rPr>
                      <w:sz w:val="14"/>
                      <w:szCs w:val="14"/>
                      <w:lang w:val="sk-SK"/>
                    </w:rPr>
                    <w:t>Partnerstvá sú využívané pri organizácií podujatí (realizované diskusie, exkurzie do firiem, dni otvorených dverí u partnerov, SOŠ, stretnutie so zástupcami jednotlivých profesií, spolupráca pri organizácii a realizácii súťaží)</w:t>
                  </w:r>
                </w:p>
              </w:txbxContent>
            </v:textbox>
          </v:shape>
        </w:pict>
      </w:r>
      <w:r>
        <w:rPr>
          <w:noProof/>
        </w:rPr>
        <w:pict w14:anchorId="3A4CAA77">
          <v:shape id="_x0000_s1383" type="#_x0000_t32" style="position:absolute;margin-left:103.6pt;margin-top:21.25pt;width:19.4pt;height:35.5pt;flip:y;z-index:251658331" o:connectortype="straight">
            <v:stroke endarrow="block"/>
          </v:shape>
        </w:pict>
      </w:r>
      <w:r>
        <w:rPr>
          <w:noProof/>
          <w:lang w:eastAsia="cs-CZ"/>
        </w:rPr>
        <w:pict w14:anchorId="7C26EB8F">
          <v:shape id="_x0000_s1365" type="#_x0000_t202" style="position:absolute;margin-left:6.85pt;margin-top:20.05pt;width:96.4pt;height:1in;z-index:251658317;visibility:visible;mso-width-relative:margin;mso-height-relative:margin">
            <v:textbox style="mso-next-textbox:#_x0000_s1365">
              <w:txbxContent>
                <w:p w14:paraId="545B3606" w14:textId="77777777" w:rsidR="00AA1BB7" w:rsidRPr="00AA1BB7" w:rsidRDefault="00AA1BB7" w:rsidP="00AA1BB7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AA1BB7">
                    <w:rPr>
                      <w:bCs/>
                      <w:sz w:val="14"/>
                      <w:szCs w:val="14"/>
                      <w:lang w:val="sk-SK"/>
                    </w:rPr>
                    <w:t>Práca s talentami na ZŠ prostredníctvom realizácie a účasti na domácich a medzinárodných súťažiach v OPV v špeciálnych kategóriách spoločných tímov žiakov ZŠ a SOŠ</w:t>
                  </w:r>
                </w:p>
                <w:p w14:paraId="4A3474A6" w14:textId="77777777" w:rsidR="00AA1BB7" w:rsidRPr="003B5A69" w:rsidRDefault="00AA1BB7" w:rsidP="00AA1BB7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1CCAAE7F" w14:textId="77777777" w:rsidR="004602E1" w:rsidRPr="000154C1" w:rsidRDefault="004602E1" w:rsidP="004602E1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21B306BE" w14:textId="55895134" w:rsidR="00DD7C0B" w:rsidRDefault="00150C52">
      <w:r>
        <w:rPr>
          <w:noProof/>
          <w:lang w:eastAsia="cs-CZ"/>
        </w:rPr>
        <w:pict w14:anchorId="59C977E3">
          <v:shape id="_x0000_s1399" type="#_x0000_t32" style="position:absolute;margin-left:699.95pt;margin-top:4.35pt;width:48.8pt;height:61.65pt;flip:y;z-index:251658344" o:connectortype="straight">
            <v:stroke endarrow="block"/>
          </v:shape>
        </w:pict>
      </w:r>
      <w:r>
        <w:rPr>
          <w:noProof/>
          <w:lang w:eastAsia="cs-CZ"/>
        </w:rPr>
        <w:pict w14:anchorId="449D4A6D">
          <v:shape id="_x0000_s1448" type="#_x0000_t32" style="position:absolute;margin-left:461.85pt;margin-top:17.9pt;width:100.05pt;height:43.9pt;z-index:251681896" o:connectortype="straight">
            <v:stroke endarrow="block"/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10.9pt;margin-top:11.45pt;width:85.05pt;height:65.8pt;z-index:251658272;mso-width-relative:margin;mso-height-relative:margin" fillcolor="white [3212]">
            <v:textbox style="mso-next-textbox:#_x0000_s1225">
              <w:txbxContent>
                <w:p w14:paraId="3176745E" w14:textId="77777777" w:rsidR="00FF2CDE" w:rsidRPr="00982AB5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58721C3">
          <v:shape id="_x0000_s1368" type="#_x0000_t202" style="position:absolute;margin-left:123.5pt;margin-top:21.25pt;width:131.55pt;height:43.8pt;z-index:251658321;visibility:visible;mso-width-relative:margin;mso-height-relative:margin">
            <v:textbox style="mso-next-textbox:#_x0000_s1368">
              <w:txbxContent>
                <w:p w14:paraId="009B460E" w14:textId="4A56A283" w:rsidR="002C64D0" w:rsidRPr="002C64D0" w:rsidRDefault="002C64D0" w:rsidP="002C64D0">
                  <w:pPr>
                    <w:rPr>
                      <w:sz w:val="14"/>
                      <w:szCs w:val="14"/>
                      <w:lang w:val="sk-SK"/>
                    </w:rPr>
                  </w:pPr>
                  <w:r w:rsidRPr="002C64D0">
                    <w:rPr>
                      <w:sz w:val="14"/>
                      <w:szCs w:val="14"/>
                      <w:lang w:val="sk-SK"/>
                    </w:rPr>
                    <w:t>Vytvorená spolupráca s partnermi vo verejnom a podnikateľskom sektore (úrad práce, firmy) a SŠ</w:t>
                  </w:r>
                </w:p>
                <w:p w14:paraId="2CC5F998" w14:textId="77777777" w:rsidR="009771CA" w:rsidRPr="002C64D0" w:rsidRDefault="009771CA" w:rsidP="009771CA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54AAF6">
          <v:shape id="_x0000_s1388" type="#_x0000_t32" style="position:absolute;margin-left:254.05pt;margin-top:16.85pt;width:21.45pt;height:24.85pt;flip:y;z-index:251658336" o:connectortype="straight">
            <v:stroke endarrow="block"/>
          </v:shape>
        </w:pict>
      </w:r>
    </w:p>
    <w:p w14:paraId="6C167AA4" w14:textId="24A25093" w:rsidR="00DD7C0B" w:rsidRDefault="00150C52">
      <w:r>
        <w:rPr>
          <w:noProof/>
          <w:lang w:eastAsia="cs-CZ"/>
        </w:rPr>
        <w:pict w14:anchorId="3B75CE65">
          <v:shape id="_x0000_s1341" type="#_x0000_t202" style="position:absolute;margin-left:561.9pt;margin-top:16.25pt;width:138.05pt;height:46.85pt;z-index:251658273;visibility:visible;mso-width-relative:margin;mso-height-relative:margin">
            <v:textbox style="mso-next-textbox:#_x0000_s1341">
              <w:txbxContent>
                <w:p w14:paraId="6BB3EC3E" w14:textId="203F7D81" w:rsidR="00FF2CDE" w:rsidRPr="009865EF" w:rsidRDefault="00C334F4" w:rsidP="00572B52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Rozvoj práce s talentami na ZŠ </w:t>
                  </w:r>
                  <w:r w:rsidR="00FC303B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prispieva </w:t>
                  </w:r>
                  <w:r w:rsidR="00B670EC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k</w:t>
                  </w:r>
                  <w:r w:rsidR="00572B52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 zvyšovaniu </w:t>
                  </w:r>
                  <w:r w:rsidR="00B670EC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záujmu žiakov ZŠ </w:t>
                  </w:r>
                  <w:r w:rsidR="00996EB3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o </w:t>
                  </w:r>
                  <w:r w:rsidR="00572B52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profesijnú profiláciu v </w:t>
                  </w:r>
                  <w:r w:rsidR="00B670EC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odborných predmeto</w:t>
                  </w:r>
                  <w:r w:rsidR="00572B52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ch</w:t>
                  </w:r>
                </w:p>
              </w:txbxContent>
            </v:textbox>
          </v:shape>
        </w:pict>
      </w:r>
      <w:r>
        <w:rPr>
          <w:noProof/>
        </w:rPr>
        <w:pict w14:anchorId="7C27D637">
          <v:shape id="_x0000_s1284" type="#_x0000_t32" style="position:absolute;margin-left:103.6pt;margin-top:6.25pt;width:18.9pt;height:58.8pt;z-index:251658294" o:connectortype="straight">
            <v:stroke endarrow="block"/>
          </v:shape>
        </w:pict>
      </w:r>
      <w:r>
        <w:rPr>
          <w:noProof/>
        </w:rPr>
        <w:pict w14:anchorId="49FFA96F">
          <v:shape id="_x0000_s1382" type="#_x0000_t32" style="position:absolute;margin-left:103.6pt;margin-top:7pt;width:18.35pt;height:10.05pt;z-index:251658330" o:connectortype="straight">
            <v:stroke endarrow="block"/>
          </v:shape>
        </w:pict>
      </w:r>
    </w:p>
    <w:p w14:paraId="356BDAB1" w14:textId="69E2646C" w:rsidR="00DD7C0B" w:rsidRDefault="00150C52">
      <w:r>
        <w:rPr>
          <w:noProof/>
          <w:lang w:eastAsia="cs-CZ"/>
        </w:rPr>
        <w:pict w14:anchorId="73FE610C">
          <v:shape id="_x0000_s1390" type="#_x0000_t32" style="position:absolute;margin-left:462.4pt;margin-top:14.85pt;width:99.5pt;height:51.05pt;flip:y;z-index:251658338" o:connectortype="straight">
            <v:stroke endarrow="block"/>
          </v:shape>
        </w:pict>
      </w:r>
      <w:r>
        <w:rPr>
          <w:noProof/>
          <w:lang w:eastAsia="cs-CZ"/>
        </w:rPr>
        <w:pict w14:anchorId="19A8D810">
          <v:shape id="_x0000_s1451" type="#_x0000_t32" style="position:absolute;margin-left:862.95pt;margin-top:19.15pt;width:.05pt;height:.05pt;z-index:251683944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3pt;margin-top:23.1pt;width:131.55pt;height:31.05pt;z-index:251658251;visibility:visible;mso-width-relative:margin;mso-height-relative:margin">
            <v:textbox style="mso-next-textbox:#_x0000_s1142">
              <w:txbxContent>
                <w:p w14:paraId="6365DE9F" w14:textId="5EC000AC" w:rsidR="002A03D4" w:rsidRPr="002A03D4" w:rsidRDefault="002A03D4" w:rsidP="002A03D4">
                  <w:pPr>
                    <w:rPr>
                      <w:sz w:val="14"/>
                      <w:szCs w:val="14"/>
                      <w:lang w:val="sk-SK"/>
                    </w:rPr>
                  </w:pPr>
                  <w:r w:rsidRPr="002A03D4">
                    <w:rPr>
                      <w:sz w:val="14"/>
                      <w:szCs w:val="14"/>
                      <w:lang w:val="sk-SK"/>
                    </w:rPr>
                    <w:t xml:space="preserve">Realizované </w:t>
                  </w:r>
                  <w:r w:rsidR="00F5705D">
                    <w:rPr>
                      <w:sz w:val="14"/>
                      <w:szCs w:val="14"/>
                      <w:lang w:val="sk-SK"/>
                    </w:rPr>
                    <w:t xml:space="preserve">sústredenia a následné </w:t>
                  </w:r>
                  <w:r w:rsidRPr="002A03D4">
                    <w:rPr>
                      <w:sz w:val="14"/>
                      <w:szCs w:val="14"/>
                      <w:lang w:val="sk-SK"/>
                    </w:rPr>
                    <w:t>súťaže pre talentovaných žiakov</w:t>
                  </w:r>
                </w:p>
                <w:p w14:paraId="4A04AF81" w14:textId="77777777" w:rsidR="00FF2CDE" w:rsidRDefault="00FF2CDE"/>
              </w:txbxContent>
            </v:textbox>
          </v:shape>
        </w:pict>
      </w:r>
      <w:r>
        <w:rPr>
          <w:noProof/>
          <w:lang w:eastAsia="cs-CZ"/>
        </w:rPr>
        <w:pict w14:anchorId="39B002AA">
          <v:shape id="_x0000_s1389" type="#_x0000_t32" style="position:absolute;margin-left:461.85pt;margin-top:12.7pt;width:99.6pt;height:10.4pt;flip:y;z-index:251658337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3.8pt;margin-top:25.2pt;width:23.1pt;height:19.7pt;flip:y;z-index:251658293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Text Box 57" o:spid="_x0000_s1153" type="#_x0000_t202" style="position:absolute;margin-left:276.35pt;margin-top:6.25pt;width:185.5pt;height:36.55pt;z-index:251658243;visibility:visible;mso-width-relative:margin;mso-height-relative:margin">
            <v:textbox style="mso-next-textbox:#Text Box 57">
              <w:txbxContent>
                <w:p w14:paraId="0C5ECF2F" w14:textId="4A422B7A" w:rsidR="00A36D10" w:rsidRPr="00A36D10" w:rsidRDefault="00A36D10" w:rsidP="00A36D10">
                  <w:pPr>
                    <w:rPr>
                      <w:sz w:val="14"/>
                      <w:szCs w:val="14"/>
                      <w:lang w:val="sk-SK"/>
                    </w:rPr>
                  </w:pPr>
                  <w:r w:rsidRPr="00A36D10">
                    <w:rPr>
                      <w:sz w:val="14"/>
                      <w:szCs w:val="14"/>
                      <w:lang w:val="sk-SK"/>
                    </w:rPr>
                    <w:t>Žiaci sa zúčastnili súťaží v odborných predmetoch a</w:t>
                  </w:r>
                  <w:r w:rsidR="00697BD4">
                    <w:rPr>
                      <w:sz w:val="14"/>
                      <w:szCs w:val="14"/>
                      <w:lang w:val="sk-SK"/>
                    </w:rPr>
                    <w:t> </w:t>
                  </w:r>
                  <w:r w:rsidRPr="00A36D10">
                    <w:rPr>
                      <w:sz w:val="14"/>
                      <w:szCs w:val="14"/>
                      <w:lang w:val="sk-SK"/>
                    </w:rPr>
                    <w:t>prípravných seminárov k súťažiam</w:t>
                  </w:r>
                </w:p>
                <w:p w14:paraId="57B94F03" w14:textId="77777777" w:rsidR="00FF2CDE" w:rsidRPr="00A36D10" w:rsidRDefault="00FF2CDE" w:rsidP="00634AF8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05B18E8C" w14:textId="170E2344" w:rsidR="00DD7C0B" w:rsidRDefault="00150C52">
      <w:r>
        <w:rPr>
          <w:noProof/>
          <w:lang w:eastAsia="cs-CZ"/>
        </w:rPr>
        <w:pict w14:anchorId="1F51F332">
          <v:shape id="_x0000_s1375" type="#_x0000_t32" style="position:absolute;margin-left:253.8pt;margin-top:18.9pt;width:24.2pt;height:22.5pt;z-index:251658325" o:connectortype="straight">
            <v:stroke endarrow="block"/>
          </v:shape>
        </w:pict>
      </w:r>
    </w:p>
    <w:p w14:paraId="07B646F6" w14:textId="6EA78A76" w:rsidR="00DD7C0B" w:rsidRDefault="00150C52">
      <w:r>
        <w:rPr>
          <w:noProof/>
          <w:lang w:eastAsia="cs-CZ"/>
        </w:rPr>
        <w:pict w14:anchorId="456D84A9">
          <v:shape id="_x0000_s1372" type="#_x0000_t202" style="position:absolute;margin-left:276.9pt;margin-top:3.25pt;width:185.5pt;height:22.75pt;z-index:251658323;visibility:visible;mso-width-relative:margin;mso-height-relative:margin">
            <v:textbox style="mso-next-textbox:#_x0000_s1372">
              <w:txbxContent>
                <w:p w14:paraId="6ABBAC1E" w14:textId="77777777" w:rsidR="00F140B4" w:rsidRPr="00F140B4" w:rsidRDefault="00F140B4" w:rsidP="00F140B4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5705D">
                    <w:rPr>
                      <w:sz w:val="14"/>
                      <w:szCs w:val="14"/>
                      <w:lang w:val="sk-SK"/>
                    </w:rPr>
                    <w:t>Víťazní žiaci sa zúčastnili zahraničnej cesty do CERNU</w:t>
                  </w:r>
                </w:p>
                <w:p w14:paraId="1D6BD13E" w14:textId="77777777" w:rsidR="00046671" w:rsidRPr="00634AF8" w:rsidRDefault="00046671" w:rsidP="0004667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76CD0462" w14:textId="1488644E" w:rsidR="00DD7C0B" w:rsidRDefault="00DD7C0B"/>
    <w:p w14:paraId="6D0F9861" w14:textId="0A402F98" w:rsidR="00C44C7C" w:rsidRDefault="00C44C7C"/>
    <w:p w14:paraId="3070B861" w14:textId="49423620" w:rsidR="00B90147" w:rsidRDefault="00150C52">
      <w:r>
        <w:rPr>
          <w:noProof/>
          <w:lang w:eastAsia="cs-CZ"/>
        </w:rPr>
        <w:pict w14:anchorId="25EB7858">
          <v:roundrect id="_x0000_s1249" style="position:absolute;margin-left:521.45pt;margin-top:3pt;width:480.85pt;height:285.9pt;z-index:251658278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285.9pt;z-index:251658255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285.9pt;z-index:251658258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5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7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0CA7A676" w:rsidR="00B90147" w:rsidRDefault="00150C52"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70.6pt;z-index:251658280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062D0A98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905997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F12A05" w14:paraId="426F2A86" w14:textId="77777777" w:rsidTr="00E70A99">
                    <w:tc>
                      <w:tcPr>
                        <w:tcW w:w="534" w:type="dxa"/>
                      </w:tcPr>
                      <w:p w14:paraId="42890AE2" w14:textId="6DF923EB" w:rsidR="00F12A05" w:rsidRPr="00904F09" w:rsidRDefault="00F12A05" w:rsidP="00F12A05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5B27E3E3" w:rsidR="00F12A05" w:rsidRPr="00904F09" w:rsidRDefault="00F12A05" w:rsidP="00F12A05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07DB6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5485B942" w:rsidR="00F12A05" w:rsidRPr="00904F09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53059EBF" w:rsidR="00F12A05" w:rsidRPr="00904F09" w:rsidRDefault="00706CD4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F12A05" w14:paraId="47B145A6" w14:textId="77777777" w:rsidTr="00E70A99">
                    <w:tc>
                      <w:tcPr>
                        <w:tcW w:w="534" w:type="dxa"/>
                      </w:tcPr>
                      <w:p w14:paraId="3DBF3098" w14:textId="48CEBD86" w:rsidR="00F12A05" w:rsidRPr="00904F09" w:rsidRDefault="00F12A05" w:rsidP="00F12A05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2FD38A6B" w:rsidR="00F12A05" w:rsidRPr="00904F09" w:rsidRDefault="00F12A05" w:rsidP="00F12A05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07DB6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61268897" w:rsidR="00F12A05" w:rsidRPr="00904F09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045A3A8B" w:rsidR="00F12A05" w:rsidRPr="00904F09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500</w:t>
                        </w:r>
                      </w:p>
                    </w:tc>
                  </w:tr>
                  <w:tr w:rsidR="00F12A05" w14:paraId="70279DDF" w14:textId="77777777" w:rsidTr="00E70A99">
                    <w:tc>
                      <w:tcPr>
                        <w:tcW w:w="534" w:type="dxa"/>
                      </w:tcPr>
                      <w:p w14:paraId="76C9CF09" w14:textId="3E499978" w:rsidR="00F12A05" w:rsidRPr="00904F09" w:rsidRDefault="00F12A05" w:rsidP="00F12A05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3B09090B" w:rsidR="00F12A05" w:rsidRPr="00904F09" w:rsidRDefault="00F12A05" w:rsidP="00F12A05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07DB6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škôl zapojených do realizácie aktivít projektu využívajúceho informačno-komunikačné 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7210DBCF" w:rsidR="00F12A05" w:rsidRPr="00904F09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3C7E695D" w:rsidR="00F12A05" w:rsidRPr="00904F09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49</w:t>
                        </w:r>
                      </w:p>
                    </w:tc>
                  </w:tr>
                  <w:tr w:rsidR="00F12A05" w14:paraId="31606050" w14:textId="77777777" w:rsidTr="00E70A99">
                    <w:tc>
                      <w:tcPr>
                        <w:tcW w:w="534" w:type="dxa"/>
                      </w:tcPr>
                      <w:p w14:paraId="3AE069CD" w14:textId="289157A1" w:rsidR="00F12A05" w:rsidRPr="00904F09" w:rsidRDefault="00F12A05" w:rsidP="00F12A05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07501952" w:rsidR="00F12A05" w:rsidRPr="00904F09" w:rsidRDefault="00F12A05" w:rsidP="00F12A05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07DB6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1DD1641F" w:rsidR="00F12A05" w:rsidRPr="00904F09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184198E0" w:rsidR="00F12A05" w:rsidRPr="00904F09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1 229</w:t>
                        </w:r>
                      </w:p>
                    </w:tc>
                  </w:tr>
                  <w:tr w:rsidR="00F12A05" w14:paraId="20FCB574" w14:textId="77777777" w:rsidTr="00E70A99">
                    <w:tc>
                      <w:tcPr>
                        <w:tcW w:w="534" w:type="dxa"/>
                      </w:tcPr>
                      <w:p w14:paraId="595B9BED" w14:textId="6ADB7674" w:rsidR="00F12A05" w:rsidRDefault="00F12A05" w:rsidP="00F12A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71C42D29" w:rsidR="00F12A05" w:rsidRDefault="00F12A05" w:rsidP="00F12A05">
                        <w:pPr>
                          <w:rPr>
                            <w:sz w:val="18"/>
                            <w:szCs w:val="18"/>
                          </w:rPr>
                        </w:pPr>
                        <w:r w:rsidRPr="00007DB6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žiakov/študentov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4B9DB6ED" w:rsidR="00F12A05" w:rsidRPr="00FF2CDE" w:rsidRDefault="00706CD4" w:rsidP="00706CD4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4 960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3D1C82B7" w:rsidR="00F12A05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16 562</w:t>
                        </w:r>
                      </w:p>
                    </w:tc>
                  </w:tr>
                  <w:tr w:rsidR="00F12A05" w14:paraId="4F954052" w14:textId="77777777" w:rsidTr="00E70A99">
                    <w:tc>
                      <w:tcPr>
                        <w:tcW w:w="534" w:type="dxa"/>
                      </w:tcPr>
                      <w:p w14:paraId="19C9D68B" w14:textId="523CA1ED" w:rsidR="00F12A05" w:rsidRDefault="00F12A05" w:rsidP="00F12A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379FC0B4" w:rsidR="00F12A05" w:rsidRDefault="00F12A05" w:rsidP="00F12A05">
                        <w:pPr>
                          <w:rPr>
                            <w:sz w:val="18"/>
                            <w:szCs w:val="18"/>
                          </w:rPr>
                        </w:pPr>
                        <w:r w:rsidRPr="00D26D44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novovytvorených / inovovaných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D26D44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vzdelávacích programov využívaných po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D26D44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ukončení realizácie projekt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7C7F847A" w:rsidR="00F12A05" w:rsidRPr="00FF2CDE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7A3267AC" w:rsidR="00F12A05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F12A05" w14:paraId="56882359" w14:textId="77777777" w:rsidTr="00E70A99">
                    <w:tc>
                      <w:tcPr>
                        <w:tcW w:w="534" w:type="dxa"/>
                      </w:tcPr>
                      <w:p w14:paraId="2BD16A60" w14:textId="7B1CDE4E" w:rsidR="00F12A05" w:rsidRDefault="00F12A05" w:rsidP="00F12A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58808443" w:rsidR="00F12A05" w:rsidRDefault="00F12A05" w:rsidP="00F12A05">
                        <w:pPr>
                          <w:rPr>
                            <w:sz w:val="18"/>
                            <w:szCs w:val="18"/>
                          </w:rPr>
                        </w:pPr>
                        <w:r w:rsidRPr="00656BA8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škôl využívajúcich výsledky projektu po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656BA8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3C49DE67" w:rsidR="00F12A05" w:rsidRPr="00FF2CDE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9A127FF" w14:textId="37ACBC60" w:rsidR="00F12A05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</w:tr>
                  <w:tr w:rsidR="00F12A05" w14:paraId="5B747513" w14:textId="77777777" w:rsidTr="00E70A99">
                    <w:tc>
                      <w:tcPr>
                        <w:tcW w:w="534" w:type="dxa"/>
                      </w:tcPr>
                      <w:p w14:paraId="3FC0F2A3" w14:textId="1D89550B" w:rsidR="00F12A05" w:rsidRDefault="00F12A05" w:rsidP="00F12A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03DA4364" w:rsidR="00F12A05" w:rsidRDefault="00F12A05" w:rsidP="00F12A05">
                        <w:pPr>
                          <w:rPr>
                            <w:sz w:val="18"/>
                            <w:szCs w:val="18"/>
                          </w:rPr>
                        </w:pPr>
                        <w:r w:rsidRPr="00AF61FA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Počet zamestnancov úspešne absolvujúcich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AF61FA"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>vzdelávací program</w:t>
                        </w:r>
                        <w:r>
                          <w:rPr>
                            <w:bCs/>
                            <w:sz w:val="18"/>
                            <w:szCs w:val="18"/>
                            <w:lang w:val="sk-SK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34670DD6" w:rsidR="00F12A05" w:rsidRPr="00FF2CDE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B6C0E7B" w14:textId="001BA943" w:rsidR="00F12A05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30.9pt;z-index:251658257;visibility:visible;mso-width-relative:margin;mso-height-relative:margin">
            <v:textbox style="mso-next-textbox:#Text Box 71">
              <w:txbxContent>
                <w:p w14:paraId="6453C968" w14:textId="727B2040" w:rsidR="00FF2CDE" w:rsidRDefault="00FF2CDE" w:rsidP="005B511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5B511C"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004D5642" w14:textId="77777777" w:rsidR="00255C64" w:rsidRPr="005B511C" w:rsidRDefault="00255C64" w:rsidP="005B511C">
                  <w:pPr>
                    <w:spacing w:after="0" w:line="240" w:lineRule="auto"/>
                    <w:rPr>
                      <w:rFonts w:ascii="Calibri (Základný)" w:hAnsi="Calibri (Základný)" w:cs="Calibri"/>
                      <w:bCs/>
                      <w:sz w:val="18"/>
                      <w:szCs w:val="18"/>
                      <w:lang w:val="sk-SK"/>
                    </w:rPr>
                  </w:pPr>
                  <w:r w:rsidRPr="005B511C">
                    <w:rPr>
                      <w:rFonts w:ascii="Calibri (Základný)" w:hAnsi="Calibri (Základný)" w:cs="Calibri"/>
                      <w:bCs/>
                      <w:sz w:val="18"/>
                      <w:szCs w:val="18"/>
                      <w:lang w:val="sk-SK"/>
                    </w:rPr>
                    <w:t>19 922 846,31 EUR</w:t>
                  </w:r>
                </w:p>
                <w:p w14:paraId="0A5D78EF" w14:textId="77777777" w:rsidR="004255A6" w:rsidRPr="005B511C" w:rsidRDefault="004255A6" w:rsidP="005B511C">
                  <w:pPr>
                    <w:spacing w:after="0" w:line="240" w:lineRule="auto"/>
                    <w:rPr>
                      <w:rFonts w:ascii="Calibri (Základný)" w:hAnsi="Calibri (Základný)" w:cs="Calibri"/>
                      <w:bCs/>
                      <w:sz w:val="18"/>
                      <w:szCs w:val="18"/>
                      <w:lang w:val="sk-SK"/>
                    </w:rPr>
                  </w:pPr>
                </w:p>
                <w:p w14:paraId="7D095CE4" w14:textId="6E9F85C5" w:rsidR="00432A91" w:rsidRDefault="00DD7C0B" w:rsidP="005B511C">
                  <w:pPr>
                    <w:spacing w:after="0" w:line="240" w:lineRule="auto"/>
                    <w:rPr>
                      <w:rFonts w:ascii="Calibri (Základný)" w:hAnsi="Calibri (Základný)" w:cs="Calibri"/>
                      <w:bCs/>
                      <w:sz w:val="18"/>
                      <w:szCs w:val="18"/>
                      <w:lang w:val="sk-SK"/>
                    </w:rPr>
                  </w:pPr>
                  <w:r w:rsidRPr="005B511C">
                    <w:rPr>
                      <w:rFonts w:ascii="Calibri (Základný)" w:hAnsi="Calibri (Základný)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  <w:r w:rsidR="00432A91" w:rsidRPr="005B511C">
                    <w:rPr>
                      <w:rFonts w:ascii="Calibri (Základný)" w:hAnsi="Calibri (Základný)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    </w:t>
                  </w:r>
                  <w:r w:rsidR="00432A91" w:rsidRPr="005B511C">
                    <w:rPr>
                      <w:rFonts w:ascii="Calibri (Základný)" w:hAnsi="Calibri (Základný)" w:cs="Calibri"/>
                      <w:bCs/>
                      <w:sz w:val="18"/>
                      <w:szCs w:val="18"/>
                      <w:lang w:val="sk-SK"/>
                    </w:rPr>
                    <w:t>15 950 121,53 (80,49 %)</w:t>
                  </w:r>
                </w:p>
                <w:p w14:paraId="1A8C2689" w14:textId="6E4AE0FC" w:rsidR="00BA04FD" w:rsidRPr="005B511C" w:rsidRDefault="003550A3" w:rsidP="005B511C">
                  <w:pPr>
                    <w:spacing w:after="0" w:line="240" w:lineRule="auto"/>
                    <w:rPr>
                      <w:rFonts w:ascii="Calibri (Základný)" w:hAnsi="Calibri (Základný)" w:cs="Calibri"/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rFonts w:ascii="Calibri (Základný)" w:hAnsi="Calibri (Základný)" w:cs="Calibri"/>
                      <w:bCs/>
                      <w:sz w:val="18"/>
                      <w:szCs w:val="18"/>
                      <w:lang w:val="sk-SK"/>
                    </w:rPr>
                    <w:t>podľa NMS</w:t>
                  </w:r>
                </w:p>
                <w:p w14:paraId="23E826D6" w14:textId="356A337D" w:rsidR="00FF2CDE" w:rsidRPr="005B511C" w:rsidRDefault="00FF2CDE" w:rsidP="005B511C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5B511C"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  <w:r w:rsidR="004255A6" w:rsidRPr="005B511C"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            </w:t>
                  </w:r>
                  <w:r w:rsidR="004255A6" w:rsidRPr="005B511C">
                    <w:rPr>
                      <w:rFonts w:ascii="Calibri (Základný)" w:hAnsi="Calibri (Základný)" w:cs="Calibri"/>
                      <w:color w:val="000000"/>
                      <w:sz w:val="18"/>
                      <w:szCs w:val="18"/>
                    </w:rPr>
                    <w:t>04/2013 – 12/2015</w:t>
                  </w:r>
                </w:p>
                <w:p w14:paraId="1C26B04B" w14:textId="77777777" w:rsidR="00FF2CDE" w:rsidRPr="005B511C" w:rsidRDefault="00FF2CDE" w:rsidP="00952F6F">
                  <w:pPr>
                    <w:rPr>
                      <w:rFonts w:ascii="Calibri (Základný)" w:hAnsi="Calibri (Základný)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C9C5429">
          <v:shape id="Textové pole 2" o:spid="_x0000_s1322" type="#_x0000_t202" style="position:absolute;margin-left:151.8pt;margin-top:10.95pt;width:347.3pt;height:75.35pt;z-index:25165831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585F024" w14:textId="310D8224" w:rsidR="00DE182F" w:rsidRDefault="00DE182F" w:rsidP="00F1011F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sz w:val="18"/>
                      <w:szCs w:val="18"/>
                      <w:lang w:val="sk-SK"/>
                    </w:rPr>
                    <w:t>Inovované odborné učebné texty pripravujúce žiakov pre trh práce</w:t>
                  </w:r>
                </w:p>
                <w:p w14:paraId="6E467FCF" w14:textId="4900BC9D" w:rsidR="00DE182F" w:rsidRDefault="00DE182F" w:rsidP="00F1011F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sz w:val="18"/>
                      <w:szCs w:val="18"/>
                      <w:lang w:val="sk-SK"/>
                    </w:rPr>
                    <w:t>Inovatívne metódy práce pre všetky formy pedagogickej praxe</w:t>
                  </w:r>
                </w:p>
                <w:p w14:paraId="3C50B232" w14:textId="548A1D81" w:rsidR="00DE182F" w:rsidRPr="00DE182F" w:rsidRDefault="00DE182F" w:rsidP="00F1011F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sz w:val="18"/>
                      <w:szCs w:val="18"/>
                      <w:lang w:val="sk-SK"/>
                    </w:rPr>
                    <w:t>Inovované učebné materiály a pomôcky pre výučbu rozvíjajúce kľúčové kompetencie žiakov</w:t>
                  </w:r>
                </w:p>
                <w:p w14:paraId="6F73906A" w14:textId="26990A0C" w:rsidR="00DE182F" w:rsidRPr="00DE182F" w:rsidRDefault="00DE182F" w:rsidP="00F1011F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sz w:val="18"/>
                      <w:szCs w:val="18"/>
                      <w:lang w:val="sk-SK"/>
                    </w:rPr>
                    <w:t>Nové a efektívne metódy poradenstva o povolaniach a zamestnaniach</w:t>
                  </w:r>
                </w:p>
                <w:p w14:paraId="4FC5FCDE" w14:textId="09A5372C" w:rsidR="007B5509" w:rsidRPr="00F22219" w:rsidRDefault="007B5509" w:rsidP="00F1011F">
                  <w:pPr>
                    <w:pStyle w:val="Odsekzoznamu"/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150C52">
      <w:r>
        <w:rPr>
          <w:noProof/>
          <w:lang w:eastAsia="cs-CZ"/>
        </w:rPr>
        <w:pict w14:anchorId="3D094028">
          <v:shape id="_x0000_s1274" type="#_x0000_t202" style="position:absolute;margin-left:159.45pt;margin-top:15.2pt;width:324.7pt;height:21.35pt;z-index:25165828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150C52">
      <w:r>
        <w:rPr>
          <w:noProof/>
          <w:lang w:eastAsia="cs-CZ"/>
        </w:rPr>
        <w:pict w14:anchorId="4C9C5429">
          <v:shape id="_x0000_s1323" type="#_x0000_t202" style="position:absolute;margin-left:151.15pt;margin-top:13.75pt;width:347.3pt;height:137.45pt;z-index:251658311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7B0680D2" w14:textId="522BF414" w:rsidR="003039B4" w:rsidRPr="00DE182F" w:rsidRDefault="003039B4" w:rsidP="003039B4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jc w:val="both"/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 xml:space="preserve">Plánovaný </w:t>
                  </w:r>
                  <w:r w:rsidR="004F5DAE"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národný projekt</w:t>
                  </w:r>
                  <w:r w:rsidR="00446842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(č.10</w:t>
                  </w:r>
                  <w:r w:rsidR="001D3763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(</w:t>
                  </w:r>
                  <w:r w:rsidR="00E821F9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opatrenie </w:t>
                  </w:r>
                  <w:r w:rsidR="001D3763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>1.1), č. 28 (</w:t>
                  </w:r>
                  <w:r w:rsidR="00E821F9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opatrenie </w:t>
                  </w:r>
                  <w:r w:rsidR="001D3763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>4.1)</w:t>
                  </w:r>
                  <w:r w:rsidR="00446842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>)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-</w:t>
                  </w:r>
                  <w:r w:rsidR="00446842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P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odpora polytechnickej  výchovy  </w:t>
                  </w:r>
                  <w:r w:rsidR="00446842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>na základných školách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4388E802" w14:textId="77777777" w:rsidR="003039B4" w:rsidRPr="00DE182F" w:rsidRDefault="003039B4" w:rsidP="003039B4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Vytvorenie inovovaného ŠVP v roku 2015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zvyšujúci dotáciu vyučovacích hodín v RUP pre predmety fyzika, chémia a biológia na 2. stupni ZŠ</w:t>
                  </w:r>
                </w:p>
                <w:p w14:paraId="763967F8" w14:textId="77C72D21" w:rsidR="003039B4" w:rsidRPr="00DE182F" w:rsidRDefault="003039B4" w:rsidP="003039B4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 xml:space="preserve">Nástroj </w:t>
                  </w:r>
                  <w:proofErr w:type="spellStart"/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PROFsmeZŠ</w:t>
                  </w:r>
                  <w:proofErr w:type="spellEnd"/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– zoznam predpokladov potrebných pre trh práce,  profily  povolaní, aktivity  súvisiace  s profesijným  smerovaním  žiakov  </w:t>
                  </w:r>
                </w:p>
                <w:p w14:paraId="7A88037D" w14:textId="10A6E63F" w:rsidR="003039B4" w:rsidRPr="00DE182F" w:rsidRDefault="003039B4" w:rsidP="003039B4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Dokument  Európa  2020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 obsahuje  výzvu  na  posilnenie prierezových prístupov (</w:t>
                  </w:r>
                  <w:proofErr w:type="spellStart"/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>cross</w:t>
                  </w:r>
                  <w:proofErr w:type="spellEnd"/>
                  <w:r w:rsidR="00DE182F"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>-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curriculum), ako novej úlohy vo vzdelávaní. Školské kurikulum a vzdelávacie stratégie majú umožniť žiakom rozvíjať vlastné kompetencie učiť sa v meniacom sa prostredí, posilniť nezávislosť, autonómiu a zodpovednosť žiakov za učenie. </w:t>
                  </w:r>
                </w:p>
                <w:p w14:paraId="323A7309" w14:textId="55BE4F6E" w:rsidR="00751DFF" w:rsidRPr="003039B4" w:rsidRDefault="00751DFF" w:rsidP="003039B4">
                  <w:pPr>
                    <w:pStyle w:val="Odsekzoznamu"/>
                    <w:tabs>
                      <w:tab w:val="left" w:pos="7512"/>
                    </w:tabs>
                    <w:rPr>
                      <w:sz w:val="16"/>
                      <w:szCs w:val="16"/>
                      <w:lang w:val="sk-SK"/>
                    </w:rPr>
                  </w:pPr>
                </w:p>
                <w:p w14:paraId="0C9A9032" w14:textId="28F9B1B5" w:rsidR="007B5509" w:rsidRPr="003039B4" w:rsidRDefault="007B5509" w:rsidP="007B5509">
                  <w:p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48C84710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52D16E8F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301F7371" w:rsidR="005C11A0" w:rsidRDefault="005C11A0"/>
    <w:p w14:paraId="1871EA4F" w14:textId="0C3053F3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44FC3F75" w14:textId="77777777" w:rsidR="005C11A0" w:rsidRDefault="005C11A0">
      <w:bookmarkStart w:id="0" w:name="_GoBack"/>
      <w:bookmarkEnd w:id="0"/>
    </w:p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(Základný)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05878"/>
    <w:multiLevelType w:val="hybridMultilevel"/>
    <w:tmpl w:val="78A6D50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1E72"/>
    <w:rsid w:val="00007D8F"/>
    <w:rsid w:val="000125A8"/>
    <w:rsid w:val="000154C1"/>
    <w:rsid w:val="000315FB"/>
    <w:rsid w:val="00040DB8"/>
    <w:rsid w:val="00045590"/>
    <w:rsid w:val="00046671"/>
    <w:rsid w:val="000473FC"/>
    <w:rsid w:val="00051DEF"/>
    <w:rsid w:val="000561C9"/>
    <w:rsid w:val="00062889"/>
    <w:rsid w:val="0006654F"/>
    <w:rsid w:val="000721E9"/>
    <w:rsid w:val="000746DD"/>
    <w:rsid w:val="000767C8"/>
    <w:rsid w:val="00077CCA"/>
    <w:rsid w:val="00077DAD"/>
    <w:rsid w:val="0008015C"/>
    <w:rsid w:val="000860BA"/>
    <w:rsid w:val="000A6C02"/>
    <w:rsid w:val="000B1064"/>
    <w:rsid w:val="000B71D0"/>
    <w:rsid w:val="000C5F4E"/>
    <w:rsid w:val="000E110D"/>
    <w:rsid w:val="000E300B"/>
    <w:rsid w:val="000E6408"/>
    <w:rsid w:val="000F1F9E"/>
    <w:rsid w:val="000F273F"/>
    <w:rsid w:val="001126BB"/>
    <w:rsid w:val="00121304"/>
    <w:rsid w:val="00130A25"/>
    <w:rsid w:val="00133BFB"/>
    <w:rsid w:val="00137027"/>
    <w:rsid w:val="001375BE"/>
    <w:rsid w:val="001456EC"/>
    <w:rsid w:val="00150162"/>
    <w:rsid w:val="00150C52"/>
    <w:rsid w:val="001529EB"/>
    <w:rsid w:val="00155556"/>
    <w:rsid w:val="00165D28"/>
    <w:rsid w:val="001675C4"/>
    <w:rsid w:val="001745F6"/>
    <w:rsid w:val="001824B8"/>
    <w:rsid w:val="00185B79"/>
    <w:rsid w:val="0019117C"/>
    <w:rsid w:val="001A0E51"/>
    <w:rsid w:val="001B4862"/>
    <w:rsid w:val="001C2A33"/>
    <w:rsid w:val="001C49F4"/>
    <w:rsid w:val="001D132E"/>
    <w:rsid w:val="001D3550"/>
    <w:rsid w:val="001D3763"/>
    <w:rsid w:val="001E43E3"/>
    <w:rsid w:val="001F1C13"/>
    <w:rsid w:val="001F3F69"/>
    <w:rsid w:val="001F4C1A"/>
    <w:rsid w:val="001F7279"/>
    <w:rsid w:val="00217A80"/>
    <w:rsid w:val="00221855"/>
    <w:rsid w:val="002226C7"/>
    <w:rsid w:val="00231123"/>
    <w:rsid w:val="0023220D"/>
    <w:rsid w:val="00240C00"/>
    <w:rsid w:val="0024335C"/>
    <w:rsid w:val="00246D8F"/>
    <w:rsid w:val="00255C64"/>
    <w:rsid w:val="00261FA4"/>
    <w:rsid w:val="0026378D"/>
    <w:rsid w:val="00265928"/>
    <w:rsid w:val="002761D0"/>
    <w:rsid w:val="0028505A"/>
    <w:rsid w:val="00291D74"/>
    <w:rsid w:val="002A03D4"/>
    <w:rsid w:val="002A1BE3"/>
    <w:rsid w:val="002A6E83"/>
    <w:rsid w:val="002B09E6"/>
    <w:rsid w:val="002C13B6"/>
    <w:rsid w:val="002C2330"/>
    <w:rsid w:val="002C2ECE"/>
    <w:rsid w:val="002C64D0"/>
    <w:rsid w:val="002D2763"/>
    <w:rsid w:val="002D2D3A"/>
    <w:rsid w:val="002E3447"/>
    <w:rsid w:val="002F5CAE"/>
    <w:rsid w:val="00300033"/>
    <w:rsid w:val="00300D1F"/>
    <w:rsid w:val="003039B4"/>
    <w:rsid w:val="003121DA"/>
    <w:rsid w:val="00312820"/>
    <w:rsid w:val="00313912"/>
    <w:rsid w:val="0031518A"/>
    <w:rsid w:val="003200F5"/>
    <w:rsid w:val="003403F7"/>
    <w:rsid w:val="0034249E"/>
    <w:rsid w:val="003424F3"/>
    <w:rsid w:val="003447C9"/>
    <w:rsid w:val="00354F06"/>
    <w:rsid w:val="003550A3"/>
    <w:rsid w:val="003602F2"/>
    <w:rsid w:val="0036771B"/>
    <w:rsid w:val="003733BE"/>
    <w:rsid w:val="0037367B"/>
    <w:rsid w:val="003859F3"/>
    <w:rsid w:val="0039208B"/>
    <w:rsid w:val="00393FDB"/>
    <w:rsid w:val="003949F9"/>
    <w:rsid w:val="003B4450"/>
    <w:rsid w:val="003C3DC7"/>
    <w:rsid w:val="003C5B84"/>
    <w:rsid w:val="003C6084"/>
    <w:rsid w:val="003D01DC"/>
    <w:rsid w:val="003D15DD"/>
    <w:rsid w:val="003D7161"/>
    <w:rsid w:val="003E1A66"/>
    <w:rsid w:val="003F3D3B"/>
    <w:rsid w:val="00414C58"/>
    <w:rsid w:val="00420B01"/>
    <w:rsid w:val="00420CAD"/>
    <w:rsid w:val="00423488"/>
    <w:rsid w:val="004255A6"/>
    <w:rsid w:val="00426164"/>
    <w:rsid w:val="00426C47"/>
    <w:rsid w:val="00430024"/>
    <w:rsid w:val="00432A91"/>
    <w:rsid w:val="00437BB5"/>
    <w:rsid w:val="00443F4C"/>
    <w:rsid w:val="004451CB"/>
    <w:rsid w:val="00446842"/>
    <w:rsid w:val="0044765F"/>
    <w:rsid w:val="00454840"/>
    <w:rsid w:val="004602E1"/>
    <w:rsid w:val="00466058"/>
    <w:rsid w:val="004708C2"/>
    <w:rsid w:val="00482823"/>
    <w:rsid w:val="004858FA"/>
    <w:rsid w:val="00496F23"/>
    <w:rsid w:val="0049707A"/>
    <w:rsid w:val="00497AA0"/>
    <w:rsid w:val="004A1957"/>
    <w:rsid w:val="004A4E78"/>
    <w:rsid w:val="004B1544"/>
    <w:rsid w:val="004B259E"/>
    <w:rsid w:val="004C2283"/>
    <w:rsid w:val="004C741A"/>
    <w:rsid w:val="004E1ACD"/>
    <w:rsid w:val="004E5EF6"/>
    <w:rsid w:val="004E617D"/>
    <w:rsid w:val="004F0E0D"/>
    <w:rsid w:val="004F5DAE"/>
    <w:rsid w:val="0050393C"/>
    <w:rsid w:val="00506AC2"/>
    <w:rsid w:val="00515E75"/>
    <w:rsid w:val="005227F0"/>
    <w:rsid w:val="00523592"/>
    <w:rsid w:val="00534187"/>
    <w:rsid w:val="00537ADB"/>
    <w:rsid w:val="005412F8"/>
    <w:rsid w:val="00560003"/>
    <w:rsid w:val="0056536F"/>
    <w:rsid w:val="00572B52"/>
    <w:rsid w:val="00577F83"/>
    <w:rsid w:val="00594066"/>
    <w:rsid w:val="00594187"/>
    <w:rsid w:val="00596DEC"/>
    <w:rsid w:val="005A0048"/>
    <w:rsid w:val="005A556B"/>
    <w:rsid w:val="005B0982"/>
    <w:rsid w:val="005B511C"/>
    <w:rsid w:val="005B5CD3"/>
    <w:rsid w:val="005B7805"/>
    <w:rsid w:val="005C11A0"/>
    <w:rsid w:val="005C3D1B"/>
    <w:rsid w:val="005C6350"/>
    <w:rsid w:val="005D7FBF"/>
    <w:rsid w:val="005E116B"/>
    <w:rsid w:val="005E6C30"/>
    <w:rsid w:val="005F04D7"/>
    <w:rsid w:val="005F067C"/>
    <w:rsid w:val="005F3259"/>
    <w:rsid w:val="005F35EC"/>
    <w:rsid w:val="00610EBD"/>
    <w:rsid w:val="00611FA8"/>
    <w:rsid w:val="00615FD4"/>
    <w:rsid w:val="00623260"/>
    <w:rsid w:val="006349F9"/>
    <w:rsid w:val="00634AF8"/>
    <w:rsid w:val="006534C9"/>
    <w:rsid w:val="006651B7"/>
    <w:rsid w:val="00670111"/>
    <w:rsid w:val="00671A00"/>
    <w:rsid w:val="00683626"/>
    <w:rsid w:val="00697BD4"/>
    <w:rsid w:val="006A5836"/>
    <w:rsid w:val="006A5A09"/>
    <w:rsid w:val="006B069E"/>
    <w:rsid w:val="006C16A7"/>
    <w:rsid w:val="006C26CE"/>
    <w:rsid w:val="006C3CC1"/>
    <w:rsid w:val="006D202E"/>
    <w:rsid w:val="006D2462"/>
    <w:rsid w:val="006E3A92"/>
    <w:rsid w:val="006E746C"/>
    <w:rsid w:val="00706CD4"/>
    <w:rsid w:val="007119E9"/>
    <w:rsid w:val="00711F6E"/>
    <w:rsid w:val="00714094"/>
    <w:rsid w:val="007236B3"/>
    <w:rsid w:val="00724A93"/>
    <w:rsid w:val="00750CF3"/>
    <w:rsid w:val="00751DFF"/>
    <w:rsid w:val="00755123"/>
    <w:rsid w:val="007575A1"/>
    <w:rsid w:val="00764471"/>
    <w:rsid w:val="00764DAC"/>
    <w:rsid w:val="00764E64"/>
    <w:rsid w:val="00773360"/>
    <w:rsid w:val="00776042"/>
    <w:rsid w:val="00777CD5"/>
    <w:rsid w:val="007867F0"/>
    <w:rsid w:val="0079351D"/>
    <w:rsid w:val="007979C4"/>
    <w:rsid w:val="007A3A83"/>
    <w:rsid w:val="007B279D"/>
    <w:rsid w:val="007B5509"/>
    <w:rsid w:val="007C1291"/>
    <w:rsid w:val="007C1735"/>
    <w:rsid w:val="007C28C2"/>
    <w:rsid w:val="007C3B67"/>
    <w:rsid w:val="007C7F80"/>
    <w:rsid w:val="007D1D05"/>
    <w:rsid w:val="007E0966"/>
    <w:rsid w:val="007E10FD"/>
    <w:rsid w:val="007E5C9F"/>
    <w:rsid w:val="007E7A18"/>
    <w:rsid w:val="0080082F"/>
    <w:rsid w:val="008037D8"/>
    <w:rsid w:val="008110C3"/>
    <w:rsid w:val="00815D12"/>
    <w:rsid w:val="0083755C"/>
    <w:rsid w:val="008441B4"/>
    <w:rsid w:val="00844D7A"/>
    <w:rsid w:val="00844D89"/>
    <w:rsid w:val="00867AC0"/>
    <w:rsid w:val="008738B1"/>
    <w:rsid w:val="0087623F"/>
    <w:rsid w:val="00877528"/>
    <w:rsid w:val="00882C49"/>
    <w:rsid w:val="00883938"/>
    <w:rsid w:val="0088544D"/>
    <w:rsid w:val="008A1160"/>
    <w:rsid w:val="008A7037"/>
    <w:rsid w:val="008B082E"/>
    <w:rsid w:val="008B170F"/>
    <w:rsid w:val="008B70D5"/>
    <w:rsid w:val="008C0162"/>
    <w:rsid w:val="008C4F50"/>
    <w:rsid w:val="008D1061"/>
    <w:rsid w:val="008D44DC"/>
    <w:rsid w:val="008E0610"/>
    <w:rsid w:val="008E200D"/>
    <w:rsid w:val="008E4CA8"/>
    <w:rsid w:val="008F43E4"/>
    <w:rsid w:val="00904F09"/>
    <w:rsid w:val="00905410"/>
    <w:rsid w:val="00905537"/>
    <w:rsid w:val="00905997"/>
    <w:rsid w:val="00942ECE"/>
    <w:rsid w:val="00945BAE"/>
    <w:rsid w:val="00952F6F"/>
    <w:rsid w:val="009604C2"/>
    <w:rsid w:val="00961260"/>
    <w:rsid w:val="009705A6"/>
    <w:rsid w:val="009771CA"/>
    <w:rsid w:val="00977AB1"/>
    <w:rsid w:val="00984C51"/>
    <w:rsid w:val="009865EF"/>
    <w:rsid w:val="00993975"/>
    <w:rsid w:val="00996EB3"/>
    <w:rsid w:val="009A06F7"/>
    <w:rsid w:val="009A3B2A"/>
    <w:rsid w:val="009A7A04"/>
    <w:rsid w:val="009C2778"/>
    <w:rsid w:val="009C2901"/>
    <w:rsid w:val="009C4DB1"/>
    <w:rsid w:val="009C4F0F"/>
    <w:rsid w:val="009C7136"/>
    <w:rsid w:val="009D4205"/>
    <w:rsid w:val="009E193B"/>
    <w:rsid w:val="009E53E2"/>
    <w:rsid w:val="009E656A"/>
    <w:rsid w:val="009F20A9"/>
    <w:rsid w:val="00A02FC1"/>
    <w:rsid w:val="00A07858"/>
    <w:rsid w:val="00A07BE4"/>
    <w:rsid w:val="00A26E33"/>
    <w:rsid w:val="00A302A7"/>
    <w:rsid w:val="00A316B8"/>
    <w:rsid w:val="00A362E5"/>
    <w:rsid w:val="00A36D10"/>
    <w:rsid w:val="00A37196"/>
    <w:rsid w:val="00A44CA4"/>
    <w:rsid w:val="00A57E97"/>
    <w:rsid w:val="00A64937"/>
    <w:rsid w:val="00A72573"/>
    <w:rsid w:val="00A72653"/>
    <w:rsid w:val="00A77C95"/>
    <w:rsid w:val="00A852DF"/>
    <w:rsid w:val="00A92468"/>
    <w:rsid w:val="00A95A1A"/>
    <w:rsid w:val="00A95D10"/>
    <w:rsid w:val="00A97DB5"/>
    <w:rsid w:val="00AA1BB7"/>
    <w:rsid w:val="00AA4ED6"/>
    <w:rsid w:val="00AA4FD2"/>
    <w:rsid w:val="00AC3A38"/>
    <w:rsid w:val="00AC4F7A"/>
    <w:rsid w:val="00AC5CC7"/>
    <w:rsid w:val="00AD2036"/>
    <w:rsid w:val="00AE0C3F"/>
    <w:rsid w:val="00AE18F1"/>
    <w:rsid w:val="00AE4C53"/>
    <w:rsid w:val="00B02C79"/>
    <w:rsid w:val="00B048AA"/>
    <w:rsid w:val="00B13F9B"/>
    <w:rsid w:val="00B203C3"/>
    <w:rsid w:val="00B2122C"/>
    <w:rsid w:val="00B24282"/>
    <w:rsid w:val="00B41F20"/>
    <w:rsid w:val="00B51760"/>
    <w:rsid w:val="00B534C8"/>
    <w:rsid w:val="00B670EC"/>
    <w:rsid w:val="00B721DC"/>
    <w:rsid w:val="00B730C8"/>
    <w:rsid w:val="00B81A52"/>
    <w:rsid w:val="00B87C18"/>
    <w:rsid w:val="00B90147"/>
    <w:rsid w:val="00BA04FD"/>
    <w:rsid w:val="00BB13A5"/>
    <w:rsid w:val="00BB1C01"/>
    <w:rsid w:val="00BD17CF"/>
    <w:rsid w:val="00BD2879"/>
    <w:rsid w:val="00BD3244"/>
    <w:rsid w:val="00BE17A1"/>
    <w:rsid w:val="00BF386A"/>
    <w:rsid w:val="00BF60D0"/>
    <w:rsid w:val="00C04AF2"/>
    <w:rsid w:val="00C0793A"/>
    <w:rsid w:val="00C15683"/>
    <w:rsid w:val="00C2153F"/>
    <w:rsid w:val="00C243F9"/>
    <w:rsid w:val="00C249E1"/>
    <w:rsid w:val="00C334F4"/>
    <w:rsid w:val="00C3709B"/>
    <w:rsid w:val="00C44A13"/>
    <w:rsid w:val="00C44C7C"/>
    <w:rsid w:val="00C53860"/>
    <w:rsid w:val="00C75FCA"/>
    <w:rsid w:val="00C84075"/>
    <w:rsid w:val="00C853D8"/>
    <w:rsid w:val="00C92DA7"/>
    <w:rsid w:val="00C97C10"/>
    <w:rsid w:val="00CA0306"/>
    <w:rsid w:val="00CA5A58"/>
    <w:rsid w:val="00CA6DD9"/>
    <w:rsid w:val="00CB0652"/>
    <w:rsid w:val="00CB471D"/>
    <w:rsid w:val="00CC5D43"/>
    <w:rsid w:val="00CD6527"/>
    <w:rsid w:val="00CD680A"/>
    <w:rsid w:val="00CD770E"/>
    <w:rsid w:val="00CE3D8A"/>
    <w:rsid w:val="00CE3E12"/>
    <w:rsid w:val="00CE6D72"/>
    <w:rsid w:val="00CE760A"/>
    <w:rsid w:val="00CF5DA5"/>
    <w:rsid w:val="00CF7234"/>
    <w:rsid w:val="00D406C5"/>
    <w:rsid w:val="00D55511"/>
    <w:rsid w:val="00D61103"/>
    <w:rsid w:val="00D61FF7"/>
    <w:rsid w:val="00D70344"/>
    <w:rsid w:val="00D72A43"/>
    <w:rsid w:val="00D77605"/>
    <w:rsid w:val="00D92DAA"/>
    <w:rsid w:val="00D93495"/>
    <w:rsid w:val="00D97B13"/>
    <w:rsid w:val="00DA35ED"/>
    <w:rsid w:val="00DB1AA8"/>
    <w:rsid w:val="00DB1D73"/>
    <w:rsid w:val="00DB4998"/>
    <w:rsid w:val="00DC439A"/>
    <w:rsid w:val="00DC62A2"/>
    <w:rsid w:val="00DD09D3"/>
    <w:rsid w:val="00DD7C0B"/>
    <w:rsid w:val="00DE182F"/>
    <w:rsid w:val="00DE1EB6"/>
    <w:rsid w:val="00DE40BF"/>
    <w:rsid w:val="00DE4CFD"/>
    <w:rsid w:val="00DF7DC0"/>
    <w:rsid w:val="00E06392"/>
    <w:rsid w:val="00E21AC6"/>
    <w:rsid w:val="00E23DAF"/>
    <w:rsid w:val="00E32F73"/>
    <w:rsid w:val="00E70A99"/>
    <w:rsid w:val="00E77179"/>
    <w:rsid w:val="00E77DBC"/>
    <w:rsid w:val="00E80138"/>
    <w:rsid w:val="00E80301"/>
    <w:rsid w:val="00E821F9"/>
    <w:rsid w:val="00E822F7"/>
    <w:rsid w:val="00E90A09"/>
    <w:rsid w:val="00E95DD2"/>
    <w:rsid w:val="00EA5380"/>
    <w:rsid w:val="00EA6B96"/>
    <w:rsid w:val="00EB10A8"/>
    <w:rsid w:val="00EC5A04"/>
    <w:rsid w:val="00ED1133"/>
    <w:rsid w:val="00ED72C1"/>
    <w:rsid w:val="00EF1482"/>
    <w:rsid w:val="00F05E16"/>
    <w:rsid w:val="00F1011F"/>
    <w:rsid w:val="00F107E7"/>
    <w:rsid w:val="00F12A05"/>
    <w:rsid w:val="00F140B4"/>
    <w:rsid w:val="00F14268"/>
    <w:rsid w:val="00F15C17"/>
    <w:rsid w:val="00F22219"/>
    <w:rsid w:val="00F25EF6"/>
    <w:rsid w:val="00F26077"/>
    <w:rsid w:val="00F40621"/>
    <w:rsid w:val="00F40A55"/>
    <w:rsid w:val="00F473B8"/>
    <w:rsid w:val="00F5705D"/>
    <w:rsid w:val="00F65703"/>
    <w:rsid w:val="00F66DB9"/>
    <w:rsid w:val="00F70B4B"/>
    <w:rsid w:val="00FA2B75"/>
    <w:rsid w:val="00FB0CC3"/>
    <w:rsid w:val="00FB443A"/>
    <w:rsid w:val="00FC303B"/>
    <w:rsid w:val="00FC3CF6"/>
    <w:rsid w:val="00FE3C82"/>
    <w:rsid w:val="00FF1128"/>
    <w:rsid w:val="00FF2CDE"/>
    <w:rsid w:val="00FF30B3"/>
    <w:rsid w:val="00FF36EF"/>
    <w:rsid w:val="00FF6351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"/>
    <o:shapelayout v:ext="edit">
      <o:idmap v:ext="edit" data="1"/>
      <o:rules v:ext="edit">
        <o:r id="V:Rule56" type="connector" idref="#_x0000_s1329"/>
        <o:r id="V:Rule57" type="connector" idref="#_x0000_s1382"/>
        <o:r id="V:Rule58" type="connector" idref="#_x0000_s1360"/>
        <o:r id="V:Rule59" type="connector" idref="#_x0000_s1283"/>
        <o:r id="V:Rule60" type="connector" idref="#_x0000_s1328"/>
        <o:r id="V:Rule61" type="connector" idref="#_x0000_s1404"/>
        <o:r id="V:Rule62" type="connector" idref="#_x0000_s1409"/>
        <o:r id="V:Rule63" type="connector" idref="#_x0000_s1353"/>
        <o:r id="V:Rule64" type="connector" idref="#_x0000_s1385"/>
        <o:r id="V:Rule65" type="connector" idref="#_x0000_s1451"/>
        <o:r id="V:Rule66" type="connector" idref="#_x0000_s1398"/>
        <o:r id="V:Rule67" type="connector" idref="#_x0000_s1348"/>
        <o:r id="V:Rule68" type="connector" idref="#_x0000_s1410"/>
        <o:r id="V:Rule69" type="connector" idref="#_x0000_s1282"/>
        <o:r id="V:Rule70" type="connector" idref="#_x0000_s1332"/>
        <o:r id="V:Rule71" type="connector" idref="#_x0000_s1445"/>
        <o:r id="V:Rule72" type="connector" idref="#_x0000_s1449"/>
        <o:r id="V:Rule73" type="connector" idref="#_x0000_s1379"/>
        <o:r id="V:Rule74" type="connector" idref="#_x0000_s1335"/>
        <o:r id="V:Rule75" type="connector" idref="#_x0000_s1380"/>
        <o:r id="V:Rule76" type="connector" idref="#_x0000_s1261"/>
        <o:r id="V:Rule77" type="connector" idref="#_x0000_s1285"/>
        <o:r id="V:Rule78" type="connector" idref="#_x0000_s1452"/>
        <o:r id="V:Rule79" type="connector" idref="#_x0000_s1389"/>
        <o:r id="V:Rule80" type="connector" idref="#_x0000_s1284"/>
        <o:r id="V:Rule81" type="connector" idref="#_x0000_s1390"/>
        <o:r id="V:Rule82" type="connector" idref="#_x0000_s1411"/>
        <o:r id="V:Rule83" type="connector" idref="#_x0000_s1330"/>
        <o:r id="V:Rule84" type="connector" idref="#_x0000_s1343"/>
        <o:r id="V:Rule85" type="connector" idref="#_x0000_s1386"/>
        <o:r id="V:Rule86" type="connector" idref="#_x0000_s1388"/>
        <o:r id="V:Rule87" type="connector" idref="#_x0000_s1281"/>
        <o:r id="V:Rule88" type="connector" idref="#_x0000_s1342"/>
        <o:r id="V:Rule89" type="connector" idref="#_x0000_s1320"/>
        <o:r id="V:Rule90" type="connector" idref="#_x0000_s1399"/>
        <o:r id="V:Rule91" type="connector" idref="#_x0000_s1401"/>
        <o:r id="V:Rule92" type="connector" idref="#_x0000_s1406"/>
        <o:r id="V:Rule93" type="connector" idref="#_x0000_s1440"/>
        <o:r id="V:Rule94" type="connector" idref="#_x0000_s1347"/>
        <o:r id="V:Rule95" type="connector" idref="#_x0000_s1375"/>
        <o:r id="V:Rule96" type="connector" idref="#_x0000_s1383"/>
        <o:r id="V:Rule97" type="connector" idref="#_x0000_s1441"/>
        <o:r id="V:Rule98" type="connector" idref="#_x0000_s1396"/>
        <o:r id="V:Rule99" type="connector" idref="#_x0000_s1377"/>
        <o:r id="V:Rule100" type="connector" idref="#_x0000_s1378"/>
        <o:r id="V:Rule101" type="connector" idref="#_x0000_s1337"/>
        <o:r id="V:Rule102" type="connector" idref="#_x0000_s1397"/>
        <o:r id="V:Rule103" type="connector" idref="#_x0000_s1419"/>
        <o:r id="V:Rule104" type="connector" idref="#_x0000_s1412"/>
        <o:r id="V:Rule105" type="connector" idref="#_x0000_s1417"/>
        <o:r id="V:Rule106" type="connector" idref="#_x0000_s1345"/>
        <o:r id="V:Rule107" type="connector" idref="#_x0000_s1448"/>
        <o:r id="V:Rule108" type="connector" idref="#_x0000_s1446"/>
        <o:r id="V:Rule109" type="connector" idref="#_x0000_s1415"/>
        <o:r id="V:Rule110" type="connector" idref="#_x0000_s1338"/>
      </o:rules>
    </o:shapelayout>
  </w:shapeDefaults>
  <w:decimalSymbol w:val=","/>
  <w:listSeparator w:val=";"/>
  <w14:docId w14:val="2F171F2F"/>
  <w15:docId w15:val="{17515448-243A-4E72-81C1-282768B7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9654F-6496-4D71-876B-EE62CF191376}"/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6fb1b441-9ff5-43a6-adfa-811d4bab829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F33B96-1B59-40ED-ABD3-B7BD34D3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</CharactersWithSpaces>
  <SharedDoc>false</SharedDoc>
  <HLinks>
    <vt:vector size="18" baseType="variant">
      <vt:variant>
        <vt:i4>1507418</vt:i4>
      </vt:variant>
      <vt:variant>
        <vt:i4>6</vt:i4>
      </vt:variant>
      <vt:variant>
        <vt:i4>0</vt:i4>
      </vt:variant>
      <vt:variant>
        <vt:i4>5</vt:i4>
      </vt:variant>
      <vt:variant>
        <vt:lpwstr>http://zsodborne.sk/</vt:lpwstr>
      </vt:variant>
      <vt:variant>
        <vt:lpwstr/>
      </vt:variant>
      <vt:variant>
        <vt:i4>7209017</vt:i4>
      </vt:variant>
      <vt:variant>
        <vt:i4>3</vt:i4>
      </vt:variant>
      <vt:variant>
        <vt:i4>0</vt:i4>
      </vt:variant>
      <vt:variant>
        <vt:i4>5</vt:i4>
      </vt:variant>
      <vt:variant>
        <vt:lpwstr>http://www.consumerclassroom.eu/sk/node</vt:lpwstr>
      </vt:variant>
      <vt:variant>
        <vt:lpwstr/>
      </vt:variant>
      <vt:variant>
        <vt:i4>8257644</vt:i4>
      </vt:variant>
      <vt:variant>
        <vt:i4>0</vt:i4>
      </vt:variant>
      <vt:variant>
        <vt:i4>0</vt:i4>
      </vt:variant>
      <vt:variant>
        <vt:i4>5</vt:i4>
      </vt:variant>
      <vt:variant>
        <vt:lpwstr>http://www.profsme.sk/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278</cp:revision>
  <cp:lastPrinted>2020-02-21T11:21:00Z</cp:lastPrinted>
  <dcterms:created xsi:type="dcterms:W3CDTF">2020-01-28T08:23:00Z</dcterms:created>
  <dcterms:modified xsi:type="dcterms:W3CDTF">2020-03-31T18:09:00Z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