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0908E" w14:textId="4FC26684" w:rsidR="00B87C18" w:rsidRPr="00C75FCA" w:rsidRDefault="007939E2" w:rsidP="00ED1133">
      <w:pPr>
        <w:spacing w:after="0" w:line="240" w:lineRule="auto"/>
        <w:rPr>
          <w:b/>
          <w:sz w:val="28"/>
          <w:szCs w:val="28"/>
        </w:rPr>
      </w:pPr>
      <w:r>
        <w:rPr>
          <w:noProof/>
          <w:lang w:eastAsia="cs-CZ"/>
        </w:rPr>
        <w:pict w14:anchorId="095B8703">
          <v:roundrect id="_x0000_s1178" style="position:absolute;margin-left:-4.85pt;margin-top:19.25pt;width:481.9pt;height:81.05pt;z-index:251658254" arcsize="23802f" fillcolor="#d6e3bc [1302]"/>
        </w:pict>
      </w:r>
      <w:r w:rsidR="00C44A13" w:rsidRPr="00DD7C0B">
        <w:rPr>
          <w:b/>
          <w:sz w:val="28"/>
          <w:szCs w:val="28"/>
          <w:lang w:val="sk-SK"/>
        </w:rPr>
        <w:t>Overenie t</w:t>
      </w:r>
      <w:r w:rsidR="000561C9" w:rsidRPr="00DD7C0B">
        <w:rPr>
          <w:b/>
          <w:sz w:val="28"/>
          <w:szCs w:val="28"/>
          <w:lang w:val="sk-SK"/>
        </w:rPr>
        <w:t>eóri</w:t>
      </w:r>
      <w:r w:rsidR="00277EDC">
        <w:rPr>
          <w:b/>
          <w:sz w:val="28"/>
          <w:szCs w:val="28"/>
          <w:lang w:val="sk-SK"/>
        </w:rPr>
        <w:t>e</w:t>
      </w:r>
      <w:r w:rsidR="000561C9" w:rsidRPr="00DD7C0B">
        <w:rPr>
          <w:b/>
          <w:sz w:val="28"/>
          <w:szCs w:val="28"/>
          <w:lang w:val="sk-SK"/>
        </w:rPr>
        <w:t xml:space="preserve"> zmeny </w:t>
      </w:r>
      <w:r w:rsidR="0080082F" w:rsidRPr="00DD7C0B">
        <w:rPr>
          <w:b/>
          <w:sz w:val="28"/>
          <w:szCs w:val="28"/>
          <w:lang w:val="sk-SK"/>
        </w:rPr>
        <w:t xml:space="preserve">opatrenia </w:t>
      </w:r>
      <w:r w:rsidR="00DB7B73">
        <w:rPr>
          <w:b/>
          <w:sz w:val="28"/>
          <w:szCs w:val="28"/>
          <w:lang w:val="sk-SK"/>
        </w:rPr>
        <w:t xml:space="preserve">2.1 </w:t>
      </w:r>
      <w:r w:rsidR="00C44A13" w:rsidRPr="00DD7C0B">
        <w:rPr>
          <w:b/>
          <w:sz w:val="28"/>
          <w:szCs w:val="28"/>
          <w:lang w:val="sk-SK"/>
        </w:rPr>
        <w:t xml:space="preserve">OPV v </w:t>
      </w:r>
      <w:r w:rsidR="000561C9" w:rsidRPr="00DD7C0B">
        <w:rPr>
          <w:b/>
          <w:sz w:val="28"/>
          <w:szCs w:val="28"/>
          <w:lang w:val="sk-SK"/>
        </w:rPr>
        <w:t>projekt</w:t>
      </w:r>
      <w:r w:rsidR="00DD7C0B">
        <w:rPr>
          <w:b/>
          <w:sz w:val="28"/>
          <w:szCs w:val="28"/>
          <w:lang w:val="sk-SK"/>
        </w:rPr>
        <w:t>e</w:t>
      </w:r>
      <w:r w:rsidR="000561C9" w:rsidRPr="00DD7C0B">
        <w:rPr>
          <w:b/>
          <w:sz w:val="28"/>
          <w:szCs w:val="28"/>
          <w:lang w:val="sk-SK"/>
        </w:rPr>
        <w:t xml:space="preserve"> NP</w:t>
      </w:r>
      <w:r w:rsidR="00F22219">
        <w:rPr>
          <w:b/>
          <w:sz w:val="28"/>
          <w:szCs w:val="28"/>
          <w:lang w:val="sk-SK"/>
        </w:rPr>
        <w:t xml:space="preserve"> </w:t>
      </w:r>
      <w:r w:rsidR="00FC5780">
        <w:rPr>
          <w:b/>
          <w:sz w:val="28"/>
          <w:szCs w:val="28"/>
          <w:lang w:val="sk-SK"/>
        </w:rPr>
        <w:t>19</w:t>
      </w:r>
    </w:p>
    <w:p w14:paraId="54264823" w14:textId="2EF6D9FF" w:rsidR="000561C9" w:rsidRDefault="007939E2" w:rsidP="00ED1133">
      <w:pPr>
        <w:spacing w:after="0" w:line="240" w:lineRule="auto"/>
        <w:rPr>
          <w:b/>
        </w:rPr>
      </w:pPr>
      <w:r>
        <w:rPr>
          <w:noProof/>
          <w:lang w:eastAsia="cs-CZ"/>
        </w:rPr>
        <w:pict w14:anchorId="175725BB">
          <v:shapetype id="_x0000_t202" coordsize="21600,21600" o:spt="202" path="m,l,21600r21600,l21600,xe">
            <v:stroke joinstyle="miter"/>
            <v:path gradientshapeok="t" o:connecttype="rect"/>
          </v:shapetype>
          <v:shape id="_x0000_s1191" type="#_x0000_t202" style="position:absolute;margin-left:538.45pt;margin-top:6.9pt;width:457.5pt;height:78.2pt;z-index:251658278;mso-width-relative:margin;mso-height-relative:margin" filled="f" stroked="f">
            <v:textbox style="mso-next-textbox:#_x0000_s1191">
              <w:txbxContent>
                <w:p w14:paraId="55ED577F" w14:textId="352CE029" w:rsidR="00FF2CDE" w:rsidRDefault="00FF2CDE" w:rsidP="000561C9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DD7C0B">
                    <w:rPr>
                      <w:b/>
                      <w:bCs/>
                      <w:lang w:val="sk-SK"/>
                    </w:rPr>
                    <w:t>Model zmeny v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> </w:t>
                  </w:r>
                  <w:r w:rsidRPr="00DD7C0B">
                    <w:rPr>
                      <w:b/>
                      <w:bCs/>
                      <w:lang w:val="sk-SK"/>
                    </w:rPr>
                    <w:t>projekt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 xml:space="preserve">e </w:t>
                  </w:r>
                  <w:r w:rsidR="00815D12">
                    <w:rPr>
                      <w:b/>
                      <w:bCs/>
                      <w:lang w:val="sk-SK"/>
                    </w:rPr>
                    <w:t xml:space="preserve">NP </w:t>
                  </w:r>
                  <w:r w:rsidR="00FC5780">
                    <w:rPr>
                      <w:b/>
                      <w:bCs/>
                      <w:lang w:val="sk-SK"/>
                    </w:rPr>
                    <w:t>19</w:t>
                  </w:r>
                </w:p>
                <w:p w14:paraId="0D429781" w14:textId="44F0E36A" w:rsidR="00DD7C0B" w:rsidRPr="00C03BF1" w:rsidRDefault="00815D12" w:rsidP="000561C9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C03BF1">
                    <w:rPr>
                      <w:b/>
                      <w:bCs/>
                      <w:lang w:val="sk-SK"/>
                    </w:rPr>
                    <w:t>Názov pro</w:t>
                  </w:r>
                  <w:r w:rsidR="00CC11B6" w:rsidRPr="00C03BF1">
                    <w:rPr>
                      <w:b/>
                      <w:bCs/>
                      <w:lang w:val="sk-SK"/>
                    </w:rPr>
                    <w:t>jektu:</w:t>
                  </w:r>
                  <w:r w:rsidR="00CC11B6" w:rsidRPr="00C03BF1">
                    <w:rPr>
                      <w:lang w:val="sk-SK"/>
                    </w:rPr>
                    <w:t xml:space="preserve"> Tvorba Národnej sústavy kvalifikáci</w:t>
                  </w:r>
                  <w:r w:rsidR="00A91A52">
                    <w:rPr>
                      <w:lang w:val="sk-SK"/>
                    </w:rPr>
                    <w:t>í</w:t>
                  </w:r>
                </w:p>
                <w:p w14:paraId="115585D7" w14:textId="1BD1F385" w:rsidR="0082293C" w:rsidRPr="00477C48" w:rsidRDefault="006D202E" w:rsidP="0082293C">
                  <w:pPr>
                    <w:spacing w:after="0" w:line="240" w:lineRule="auto"/>
                    <w:rPr>
                      <w:lang w:val="sk-SK"/>
                    </w:rPr>
                  </w:pPr>
                  <w:r w:rsidRPr="00C03BF1">
                    <w:rPr>
                      <w:b/>
                      <w:lang w:val="sk-SK"/>
                    </w:rPr>
                    <w:t>Cieľová skupina</w:t>
                  </w:r>
                  <w:r w:rsidR="000154C1" w:rsidRPr="00C03BF1">
                    <w:rPr>
                      <w:b/>
                      <w:lang w:val="sk-SK"/>
                    </w:rPr>
                    <w:t xml:space="preserve">: </w:t>
                  </w:r>
                  <w:r w:rsidR="00C03BF1">
                    <w:rPr>
                      <w:lang w:val="sk-SK"/>
                    </w:rPr>
                    <w:t>P</w:t>
                  </w:r>
                  <w:r w:rsidR="0082293C">
                    <w:rPr>
                      <w:lang w:val="sk-SK"/>
                    </w:rPr>
                    <w:t xml:space="preserve">edagogickí a nepedagogickí zamestnanci ZŠ, </w:t>
                  </w:r>
                  <w:r w:rsidR="0082293C" w:rsidRPr="00477C48">
                    <w:rPr>
                      <w:lang w:val="sk-SK"/>
                    </w:rPr>
                    <w:t>SŠ</w:t>
                  </w:r>
                  <w:r w:rsidR="0082293C">
                    <w:rPr>
                      <w:lang w:val="sk-SK"/>
                    </w:rPr>
                    <w:t xml:space="preserve"> </w:t>
                  </w:r>
                  <w:r w:rsidR="0082293C" w:rsidRPr="00477C48">
                    <w:rPr>
                      <w:lang w:val="sk-SK"/>
                    </w:rPr>
                    <w:t>a vysokoškolskí učitelia, zamestnanci pracujúci v oblasti vzdelávania</w:t>
                  </w:r>
                  <w:r w:rsidR="0082293C">
                    <w:rPr>
                      <w:lang w:val="sk-SK"/>
                    </w:rPr>
                    <w:t>, osoby zúčastnené na aktivitách v rámci ďalšieho vzdelávania</w:t>
                  </w:r>
                </w:p>
                <w:p w14:paraId="18FC322B" w14:textId="77777777" w:rsidR="0082293C" w:rsidRPr="00A342FF" w:rsidRDefault="0082293C" w:rsidP="0082293C">
                  <w:pPr>
                    <w:rPr>
                      <w:lang w:val="sk-SK"/>
                    </w:rPr>
                  </w:pPr>
                </w:p>
                <w:p w14:paraId="4EBAE6B6" w14:textId="1E1D63C8" w:rsidR="000154C1" w:rsidRPr="00DD7C0B" w:rsidRDefault="000154C1" w:rsidP="000561C9">
                  <w:pPr>
                    <w:spacing w:after="0" w:line="240" w:lineRule="auto"/>
                    <w:rPr>
                      <w:b/>
                      <w:lang w:val="sk-SK"/>
                    </w:rPr>
                  </w:pPr>
                </w:p>
              </w:txbxContent>
            </v:textbox>
          </v:shape>
        </w:pict>
      </w:r>
      <w:r>
        <w:rPr>
          <w:b/>
          <w:noProof/>
        </w:rPr>
        <w:pict w14:anchorId="054F2DC9">
          <v:shape id="_x0000_s1180" type="#_x0000_t202" style="position:absolute;margin-left:13.05pt;margin-top:7.55pt;width:462.3pt;height:73.4pt;z-index:251658255;mso-width-relative:margin;mso-height-relative:margin" filled="f" stroked="f">
            <v:textbox style="mso-next-textbox:#_x0000_s1180">
              <w:txbxContent>
                <w:p w14:paraId="53B1E443" w14:textId="6B47E324" w:rsidR="00FF2CDE" w:rsidRPr="009A54B1" w:rsidRDefault="00FF2CDE" w:rsidP="00634AF8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9A54B1">
                    <w:rPr>
                      <w:b/>
                      <w:bCs/>
                      <w:lang w:val="sk-SK"/>
                    </w:rPr>
                    <w:t>Model akc</w:t>
                  </w:r>
                  <w:r w:rsidR="00DD7C0B" w:rsidRPr="009A54B1">
                    <w:rPr>
                      <w:b/>
                      <w:bCs/>
                      <w:lang w:val="sk-SK"/>
                    </w:rPr>
                    <w:t>i</w:t>
                  </w:r>
                  <w:r w:rsidRPr="009A54B1">
                    <w:rPr>
                      <w:b/>
                      <w:bCs/>
                      <w:lang w:val="sk-SK"/>
                    </w:rPr>
                    <w:t>e v</w:t>
                  </w:r>
                  <w:r w:rsidR="00815D12" w:rsidRPr="009A54B1">
                    <w:rPr>
                      <w:b/>
                      <w:bCs/>
                      <w:lang w:val="sk-SK"/>
                    </w:rPr>
                    <w:t> </w:t>
                  </w:r>
                  <w:r w:rsidRPr="009A54B1">
                    <w:rPr>
                      <w:b/>
                      <w:bCs/>
                      <w:lang w:val="sk-SK"/>
                    </w:rPr>
                    <w:t>projekt</w:t>
                  </w:r>
                  <w:r w:rsidR="00DD7C0B" w:rsidRPr="009A54B1">
                    <w:rPr>
                      <w:b/>
                      <w:bCs/>
                      <w:lang w:val="sk-SK"/>
                    </w:rPr>
                    <w:t>e</w:t>
                  </w:r>
                  <w:r w:rsidR="00815D12" w:rsidRPr="009A54B1">
                    <w:rPr>
                      <w:b/>
                      <w:bCs/>
                      <w:lang w:val="sk-SK"/>
                    </w:rPr>
                    <w:t xml:space="preserve"> NP </w:t>
                  </w:r>
                  <w:r w:rsidR="00FC5780" w:rsidRPr="009A54B1">
                    <w:rPr>
                      <w:b/>
                      <w:bCs/>
                      <w:lang w:val="sk-SK"/>
                    </w:rPr>
                    <w:t>19</w:t>
                  </w:r>
                </w:p>
                <w:p w14:paraId="2E7DDD8E" w14:textId="6A5B0C0B" w:rsidR="0056728F" w:rsidRPr="009A54B1" w:rsidRDefault="00815D12" w:rsidP="0056728F">
                  <w:pPr>
                    <w:spacing w:after="0" w:line="240" w:lineRule="auto"/>
                    <w:rPr>
                      <w:lang w:val="sk-SK"/>
                    </w:rPr>
                  </w:pPr>
                  <w:r w:rsidRPr="009A54B1">
                    <w:rPr>
                      <w:b/>
                      <w:bCs/>
                      <w:lang w:val="sk-SK"/>
                    </w:rPr>
                    <w:t xml:space="preserve">Názov </w:t>
                  </w:r>
                  <w:r w:rsidRPr="009A54B1">
                    <w:rPr>
                      <w:b/>
                      <w:bCs/>
                    </w:rPr>
                    <w:t xml:space="preserve">projektu: </w:t>
                  </w:r>
                  <w:r w:rsidR="0056728F" w:rsidRPr="009A54B1">
                    <w:rPr>
                      <w:lang w:val="sk-SK"/>
                    </w:rPr>
                    <w:t>Tvorba Národnej sústavy kvalifikáci</w:t>
                  </w:r>
                  <w:r w:rsidR="00A91A52">
                    <w:rPr>
                      <w:lang w:val="sk-SK"/>
                    </w:rPr>
                    <w:t>í</w:t>
                  </w:r>
                </w:p>
                <w:p w14:paraId="010B8513" w14:textId="5AD44FCB" w:rsidR="000154C1" w:rsidRDefault="000154C1" w:rsidP="00634AF8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9A54B1">
                    <w:rPr>
                      <w:b/>
                      <w:bCs/>
                      <w:lang w:val="sk-SK"/>
                    </w:rPr>
                    <w:t xml:space="preserve">Prijímateľ: </w:t>
                  </w:r>
                  <w:r w:rsidR="009A54B1" w:rsidRPr="00E1601E">
                    <w:rPr>
                      <w:lang w:val="sk-SK"/>
                    </w:rPr>
                    <w:t>Štátny inštitút odborného vzdelávania</w:t>
                  </w:r>
                </w:p>
                <w:p w14:paraId="4E938EF5" w14:textId="77777777" w:rsidR="006D202E" w:rsidRPr="00634AF8" w:rsidRDefault="006D202E" w:rsidP="00634AF8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499C29FF">
          <v:roundrect id="_x0000_s1190" style="position:absolute;margin-left:521.45pt;margin-top:2.75pt;width:481.9pt;height:82.35pt;z-index:251658277" arcsize="21360f" fillcolor="#c6d9f1 [671]"/>
        </w:pict>
      </w:r>
    </w:p>
    <w:p w14:paraId="5BAA5B87" w14:textId="77777777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31862AB4" w14:textId="77777777" w:rsidR="000561C9" w:rsidRDefault="000561C9" w:rsidP="000561C9"/>
    <w:p w14:paraId="5C6AEF7F" w14:textId="77777777" w:rsidR="0082293C" w:rsidRDefault="0082293C" w:rsidP="000561C9"/>
    <w:p w14:paraId="0320FB02" w14:textId="10BD1DF7" w:rsidR="000561C9" w:rsidRDefault="007939E2" w:rsidP="000561C9">
      <w:r>
        <w:rPr>
          <w:noProof/>
          <w:lang w:eastAsia="cs-CZ"/>
        </w:rPr>
        <w:pict w14:anchorId="6EC6748E">
          <v:roundrect id="AutoShape 16" o:spid="_x0000_s1220" style="position:absolute;margin-left:896.7pt;margin-top:3.7pt;width:108.8pt;height:591.55pt;z-index:251658268;visibility:visible" arcsize="5364f" fillcolor="#b2a1c7 [1943]"/>
        </w:pict>
      </w:r>
      <w:r>
        <w:rPr>
          <w:noProof/>
          <w:lang w:eastAsia="cs-CZ"/>
        </w:rPr>
        <w:pict w14:anchorId="3ED030C7">
          <v:roundrect id="AutoShape 15" o:spid="_x0000_s1198" style="position:absolute;margin-left:736.1pt;margin-top:10.75pt;width:146.45pt;height:568.35pt;z-index:251658262;visibility:visible" arcsize="3856f" fillcolor="#c6d9f1 [671]">
            <v:textbox style="mso-next-textbox:#AutoShape 15">
              <w:txbxContent>
                <w:p w14:paraId="16FA9A9E" w14:textId="77777777" w:rsidR="00FF2CDE" w:rsidRPr="00B46CF7" w:rsidRDefault="00FF2CDE" w:rsidP="000561C9"/>
              </w:txbxContent>
            </v:textbox>
          </v:roundrect>
        </w:pict>
      </w:r>
      <w:r>
        <w:rPr>
          <w:noProof/>
          <w:lang w:eastAsia="cs-CZ"/>
        </w:rPr>
        <w:pict w14:anchorId="53EC0906">
          <v:roundrect id="_x0000_s1192" style="position:absolute;margin-left:528.25pt;margin-top:10.15pt;width:199.7pt;height:570.05pt;z-index:251658261;visibility:visible" arcsize="4333f" fillcolor="#d8d8d8 [2732]">
            <v:textbox style="mso-next-textbox:#_x0000_s1192">
              <w:txbxContent>
                <w:p w14:paraId="59A7B8F8" w14:textId="77777777" w:rsidR="00FF2CDE" w:rsidRDefault="00FF2CDE" w:rsidP="000561C9"/>
                <w:p w14:paraId="126FE946" w14:textId="78D8CB87" w:rsidR="00FF2CDE" w:rsidRPr="00B46CF7" w:rsidRDefault="00FF2CDE" w:rsidP="000561C9"/>
              </w:txbxContent>
            </v:textbox>
          </v:roundrect>
        </w:pict>
      </w:r>
      <w:r>
        <w:rPr>
          <w:noProof/>
          <w:lang w:eastAsia="cs-CZ"/>
        </w:rPr>
        <w:pict w14:anchorId="4E726D5C">
          <v:roundrect id="_x0000_s1199" style="position:absolute;margin-left:521.45pt;margin-top:3.7pt;width:367pt;height:592.55pt;z-index:251658263" arcsize="2473f" filled="f" strokecolor="#0070c0" strokeweight="2.25pt"/>
        </w:pict>
      </w:r>
      <w:r>
        <w:rPr>
          <w:noProof/>
          <w:lang w:eastAsia="cs-CZ"/>
        </w:rPr>
        <w:pict w14:anchorId="16DA5357">
          <v:roundrect id="_x0000_s1166" style="position:absolute;margin-left:-4.85pt;margin-top:3.7pt;width:481.9pt;height:588.7pt;z-index:251658253" arcsize="1775f" filled="f" strokecolor="#00b050" strokeweight="2.25pt"/>
        </w:pict>
      </w:r>
      <w:r>
        <w:rPr>
          <w:noProof/>
          <w:lang w:eastAsia="cs-CZ"/>
        </w:rPr>
        <w:pict w14:anchorId="21231701">
          <v:roundrect id="AutoShape 34" o:spid="_x0000_s1147" style="position:absolute;margin-left:266.55pt;margin-top:9pt;width:202.9pt;height:568.5pt;z-index:251658240;visibility:visible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5A364373">
          <v:roundrect id="_x0000_s1134" style="position:absolute;margin-left:114.6pt;margin-top:9pt;width:147.4pt;height:568.5pt;z-index:251658245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0703FB66">
          <v:roundrect id="_x0000_s1252" style="position:absolute;margin-left:1.55pt;margin-top:9.75pt;width:107.3pt;height:567.75pt;z-index:251658282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50BC002E">
          <v:shape id="_x0000_s1135" type="#_x0000_t202" style="position:absolute;margin-left:129.25pt;margin-top:10.75pt;width:117.6pt;height:20pt;z-index:25165824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4E3B5319" w14:textId="77777777" w:rsidR="00FF2CDE" w:rsidRPr="008541E8" w:rsidRDefault="00FF2CDE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VÝSTUPY </w:t>
                  </w:r>
                  <w:r w:rsidRPr="008541E8">
                    <w:rPr>
                      <w:b/>
                      <w:sz w:val="20"/>
                      <w:szCs w:val="20"/>
                    </w:rPr>
                    <w:t>AKTIV</w:t>
                  </w:r>
                  <w:r>
                    <w:rPr>
                      <w:b/>
                      <w:sz w:val="20"/>
                      <w:szCs w:val="20"/>
                    </w:rPr>
                    <w:t>Í</w:t>
                  </w:r>
                  <w:r w:rsidRPr="008541E8">
                    <w:rPr>
                      <w:b/>
                      <w:sz w:val="20"/>
                      <w:szCs w:val="20"/>
                    </w:rPr>
                    <w:t>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75FBACD">
          <v:shape id="_x0000_s1253" type="#_x0000_t202" style="position:absolute;margin-left:9.5pt;margin-top:11.9pt;width:90.25pt;height:20pt;z-index:251658283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29F17E92" w14:textId="77777777" w:rsidR="00FF2CDE" w:rsidRPr="008541E8" w:rsidRDefault="00FF2CDE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AKTIVITY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E8E3F5D">
          <v:shape id="Text Box 36" o:spid="_x0000_s1148" type="#_x0000_t202" style="position:absolute;margin-left:292.6pt;margin-top:10.75pt;width:153.5pt;height:20pt;z-index:25165824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54FF37F7" w14:textId="77777777" w:rsidR="00FF2CDE" w:rsidRPr="008541E8" w:rsidRDefault="00FF2CDE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VÝSLEDKY AKTIVÍT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221940D">
          <v:shape id="Text Box 38" o:spid="_x0000_s1200" type="#_x0000_t202" style="position:absolute;margin-left:534.35pt;margin-top:13.45pt;width:189.5pt;height:30.7pt;z-index:251658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0AD6EB59" w14:textId="0A4BA76A" w:rsidR="00FF2CDE" w:rsidRDefault="006D202E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 w:rsidRPr="009B253D">
                    <w:rPr>
                      <w:b/>
                      <w:caps/>
                      <w:sz w:val="20"/>
                      <w:szCs w:val="20"/>
                    </w:rPr>
                    <w:t>KRÁTKODOBÉ</w:t>
                  </w:r>
                  <w:r w:rsidRPr="009B253D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FF2CDE" w:rsidRPr="009B253D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>dopady projektu</w:t>
                  </w:r>
                  <w:r w:rsidR="00FF2CDE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14:paraId="720F7E16" w14:textId="35FF27B3" w:rsidR="00FF2CDE" w:rsidRPr="00777CD5" w:rsidRDefault="00FF2CDE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             </w:t>
                  </w:r>
                </w:p>
                <w:p w14:paraId="5764FA24" w14:textId="77777777" w:rsidR="00FF2CDE" w:rsidRPr="00B048AA" w:rsidRDefault="00FF2CDE" w:rsidP="00B048A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D397237">
          <v:shape id="_x0000_s1202" type="#_x0000_t202" style="position:absolute;margin-left:736.1pt;margin-top:13.6pt;width:146.45pt;height:41.5pt;z-index:251658265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544E4F10" w14:textId="4C629092" w:rsidR="00FF2CDE" w:rsidRDefault="00FF2CDE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F22219">
                    <w:rPr>
                      <w:b/>
                      <w:caps/>
                      <w:sz w:val="20"/>
                      <w:szCs w:val="20"/>
                    </w:rPr>
                    <w:t xml:space="preserve">predpokladané </w:t>
                  </w:r>
                  <w:r w:rsidR="006D202E" w:rsidRPr="00F22219">
                    <w:rPr>
                      <w:b/>
                      <w:caps/>
                      <w:sz w:val="20"/>
                      <w:szCs w:val="20"/>
                    </w:rPr>
                    <w:t xml:space="preserve">DLHODOBÉ </w:t>
                  </w:r>
                  <w:r w:rsidRPr="00F22219">
                    <w:rPr>
                      <w:b/>
                      <w:caps/>
                      <w:sz w:val="20"/>
                      <w:szCs w:val="20"/>
                    </w:rPr>
                    <w:t>dopady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</w:p>
                <w:p w14:paraId="5B3C035C" w14:textId="6A3A4329" w:rsidR="00FF2CDE" w:rsidRPr="00596D9C" w:rsidRDefault="00FF2CDE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  <w:r w:rsidRPr="0036771B">
                    <w:rPr>
                      <w:b/>
                      <w:caps/>
                      <w:sz w:val="20"/>
                      <w:szCs w:val="20"/>
                    </w:rPr>
                    <w:t>PODĽA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tz OPATRENIA </w:t>
                  </w:r>
                  <w:r w:rsidR="00DB7B73">
                    <w:rPr>
                      <w:b/>
                      <w:caps/>
                      <w:sz w:val="20"/>
                      <w:szCs w:val="20"/>
                    </w:rPr>
                    <w:t xml:space="preserve">2.1 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>OPV</w:t>
                  </w:r>
                  <w:r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FDF8A5C">
          <v:shape id="Text Box 64" o:spid="_x0000_s1221" type="#_x0000_t202" style="position:absolute;margin-left:902.65pt;margin-top:10.75pt;width:99.65pt;height:34.6pt;z-index:251658269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51623553" w14:textId="77777777" w:rsidR="00FF2CDE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CIELE </w:t>
                  </w:r>
                </w:p>
                <w:p w14:paraId="3FA485BF" w14:textId="7CE02A38" w:rsidR="00FF2CDE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OPATRENIA </w:t>
                  </w:r>
                  <w:r w:rsidR="00DB7B73">
                    <w:rPr>
                      <w:b/>
                      <w:sz w:val="20"/>
                      <w:szCs w:val="20"/>
                    </w:rPr>
                    <w:t xml:space="preserve">2.1 </w:t>
                  </w:r>
                  <w:r>
                    <w:rPr>
                      <w:b/>
                      <w:sz w:val="20"/>
                      <w:szCs w:val="20"/>
                    </w:rPr>
                    <w:t>OPV</w:t>
                  </w:r>
                </w:p>
                <w:p w14:paraId="25ABCD00" w14:textId="77777777" w:rsidR="00FF2CDE" w:rsidRPr="008541E8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</w:p>
    <w:p w14:paraId="234A375F" w14:textId="39D7E63B" w:rsidR="000561C9" w:rsidRDefault="007939E2" w:rsidP="000561C9">
      <w:r>
        <w:rPr>
          <w:noProof/>
          <w:lang w:eastAsia="cs-CZ"/>
        </w:rPr>
        <w:pict w14:anchorId="3B75CE65">
          <v:shape id="_x0000_s1341" type="#_x0000_t202" style="position:absolute;margin-left:557.8pt;margin-top:22.65pt;width:138.05pt;height:31.5pt;z-index:251658274;visibility:visible;mso-width-relative:margin;mso-height-relative:margin">
            <v:textbox style="mso-next-textbox:#_x0000_s1341">
              <w:txbxContent>
                <w:p w14:paraId="37443906" w14:textId="512FC7F6" w:rsidR="009632AD" w:rsidRPr="009632AD" w:rsidRDefault="009632AD" w:rsidP="009632AD">
                  <w:pPr>
                    <w:rPr>
                      <w:color w:val="000000" w:themeColor="text1"/>
                      <w:sz w:val="14"/>
                      <w:szCs w:val="14"/>
                      <w:lang w:val="sk-SK"/>
                    </w:rPr>
                  </w:pPr>
                  <w:r w:rsidRPr="009632AD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>Požiadavky kvalifikácií podnecujú systém vzdelávania k orientácii na trh práce</w:t>
                  </w:r>
                </w:p>
                <w:p w14:paraId="08C79536" w14:textId="4F4C5F70" w:rsidR="006C16A7" w:rsidRPr="00237921" w:rsidRDefault="006C16A7" w:rsidP="006C16A7">
                  <w:pPr>
                    <w:rPr>
                      <w:color w:val="000000" w:themeColor="text1"/>
                      <w:sz w:val="14"/>
                      <w:szCs w:val="14"/>
                      <w:lang w:val="sk-SK"/>
                    </w:rPr>
                  </w:pPr>
                </w:p>
                <w:p w14:paraId="6BB3EC3E" w14:textId="77777777" w:rsidR="00FF2CDE" w:rsidRPr="00B048AA" w:rsidRDefault="00FF2CDE" w:rsidP="00B048AA">
                  <w:pPr>
                    <w:spacing w:after="0" w:line="240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17BC199">
          <v:shape id="_x0000_s1136" type="#_x0000_t202" style="position:absolute;margin-left:122.4pt;margin-top:11.9pt;width:131.55pt;height:39.25pt;z-index:251658247;visibility:visible;mso-width-relative:margin;mso-height-relative:margin">
            <v:textbox style="mso-next-textbox:#_x0000_s1136">
              <w:txbxContent>
                <w:p w14:paraId="4D5DE2F4" w14:textId="77777777" w:rsidR="00D9655C" w:rsidRPr="00866F5C" w:rsidRDefault="00D9655C" w:rsidP="00D9655C">
                  <w:pPr>
                    <w:rPr>
                      <w:sz w:val="14"/>
                      <w:szCs w:val="14"/>
                      <w:lang w:val="sk-SK"/>
                    </w:rPr>
                  </w:pPr>
                  <w:r w:rsidRPr="00866F5C">
                    <w:rPr>
                      <w:sz w:val="14"/>
                      <w:szCs w:val="14"/>
                      <w:lang w:val="sk-SK"/>
                    </w:rPr>
                    <w:t xml:space="preserve">Personálne zabezpečenie aktivít tvorby NSK/ Vytvorenie riadiacich, odborných a metodologických tímov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BCA5E1C">
          <v:shape id="_x0000_s1344" type="#_x0000_t202" style="position:absolute;margin-left:274.95pt;margin-top:16.25pt;width:185.5pt;height:26.8pt;z-index:251658300;visibility:visible;mso-width-relative:margin;mso-height-relative:margin">
            <v:textbox style="mso-next-textbox:#_x0000_s1344">
              <w:txbxContent>
                <w:p w14:paraId="0C2A111E" w14:textId="77777777" w:rsidR="006B27DA" w:rsidRPr="00F4360D" w:rsidRDefault="006B27DA" w:rsidP="006B27DA">
                  <w:pPr>
                    <w:rPr>
                      <w:sz w:val="14"/>
                      <w:szCs w:val="14"/>
                      <w:lang w:val="sk-SK"/>
                    </w:rPr>
                  </w:pPr>
                  <w:r w:rsidRPr="00F4360D">
                    <w:rPr>
                      <w:sz w:val="14"/>
                      <w:szCs w:val="14"/>
                      <w:lang w:val="sk-SK"/>
                    </w:rPr>
                    <w:t>Zabezpečenie kvalitných odborníkov pre tvorbu NSK</w:t>
                  </w:r>
                </w:p>
                <w:p w14:paraId="4BEA3707" w14:textId="77777777" w:rsidR="00DA35ED" w:rsidRPr="00611FA8" w:rsidRDefault="00DA35ED" w:rsidP="00DA35ED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769E8C35">
          <v:shape id="_x0000_s1254" type="#_x0000_t202" style="position:absolute;margin-left:5.65pt;margin-top:9.95pt;width:96.4pt;height:50.2pt;z-index:251658284;visibility:visible;mso-width-relative:margin;mso-height-relative:margin">
            <v:textbox style="mso-next-textbox:#_x0000_s1254">
              <w:txbxContent>
                <w:p w14:paraId="7A51EA9A" w14:textId="77777777" w:rsidR="004D168A" w:rsidRPr="002200B6" w:rsidRDefault="004D168A" w:rsidP="004D168A">
                  <w:pPr>
                    <w:jc w:val="center"/>
                    <w:rPr>
                      <w:rFonts w:cstheme="minorHAnsi"/>
                      <w:sz w:val="14"/>
                      <w:szCs w:val="14"/>
                      <w:lang w:val="sk-SK"/>
                    </w:rPr>
                  </w:pPr>
                  <w:r w:rsidRPr="002200B6">
                    <w:rPr>
                      <w:rFonts w:cstheme="minorHAnsi"/>
                      <w:sz w:val="14"/>
                      <w:szCs w:val="14"/>
                      <w:lang w:val="sk-SK"/>
                    </w:rPr>
                    <w:t>Vytvorenie riadiacich, odborných a metodologických štruktúr na tvorbu NKR, NSK a IS</w:t>
                  </w:r>
                </w:p>
                <w:p w14:paraId="3A767FFD" w14:textId="77777777" w:rsidR="00FF2CDE" w:rsidRPr="000154C1" w:rsidRDefault="00FF2CDE" w:rsidP="00121304">
                  <w:pPr>
                    <w:spacing w:after="0" w:line="192" w:lineRule="auto"/>
                    <w:rPr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1CB3495A">
          <v:shape id="_x0000_s1222" type="#_x0000_t202" style="position:absolute;margin-left:908.7pt;margin-top:23.65pt;width:85.05pt;height:92.05pt;z-index:251658270;mso-width-relative:margin;mso-height-relative:margin" fillcolor="white [3212]">
            <v:textbox style="mso-next-textbox:#_x0000_s1222">
              <w:txbxContent>
                <w:p w14:paraId="6B4D196B" w14:textId="0A16741F" w:rsidR="00FF2CDE" w:rsidRPr="00DB7B73" w:rsidRDefault="00DB7B73" w:rsidP="00DB7B7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sk-SK"/>
                    </w:rPr>
                  </w:pPr>
                  <w:r w:rsidRPr="00DB7B73">
                    <w:rPr>
                      <w:sz w:val="16"/>
                      <w:szCs w:val="16"/>
                      <w:lang w:val="sk-SK"/>
                    </w:rPr>
                    <w:t>Zvyšovať kvalitu programov a inštitúcií ďalšieho vzdelávania a posilniť systém kontroly kvality, podporovať inovácie v obsahu, formách a metódach</w:t>
                  </w:r>
                </w:p>
              </w:txbxContent>
            </v:textbox>
          </v:shape>
        </w:pict>
      </w:r>
    </w:p>
    <w:p w14:paraId="713B0177" w14:textId="0A5897E8" w:rsidR="000561C9" w:rsidRDefault="007939E2" w:rsidP="000561C9">
      <w:r>
        <w:rPr>
          <w:noProof/>
          <w:lang w:eastAsia="cs-CZ"/>
        </w:rPr>
        <w:pict w14:anchorId="7BC9C65D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28" type="#_x0000_t32" style="position:absolute;margin-left:696.75pt;margin-top:11.4pt;width:55.2pt;height:154.8pt;z-index:251658316" o:connectortype="straight">
            <v:stroke endarrow="block"/>
          </v:shape>
        </w:pict>
      </w:r>
      <w:r>
        <w:rPr>
          <w:noProof/>
          <w:lang w:eastAsia="cs-CZ"/>
        </w:rPr>
        <w:pict w14:anchorId="61831712">
          <v:shape id="_x0000_s1382" type="#_x0000_t32" style="position:absolute;margin-left:459.95pt;margin-top:10.55pt;width:97.85pt;height:216.35pt;flip:y;z-index:251675739" o:connectortype="straight">
            <v:stroke endarrow="block"/>
          </v:shape>
        </w:pict>
      </w:r>
      <w:r>
        <w:rPr>
          <w:noProof/>
          <w:lang w:eastAsia="cs-CZ"/>
        </w:rPr>
        <w:pict w14:anchorId="49188DAA">
          <v:shape id="_x0000_s1376" type="#_x0000_t32" style="position:absolute;margin-left:368.35pt;margin-top:16.85pt;width:.6pt;height:83pt;z-index:251671643" o:connectortype="straight">
            <v:stroke endarrow="block"/>
          </v:shape>
        </w:pict>
      </w:r>
      <w:r>
        <w:rPr>
          <w:noProof/>
          <w:lang w:eastAsia="cs-CZ"/>
        </w:rPr>
        <w:pict w14:anchorId="25E22EB7">
          <v:shape id="_x0000_s1343" type="#_x0000_t32" style="position:absolute;margin-left:253.95pt;margin-top:4.65pt;width:21.6pt;height:0;z-index:251658289" o:connectortype="straight">
            <v:stroke endarrow="block"/>
          </v:shape>
        </w:pict>
      </w:r>
      <w:r>
        <w:rPr>
          <w:noProof/>
          <w:lang w:eastAsia="cs-CZ"/>
        </w:rPr>
        <w:pict w14:anchorId="31DD60C7">
          <v:shape id="_x0000_s1261" type="#_x0000_t32" style="position:absolute;margin-left:102.65pt;margin-top:5.2pt;width:19.3pt;height:0;z-index:251658288" o:connectortype="straight">
            <v:stroke endarrow="block"/>
          </v:shape>
        </w:pict>
      </w:r>
    </w:p>
    <w:p w14:paraId="7FB42DC9" w14:textId="03C85AC7" w:rsidR="000561C9" w:rsidRDefault="007939E2" w:rsidP="000561C9">
      <w:r>
        <w:rPr>
          <w:noProof/>
          <w:lang w:eastAsia="cs-CZ"/>
        </w:rPr>
        <w:pict w14:anchorId="5BCA5E1C">
          <v:shape id="_x0000_s1397" type="#_x0000_t202" style="position:absolute;margin-left:274.85pt;margin-top:20.6pt;width:185.5pt;height:26.8pt;z-index:251688027;visibility:visible;mso-width-relative:margin;mso-height-relative:margin">
            <v:textbox style="mso-next-textbox:#_x0000_s1397">
              <w:txbxContent>
                <w:p w14:paraId="76CB4427" w14:textId="52C6FED8" w:rsidR="004E34C9" w:rsidRPr="00611FA8" w:rsidRDefault="004E34C9" w:rsidP="004E34C9">
                  <w:pPr>
                    <w:rPr>
                      <w:szCs w:val="18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>NKR a register NSK zodpovedajú potrebám a podmienkam slovenského vzdelávacieho systému a potrebám trhu práce.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D892E30">
          <v:shape id="_x0000_s1349" type="#_x0000_t202" style="position:absolute;margin-left:122.4pt;margin-top:17.8pt;width:131.55pt;height:41.25pt;z-index:251658248;visibility:visible;mso-width-relative:margin;mso-height-relative:margin">
            <v:textbox style="mso-next-textbox:#_x0000_s1349">
              <w:txbxContent>
                <w:p w14:paraId="774A42AB" w14:textId="51EA1FC5" w:rsidR="00BE3354" w:rsidRPr="00866F5C" w:rsidRDefault="00BE3354" w:rsidP="00BE3354">
                  <w:pPr>
                    <w:rPr>
                      <w:sz w:val="14"/>
                      <w:szCs w:val="14"/>
                      <w:lang w:val="sk-SK"/>
                    </w:rPr>
                  </w:pPr>
                  <w:r w:rsidRPr="00866F5C">
                    <w:rPr>
                      <w:sz w:val="14"/>
                      <w:szCs w:val="14"/>
                      <w:lang w:val="sk-SK"/>
                    </w:rPr>
                    <w:t>Analýzy a metodiky vytvorené na</w:t>
                  </w:r>
                  <w:r w:rsidR="00F47136">
                    <w:rPr>
                      <w:sz w:val="14"/>
                      <w:szCs w:val="14"/>
                      <w:lang w:val="sk-SK"/>
                    </w:rPr>
                    <w:t> </w:t>
                  </w:r>
                  <w:r w:rsidRPr="00866F5C">
                    <w:rPr>
                      <w:sz w:val="14"/>
                      <w:szCs w:val="14"/>
                      <w:lang w:val="sk-SK"/>
                    </w:rPr>
                    <w:t>základe existujúcich kvalifikačných rámcov</w:t>
                  </w:r>
                  <w:r>
                    <w:rPr>
                      <w:sz w:val="14"/>
                      <w:szCs w:val="14"/>
                      <w:lang w:val="sk-SK"/>
                    </w:rPr>
                    <w:t xml:space="preserve"> a národných sústav kvalifikácií</w:t>
                  </w:r>
                </w:p>
                <w:p w14:paraId="6AFB357F" w14:textId="483A1527" w:rsidR="00FF2CDE" w:rsidRPr="00BE3354" w:rsidRDefault="00FF2CDE" w:rsidP="000E6408">
                  <w:pPr>
                    <w:spacing w:after="0" w:line="192" w:lineRule="auto"/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</w:p>
    <w:p w14:paraId="3E4D6617" w14:textId="15F7FE4F" w:rsidR="000561C9" w:rsidRDefault="007939E2" w:rsidP="000561C9">
      <w:r>
        <w:rPr>
          <w:noProof/>
          <w:lang w:eastAsia="cs-CZ"/>
        </w:rPr>
        <w:pict w14:anchorId="3949B5A5">
          <v:shape id="_x0000_s1348" type="#_x0000_t32" style="position:absolute;margin-left:253.5pt;margin-top:14.35pt;width:22.6pt;height:50pt;z-index:251658306" o:connectortype="straight">
            <v:stroke endarrow="block"/>
          </v:shape>
        </w:pict>
      </w:r>
      <w:r>
        <w:rPr>
          <w:noProof/>
          <w:lang w:eastAsia="cs-CZ"/>
        </w:rPr>
        <w:pict w14:anchorId="3949B5A5">
          <v:shape id="_x0000_s1398" type="#_x0000_t32" style="position:absolute;margin-left:253.95pt;margin-top:6.5pt;width:21.6pt;height:7.85pt;flip:y;z-index:251689051" o:connectortype="straight">
            <v:stroke endarrow="block"/>
          </v:shape>
        </w:pict>
      </w:r>
      <w:r>
        <w:rPr>
          <w:noProof/>
          <w:lang w:eastAsia="cs-CZ"/>
        </w:rPr>
        <w:pict w14:anchorId="47E8EA08">
          <v:shape id="_x0000_s1278" type="#_x0000_t32" style="position:absolute;margin-left:102.05pt;margin-top:11.25pt;width:20.15pt;height:50.85pt;flip:y;z-index:251658293" o:connectortype="straight">
            <v:stroke endarrow="block"/>
          </v:shape>
        </w:pict>
      </w:r>
    </w:p>
    <w:p w14:paraId="3A5253C0" w14:textId="119A3C29" w:rsidR="000561C9" w:rsidRDefault="007939E2" w:rsidP="000561C9">
      <w:r>
        <w:rPr>
          <w:noProof/>
          <w:lang w:eastAsia="cs-CZ"/>
        </w:rPr>
        <w:pict w14:anchorId="344BD18D">
          <v:shape id="_x0000_s1256" type="#_x0000_t202" style="position:absolute;margin-left:5.65pt;margin-top:23.55pt;width:96.4pt;height:23.65pt;z-index:251658285;visibility:visible;mso-width-relative:margin;mso-height-relative:margin">
            <v:textbox style="mso-next-textbox:#_x0000_s1256">
              <w:txbxContent>
                <w:p w14:paraId="524DE5A3" w14:textId="77777777" w:rsidR="008E3DA5" w:rsidRPr="002200B6" w:rsidRDefault="008E3DA5" w:rsidP="008E3DA5">
                  <w:pPr>
                    <w:jc w:val="center"/>
                    <w:rPr>
                      <w:rFonts w:cstheme="minorHAnsi"/>
                      <w:sz w:val="14"/>
                      <w:szCs w:val="14"/>
                      <w:lang w:val="sk-SK"/>
                    </w:rPr>
                  </w:pPr>
                  <w:r w:rsidRPr="002200B6">
                    <w:rPr>
                      <w:rFonts w:cstheme="minorHAnsi"/>
                      <w:sz w:val="14"/>
                      <w:szCs w:val="14"/>
                      <w:lang w:val="sk-SK"/>
                    </w:rPr>
                    <w:t>Tvorba analýz a metodík</w:t>
                  </w:r>
                </w:p>
                <w:p w14:paraId="6C5072F8" w14:textId="77777777" w:rsidR="00FF2CDE" w:rsidRPr="000154C1" w:rsidRDefault="00FF2CDE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2836BCA">
          <v:shape id="_x0000_s1363" type="#_x0000_t202" style="position:absolute;margin-left:275.55pt;margin-top:24.15pt;width:185.5pt;height:24.6pt;z-index:251659355;visibility:visible;mso-width-relative:margin;mso-height-relative:margin">
            <v:textbox style="mso-next-textbox:#_x0000_s1363">
              <w:txbxContent>
                <w:p w14:paraId="085F38CF" w14:textId="77777777" w:rsidR="00B60F95" w:rsidRPr="00F4360D" w:rsidRDefault="00B60F95" w:rsidP="00B60F95">
                  <w:pPr>
                    <w:rPr>
                      <w:sz w:val="14"/>
                      <w:szCs w:val="14"/>
                      <w:lang w:val="sk-SK"/>
                    </w:rPr>
                  </w:pPr>
                  <w:r w:rsidRPr="00F4360D">
                    <w:rPr>
                      <w:sz w:val="14"/>
                      <w:szCs w:val="14"/>
                      <w:lang w:val="sk-SK"/>
                    </w:rPr>
                    <w:t xml:space="preserve">Využitie podkladov pre tvorbu matíc slovenskej NSK </w:t>
                  </w:r>
                </w:p>
                <w:p w14:paraId="48C60DC3" w14:textId="77777777" w:rsidR="00DC0FCB" w:rsidRPr="006C16A7" w:rsidRDefault="00DC0FCB" w:rsidP="00DC0FCB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2D357331">
          <v:shape id="_x0000_s1138" type="#_x0000_t202" style="position:absolute;margin-left:123pt;margin-top:21.95pt;width:131.55pt;height:31pt;z-index:251658249;visibility:visible;mso-width-relative:margin;mso-height-relative:margin">
            <v:textbox style="mso-next-textbox:#_x0000_s1138">
              <w:txbxContent>
                <w:p w14:paraId="7280EACB" w14:textId="77777777" w:rsidR="00B00F7A" w:rsidRPr="00866F5C" w:rsidRDefault="00B00F7A" w:rsidP="00B00F7A">
                  <w:pPr>
                    <w:rPr>
                      <w:sz w:val="14"/>
                      <w:szCs w:val="14"/>
                      <w:lang w:val="sk-SK"/>
                    </w:rPr>
                  </w:pPr>
                  <w:r w:rsidRPr="00866F5C">
                    <w:rPr>
                      <w:sz w:val="14"/>
                      <w:szCs w:val="14"/>
                      <w:lang w:val="sk-SK"/>
                    </w:rPr>
                    <w:t>Semináre zabezpečujúce spätnú väzbu k analýzam a metodikám</w:t>
                  </w:r>
                </w:p>
                <w:p w14:paraId="370B2333" w14:textId="2ADA4767" w:rsidR="00FF2CDE" w:rsidRPr="006C16A7" w:rsidRDefault="00FF2CDE" w:rsidP="00DA35ED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0363CCF6" w14:textId="68CBFE73" w:rsidR="000561C9" w:rsidRDefault="007939E2" w:rsidP="000561C9">
      <w:r>
        <w:rPr>
          <w:noProof/>
          <w:lang w:eastAsia="cs-CZ"/>
        </w:rPr>
        <w:pict w14:anchorId="32C22C7C">
          <v:shape id="_x0000_s1367" type="#_x0000_t32" style="position:absolute;margin-left:102.05pt;margin-top:10.2pt;width:20.95pt;height:56pt;z-index:251663451" o:connectortype="straight">
            <v:stroke endarrow="block"/>
          </v:shape>
        </w:pict>
      </w:r>
      <w:r>
        <w:rPr>
          <w:noProof/>
          <w:lang w:eastAsia="cs-CZ"/>
        </w:rPr>
        <w:pict w14:anchorId="47FC3851">
          <v:shape id="_x0000_s1281" type="#_x0000_t32" style="position:absolute;margin-left:102.05pt;margin-top:11.2pt;width:22.35pt;height:0;z-index:251658295" o:connectortype="straight">
            <v:stroke endarrow="block"/>
          </v:shape>
        </w:pict>
      </w:r>
      <w:r>
        <w:rPr>
          <w:noProof/>
          <w:lang w:eastAsia="cs-CZ"/>
        </w:rPr>
        <w:pict w14:anchorId="3A70DE2F">
          <v:shape id="_x0000_s1377" type="#_x0000_t32" style="position:absolute;margin-left:367.75pt;margin-top:24.3pt;width:.6pt;height:88.1pt;flip:x;z-index:251672667" o:connectortype="straight">
            <v:stroke endarrow="block"/>
          </v:shape>
        </w:pict>
      </w:r>
      <w:r>
        <w:rPr>
          <w:noProof/>
          <w:lang w:eastAsia="cs-CZ"/>
        </w:rPr>
        <w:pict w14:anchorId="776625CE">
          <v:shape id="_x0000_s1373" type="#_x0000_t32" style="position:absolute;margin-left:254.95pt;margin-top:14.05pt;width:19.9pt;height:52.9pt;flip:y;z-index:251669595" o:connectortype="straight">
            <v:stroke endarrow="block"/>
          </v:shape>
        </w:pict>
      </w:r>
      <w:r>
        <w:rPr>
          <w:noProof/>
          <w:lang w:eastAsia="cs-CZ"/>
        </w:rPr>
        <w:pict w14:anchorId="0A4976FE">
          <v:shape id="_x0000_s1372" type="#_x0000_t32" style="position:absolute;margin-left:253.75pt;margin-top:12.85pt;width:22.55pt;height:.4pt;z-index:251668571" o:connectortype="straight">
            <v:stroke endarrow="block"/>
          </v:shape>
        </w:pict>
      </w:r>
      <w:r>
        <w:rPr>
          <w:noProof/>
          <w:lang w:eastAsia="cs-CZ"/>
        </w:rPr>
        <w:pict w14:anchorId="017C6820">
          <v:shape id="_x0000_s1223" type="#_x0000_t202" style="position:absolute;margin-left:909.3pt;margin-top:15.05pt;width:85.05pt;height:129.7pt;z-index:251658271;mso-width-relative:margin;mso-height-relative:margin" fillcolor="white [3212]">
            <v:textbox style="mso-next-textbox:#_x0000_s1223">
              <w:txbxContent>
                <w:p w14:paraId="000AADA1" w14:textId="1AC45D09" w:rsidR="00FF2CDE" w:rsidRPr="00DB7B73" w:rsidRDefault="00DB7B73" w:rsidP="00DB7B7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sk-SK"/>
                    </w:rPr>
                  </w:pPr>
                  <w:r w:rsidRPr="00DB7B73">
                    <w:rPr>
                      <w:sz w:val="16"/>
                      <w:szCs w:val="16"/>
                      <w:lang w:val="sk-SK"/>
                    </w:rPr>
                    <w:t>Zvyšovať podiel ekonomicky aktívneho obyvateľstva participujúceho na</w:t>
                  </w:r>
                  <w:r>
                    <w:rPr>
                      <w:sz w:val="16"/>
                      <w:szCs w:val="16"/>
                      <w:lang w:val="sk-SK"/>
                    </w:rPr>
                    <w:t> </w:t>
                  </w:r>
                  <w:r w:rsidRPr="00DB7B73">
                    <w:rPr>
                      <w:sz w:val="16"/>
                      <w:szCs w:val="16"/>
                      <w:lang w:val="sk-SK"/>
                    </w:rPr>
                    <w:t>programoch ďalšieho vzdelávania a zvýšiť informovanosť o možnostiach vzdelávania sa počas celého života</w:t>
                  </w:r>
                </w:p>
              </w:txbxContent>
            </v:textbox>
          </v:shape>
        </w:pict>
      </w:r>
    </w:p>
    <w:p w14:paraId="26BAB589" w14:textId="0355A95A" w:rsidR="000561C9" w:rsidRDefault="007939E2" w:rsidP="000561C9">
      <w:r>
        <w:rPr>
          <w:noProof/>
          <w:lang w:eastAsia="cs-CZ"/>
        </w:rPr>
        <w:pict w14:anchorId="7126E983">
          <v:shape id="_x0000_s1211" type="#_x0000_t202" style="position:absolute;margin-left:752.9pt;margin-top:14.05pt;width:116.15pt;height:57.45pt;z-index:251658266;mso-width-relative:margin;mso-height-relative:margin" fillcolor="white [3212]">
            <v:textbox style="mso-next-textbox:#_x0000_s1211">
              <w:txbxContent>
                <w:p w14:paraId="7EC1F539" w14:textId="77777777" w:rsidR="00965D08" w:rsidRPr="007D11C4" w:rsidRDefault="00965D08" w:rsidP="00C209D8">
                  <w:pPr>
                    <w:spacing w:after="0"/>
                    <w:rPr>
                      <w:sz w:val="14"/>
                      <w:szCs w:val="14"/>
                      <w:lang w:val="sk-SK"/>
                    </w:rPr>
                  </w:pPr>
                  <w:r w:rsidRPr="007D11C4">
                    <w:rPr>
                      <w:rFonts w:cstheme="minorHAnsi"/>
                      <w:sz w:val="14"/>
                      <w:szCs w:val="14"/>
                      <w:lang w:val="sk-SK" w:bidi="lo-LA"/>
                    </w:rPr>
                    <w:t>Vytvorený efektívny systém CŽV zameraný na rozvoj kľúčových kompetencií, prehlbovanie a zvyšovanie kvalifikácií v súlade s potrebami spoločnosti</w:t>
                  </w:r>
                </w:p>
                <w:p w14:paraId="2226671A" w14:textId="1E42ABB5" w:rsidR="00904F09" w:rsidRPr="00333F9A" w:rsidRDefault="00904F09" w:rsidP="00904F09">
                  <w:pPr>
                    <w:spacing w:after="0" w:line="192" w:lineRule="auto"/>
                    <w:rPr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6CE7420">
          <v:shape id="_x0000_s1331" type="#_x0000_t202" style="position:absolute;margin-left:558.7pt;margin-top:13.5pt;width:138.05pt;height:36pt;z-index:251658291;visibility:visible;mso-width-relative:margin;mso-height-relative:margin">
            <v:textbox style="mso-next-textbox:#_x0000_s1331">
              <w:txbxContent>
                <w:p w14:paraId="41A0DC7B" w14:textId="77777777" w:rsidR="00B108BF" w:rsidRPr="00B108BF" w:rsidRDefault="00B108BF" w:rsidP="00C209D8">
                  <w:pPr>
                    <w:spacing w:after="0"/>
                    <w:rPr>
                      <w:sz w:val="14"/>
                      <w:szCs w:val="14"/>
                      <w:lang w:val="sk-SK"/>
                    </w:rPr>
                  </w:pPr>
                  <w:r w:rsidRPr="00B108BF">
                    <w:rPr>
                      <w:sz w:val="14"/>
                      <w:szCs w:val="14"/>
                      <w:lang w:val="sk-SK"/>
                    </w:rPr>
                    <w:t xml:space="preserve">Vytvorenie systému získavania, hodnotenia a uznávania kvalifikácií v SR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1013BDB2">
          <v:shape id="_x0000_s1366" type="#_x0000_t202" style="position:absolute;margin-left:123pt;margin-top:13.5pt;width:131.55pt;height:57.2pt;z-index:251662427;visibility:visible;mso-width-relative:margin;mso-height-relative:margin">
            <v:textbox style="mso-next-textbox:#_x0000_s1366">
              <w:txbxContent>
                <w:p w14:paraId="7FB5665D" w14:textId="77777777" w:rsidR="000E0B05" w:rsidRPr="00E12C85" w:rsidRDefault="000E0B05" w:rsidP="000E0B05">
                  <w:pPr>
                    <w:rPr>
                      <w:sz w:val="14"/>
                      <w:szCs w:val="14"/>
                      <w:lang w:val="sk-SK"/>
                    </w:rPr>
                  </w:pPr>
                  <w:r w:rsidRPr="00E12C85">
                    <w:rPr>
                      <w:sz w:val="14"/>
                      <w:szCs w:val="14"/>
                      <w:lang w:val="sk-SK"/>
                    </w:rPr>
                    <w:t>Vytvorená matica pre tvorbu NSK (určenie počtu referenčných úrovní, väzba na národné stupne vzdelávania a ostatné formy vzdelávania a kvalifikácií)</w:t>
                  </w:r>
                </w:p>
                <w:p w14:paraId="29EBA5E2" w14:textId="77777777" w:rsidR="00B1744F" w:rsidRPr="006C16A7" w:rsidRDefault="00B1744F" w:rsidP="00B1744F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63D31D23" w14:textId="068AAF8B" w:rsidR="000561C9" w:rsidRDefault="007939E2" w:rsidP="000561C9">
      <w:r>
        <w:rPr>
          <w:noProof/>
          <w:lang w:eastAsia="cs-CZ"/>
        </w:rPr>
        <w:pict w14:anchorId="117D2B02">
          <v:shape id="_x0000_s1394" type="#_x0000_t32" style="position:absolute;margin-left:868.7pt;margin-top:15.3pt;width:41.2pt;height:172.6pt;z-index:251687003" o:connectortype="straight">
            <v:stroke endarrow="block"/>
          </v:shape>
        </w:pict>
      </w:r>
      <w:r>
        <w:rPr>
          <w:noProof/>
          <w:lang w:eastAsia="cs-CZ"/>
        </w:rPr>
        <w:pict w14:anchorId="5EBFFE28">
          <v:shape id="_x0000_s1392" type="#_x0000_t32" style="position:absolute;margin-left:701.7pt;margin-top:15.65pt;width:49.1pt;height:229.75pt;flip:y;z-index:251684955" o:connectortype="straight">
            <v:stroke endarrow="block"/>
          </v:shape>
        </w:pict>
      </w:r>
      <w:r>
        <w:rPr>
          <w:noProof/>
          <w:lang w:eastAsia="cs-CZ"/>
        </w:rPr>
        <w:pict w14:anchorId="14D67642">
          <v:shape id="_x0000_s1330" type="#_x0000_t32" style="position:absolute;margin-left:697.25pt;margin-top:3.5pt;width:56.7pt;height:11.8pt;z-index:251658314" o:connectortype="straight">
            <v:stroke endarrow="block"/>
          </v:shape>
        </w:pict>
      </w:r>
      <w:r>
        <w:rPr>
          <w:noProof/>
          <w:lang w:eastAsia="cs-CZ"/>
        </w:rPr>
        <w:pict w14:anchorId="5C358D14">
          <v:shape id="_x0000_s1389" type="#_x0000_t32" style="position:absolute;margin-left:869.05pt;margin-top:14.2pt;width:41.35pt;height:308.05pt;z-index:251682907" o:connectortype="straight">
            <v:stroke endarrow="block"/>
          </v:shape>
        </w:pict>
      </w:r>
      <w:r>
        <w:rPr>
          <w:noProof/>
          <w:lang w:eastAsia="cs-CZ"/>
        </w:rPr>
        <w:pict w14:anchorId="025968F5">
          <v:shape id="_x0000_s1384" type="#_x0000_t32" style="position:absolute;margin-left:460.45pt;margin-top:6.3pt;width:97.8pt;height:116.75pt;flip:y;z-index:251677787" o:connectortype="straight">
            <v:stroke endarrow="block"/>
          </v:shape>
        </w:pict>
      </w:r>
    </w:p>
    <w:p w14:paraId="3511B5C9" w14:textId="74ED6B80" w:rsidR="000561C9" w:rsidRDefault="007939E2" w:rsidP="000561C9">
      <w:r>
        <w:rPr>
          <w:noProof/>
        </w:rPr>
        <w:pict w14:anchorId="12BDD55C">
          <v:shape id="_x0000_s1332" type="#_x0000_t32" style="position:absolute;margin-left:810.55pt;margin-top:20.65pt;width:.8pt;height:101.5pt;z-index:251658319" o:connectortype="straight">
            <v:stroke endarrow="block"/>
          </v:shape>
        </w:pict>
      </w:r>
    </w:p>
    <w:p w14:paraId="0377B358" w14:textId="7AB88813" w:rsidR="000561C9" w:rsidRDefault="007939E2" w:rsidP="000561C9">
      <w:r>
        <w:rPr>
          <w:noProof/>
          <w:lang w:eastAsia="cs-CZ"/>
        </w:rPr>
        <w:pict w14:anchorId="34C4DFD9">
          <v:shape id="_x0000_s1383" type="#_x0000_t32" style="position:absolute;margin-left:459.95pt;margin-top:23.9pt;width:101.65pt;height:70.8pt;z-index:251676763" o:connectortype="straight">
            <v:stroke endarrow="block"/>
          </v:shape>
        </w:pict>
      </w:r>
      <w:r>
        <w:rPr>
          <w:noProof/>
          <w:lang w:eastAsia="cs-CZ"/>
        </w:rPr>
        <w:pict w14:anchorId="697478D1">
          <v:shape id="_x0000_s1335" type="#_x0000_t32" style="position:absolute;margin-left:254.35pt;margin-top:23.9pt;width:20.1pt;height:0;z-index:251658304" o:connectortype="straight">
            <v:stroke endarrow="block"/>
          </v:shape>
        </w:pict>
      </w:r>
      <w:r>
        <w:rPr>
          <w:noProof/>
          <w:lang w:eastAsia="cs-CZ"/>
        </w:rPr>
        <w:pict w14:anchorId="02836BCA">
          <v:shape id="_x0000_s1356" type="#_x0000_t202" style="position:absolute;margin-left:274.65pt;margin-top:10.65pt;width:185.5pt;height:26.5pt;z-index:251658326;visibility:visible;mso-width-relative:margin;mso-height-relative:margin">
            <v:textbox style="mso-next-textbox:#_x0000_s1356">
              <w:txbxContent>
                <w:p w14:paraId="57F6F8CD" w14:textId="77777777" w:rsidR="00C42729" w:rsidRPr="00F4360D" w:rsidRDefault="00C42729" w:rsidP="00C42729">
                  <w:pPr>
                    <w:spacing w:after="0" w:line="240" w:lineRule="auto"/>
                    <w:rPr>
                      <w:sz w:val="14"/>
                      <w:szCs w:val="14"/>
                      <w:lang w:val="sk-SK"/>
                    </w:rPr>
                  </w:pPr>
                  <w:r w:rsidRPr="007F7B55">
                    <w:rPr>
                      <w:sz w:val="14"/>
                      <w:szCs w:val="14"/>
                      <w:lang w:val="sk-SK"/>
                    </w:rPr>
                    <w:t>Vytvorenie NKR zodpovedajúceho európskemu kvalifikačnému rámcu</w:t>
                  </w:r>
                  <w:r>
                    <w:rPr>
                      <w:sz w:val="14"/>
                      <w:szCs w:val="14"/>
                      <w:lang w:val="sk-SK"/>
                    </w:rPr>
                    <w:t xml:space="preserve"> </w:t>
                  </w:r>
                </w:p>
                <w:p w14:paraId="39B4E9F7" w14:textId="77777777" w:rsidR="00FA2B75" w:rsidRPr="006C16A7" w:rsidRDefault="00FA2B75" w:rsidP="00FA2B75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439F0B59">
          <v:shape id="_x0000_s1371" type="#_x0000_t32" style="position:absolute;margin-left:103.1pt;margin-top:22.1pt;width:19.65pt;height:51.1pt;z-index:251667547" o:connectortype="straight">
            <v:stroke endarrow="block"/>
          </v:shape>
        </w:pict>
      </w:r>
      <w:r>
        <w:rPr>
          <w:noProof/>
          <w:lang w:eastAsia="cs-CZ"/>
        </w:rPr>
        <w:pict w14:anchorId="320962AE">
          <v:shape id="_x0000_s1288" type="#_x0000_t32" style="position:absolute;margin-left:102.65pt;margin-top:22.1pt;width:20.75pt;height:0;z-index:251658302" o:connectortype="straight">
            <v:stroke endarrow="block"/>
          </v:shape>
        </w:pict>
      </w:r>
      <w:r>
        <w:rPr>
          <w:noProof/>
          <w:lang w:eastAsia="cs-CZ"/>
        </w:rPr>
        <w:pict w14:anchorId="57FA1138">
          <v:shape id="_x0000_s1259" type="#_x0000_t202" style="position:absolute;margin-left:6.25pt;margin-top:2pt;width:96.4pt;height:42pt;z-index:251658286;visibility:visible;mso-width-relative:margin;mso-height-relative:margin">
            <v:textbox style="mso-next-textbox:#_x0000_s1259">
              <w:txbxContent>
                <w:p w14:paraId="42ECF48C" w14:textId="77777777" w:rsidR="0078548A" w:rsidRPr="002200B6" w:rsidRDefault="0078548A" w:rsidP="0078548A">
                  <w:pPr>
                    <w:spacing w:after="0" w:line="240" w:lineRule="auto"/>
                    <w:jc w:val="center"/>
                    <w:rPr>
                      <w:rFonts w:cstheme="minorHAnsi"/>
                      <w:bCs/>
                      <w:sz w:val="14"/>
                      <w:szCs w:val="14"/>
                      <w:lang w:val="sk-SK"/>
                    </w:rPr>
                  </w:pPr>
                  <w:r w:rsidRPr="002200B6">
                    <w:rPr>
                      <w:rFonts w:cstheme="minorHAnsi"/>
                      <w:sz w:val="14"/>
                      <w:szCs w:val="14"/>
                      <w:lang w:val="sk-SK"/>
                    </w:rPr>
                    <w:t>Tvorba Národného kvalifikačného rámca a Národnej sústavy kvalifikácii</w:t>
                  </w:r>
                </w:p>
                <w:p w14:paraId="40169F31" w14:textId="45B81AE7" w:rsidR="000154C1" w:rsidRPr="00F60A0F" w:rsidRDefault="000154C1" w:rsidP="000154C1">
                  <w:pPr>
                    <w:spacing w:after="0" w:line="240" w:lineRule="auto"/>
                    <w:jc w:val="center"/>
                    <w:rPr>
                      <w:bCs/>
                      <w:sz w:val="18"/>
                      <w:szCs w:val="18"/>
                      <w:lang w:val="sk-SK"/>
                    </w:rPr>
                  </w:pPr>
                </w:p>
                <w:p w14:paraId="3EE5E14F" w14:textId="77777777" w:rsidR="00FF2CDE" w:rsidRDefault="00FF2CDE" w:rsidP="00121304"/>
              </w:txbxContent>
            </v:textbox>
          </v:shape>
        </w:pict>
      </w:r>
      <w:r>
        <w:rPr>
          <w:noProof/>
          <w:lang w:eastAsia="cs-CZ"/>
        </w:rPr>
        <w:pict w14:anchorId="5BB2F014">
          <v:shape id="_x0000_s1355" type="#_x0000_t202" style="position:absolute;margin-left:123.4pt;margin-top:4.7pt;width:131.55pt;height:38.3pt;z-index:251658250;visibility:visible;mso-width-relative:margin;mso-height-relative:margin">
            <v:textbox style="mso-next-textbox:#_x0000_s1355">
              <w:txbxContent>
                <w:p w14:paraId="711EBFA2" w14:textId="77777777" w:rsidR="00D63F2A" w:rsidRPr="00795191" w:rsidRDefault="00D63F2A" w:rsidP="00D63F2A">
                  <w:pPr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 xml:space="preserve">Vytvorené </w:t>
                  </w:r>
                  <w:r w:rsidRPr="00795191">
                    <w:rPr>
                      <w:sz w:val="14"/>
                      <w:szCs w:val="14"/>
                      <w:lang w:val="sk-SK"/>
                    </w:rPr>
                    <w:t xml:space="preserve">Karty kvalifikácií </w:t>
                  </w:r>
                  <w:r>
                    <w:rPr>
                      <w:sz w:val="14"/>
                      <w:szCs w:val="14"/>
                      <w:lang w:val="sk-SK"/>
                    </w:rPr>
                    <w:t xml:space="preserve">definujúce charakteristiky povolaní </w:t>
                  </w:r>
                  <w:r w:rsidRPr="00795191">
                    <w:rPr>
                      <w:sz w:val="14"/>
                      <w:szCs w:val="14"/>
                      <w:lang w:val="sk-SK"/>
                    </w:rPr>
                    <w:t>ako súčasť registra úplných a čiastočných kvalifikácií</w:t>
                  </w:r>
                </w:p>
                <w:p w14:paraId="4213EE64" w14:textId="77777777" w:rsidR="00FF2CDE" w:rsidRPr="000E6408" w:rsidRDefault="00FF2CDE" w:rsidP="000E6408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2227E9D9" w14:textId="0E739632" w:rsidR="000561C9" w:rsidRDefault="000561C9" w:rsidP="000561C9"/>
    <w:p w14:paraId="7042EA1E" w14:textId="70AA86ED" w:rsidR="000561C9" w:rsidRDefault="007939E2" w:rsidP="000561C9">
      <w:r>
        <w:rPr>
          <w:noProof/>
          <w:lang w:eastAsia="cs-CZ"/>
        </w:rPr>
        <w:pict w14:anchorId="70B00D3F">
          <v:shape id="_x0000_s1385" type="#_x0000_t32" style="position:absolute;margin-left:459.95pt;margin-top:21.85pt;width:101.3pt;height:22.65pt;z-index:251678811" o:connectortype="straight">
            <v:stroke endarrow="block"/>
          </v:shape>
        </w:pict>
      </w:r>
      <w:r>
        <w:rPr>
          <w:noProof/>
          <w:lang w:eastAsia="cs-CZ"/>
        </w:rPr>
        <w:pict w14:anchorId="697478D1">
          <v:shape id="_x0000_s1360" type="#_x0000_t32" style="position:absolute;margin-left:254.75pt;margin-top:21.85pt;width:20.4pt;height:0;z-index:251658327" o:connectortype="straight">
            <v:stroke endarrow="block"/>
          </v:shape>
        </w:pict>
      </w:r>
      <w:r>
        <w:rPr>
          <w:noProof/>
          <w:lang w:eastAsia="cs-CZ"/>
        </w:rPr>
        <w:pict w14:anchorId="0423B8C8">
          <v:shape id="_x0000_s1359" type="#_x0000_t202" style="position:absolute;margin-left:274.65pt;margin-top:7.5pt;width:185.5pt;height:28.25pt;z-index:251658243;visibility:visible;mso-width-relative:margin;mso-height-relative:margin">
            <v:textbox style="mso-next-textbox:#_x0000_s1359">
              <w:txbxContent>
                <w:p w14:paraId="411958E3" w14:textId="4B3404EF" w:rsidR="00012388" w:rsidRPr="00F4360D" w:rsidRDefault="006B7965" w:rsidP="00012388">
                  <w:pPr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>Definované v</w:t>
                  </w:r>
                  <w:r w:rsidR="00012388" w:rsidRPr="00F4360D">
                    <w:rPr>
                      <w:sz w:val="14"/>
                      <w:szCs w:val="14"/>
                      <w:lang w:val="sk-SK"/>
                    </w:rPr>
                    <w:t>äzb</w:t>
                  </w:r>
                  <w:r>
                    <w:rPr>
                      <w:sz w:val="14"/>
                      <w:szCs w:val="14"/>
                      <w:lang w:val="sk-SK"/>
                    </w:rPr>
                    <w:t>y</w:t>
                  </w:r>
                  <w:r w:rsidR="00012388" w:rsidRPr="00F4360D">
                    <w:rPr>
                      <w:sz w:val="14"/>
                      <w:szCs w:val="14"/>
                      <w:lang w:val="sk-SK"/>
                    </w:rPr>
                    <w:t xml:space="preserve"> medzi úrovňami kvalifikácie s jednotlivými povolaniami na trhu práce </w:t>
                  </w:r>
                </w:p>
                <w:p w14:paraId="18D56AFD" w14:textId="77777777" w:rsidR="00FF2CDE" w:rsidRPr="006C16A7" w:rsidRDefault="00FF2CDE" w:rsidP="00634AF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1013BDB2">
          <v:shape id="_x0000_s1287" type="#_x0000_t202" style="position:absolute;margin-left:123.4pt;margin-top:2.4pt;width:131.55pt;height:40.85pt;z-index:251658301;visibility:visible;mso-width-relative:margin;mso-height-relative:margin">
            <v:textbox style="mso-next-textbox:#_x0000_s1287">
              <w:txbxContent>
                <w:p w14:paraId="29CAF52E" w14:textId="77777777" w:rsidR="00274E97" w:rsidRPr="00795191" w:rsidRDefault="00274E97" w:rsidP="00274E97">
                  <w:pPr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>Identifikované rámce, referenčné úrovne vzdelávania a </w:t>
                  </w:r>
                  <w:proofErr w:type="spellStart"/>
                  <w:r>
                    <w:rPr>
                      <w:sz w:val="14"/>
                      <w:szCs w:val="14"/>
                      <w:lang w:val="sk-SK"/>
                    </w:rPr>
                    <w:t>deskriptory</w:t>
                  </w:r>
                  <w:proofErr w:type="spellEnd"/>
                  <w:r>
                    <w:rPr>
                      <w:sz w:val="14"/>
                      <w:szCs w:val="14"/>
                      <w:lang w:val="sk-SK"/>
                    </w:rPr>
                    <w:t xml:space="preserve"> pre jednotlivé povolania pre tvorbu NKR</w:t>
                  </w:r>
                </w:p>
                <w:p w14:paraId="3F84388D" w14:textId="77777777" w:rsidR="00DA35ED" w:rsidRPr="006C16A7" w:rsidRDefault="00DA35ED" w:rsidP="00DA35ED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53A524AA">
          <v:shape id="_x0000_s1224" type="#_x0000_t202" style="position:absolute;margin-left:909.9pt;margin-top:21.3pt;width:85.05pt;height:127.6pt;z-index:251658272;mso-width-relative:margin;mso-height-relative:margin" fillcolor="white [3212]">
            <v:textbox style="mso-next-textbox:#_x0000_s1224">
              <w:txbxContent>
                <w:p w14:paraId="4970DEB4" w14:textId="553504AB" w:rsidR="00FF2CDE" w:rsidRPr="00DB7B73" w:rsidRDefault="00DB7B73" w:rsidP="00DB7B7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sk-SK"/>
                    </w:rPr>
                  </w:pPr>
                  <w:r w:rsidRPr="00DB7B73">
                    <w:rPr>
                      <w:sz w:val="16"/>
                      <w:szCs w:val="16"/>
                      <w:lang w:val="sk-SK"/>
                    </w:rPr>
                    <w:t>Zvyšovať a obnovovať úroveň kľúčových kompetencií a priebežne dopĺňať kvalifikáciu osôb na trhu práce v s</w:t>
                  </w:r>
                  <w:r>
                    <w:rPr>
                      <w:sz w:val="16"/>
                      <w:szCs w:val="16"/>
                      <w:lang w:val="sk-SK"/>
                    </w:rPr>
                    <w:t>ú</w:t>
                  </w:r>
                  <w:r w:rsidRPr="00DB7B73">
                    <w:rPr>
                      <w:sz w:val="16"/>
                      <w:szCs w:val="16"/>
                      <w:lang w:val="sk-SK"/>
                    </w:rPr>
                    <w:t>lade s aktuálnymi a perspektívnymi potrebami vedomostnej spoločnosti</w:t>
                  </w:r>
                </w:p>
              </w:txbxContent>
            </v:textbox>
          </v:shape>
        </w:pict>
      </w:r>
    </w:p>
    <w:p w14:paraId="521C7B41" w14:textId="173BCF22" w:rsidR="000561C9" w:rsidRDefault="007939E2" w:rsidP="000561C9">
      <w:r>
        <w:rPr>
          <w:noProof/>
          <w:lang w:eastAsia="cs-CZ"/>
        </w:rPr>
        <w:pict w14:anchorId="6C86160D">
          <v:shape id="_x0000_s1391" type="#_x0000_t32" style="position:absolute;margin-left:698.9pt;margin-top:17.25pt;width:55.75pt;height:24.35pt;z-index:251683931" o:connectortype="straight">
            <v:stroke endarrow="block"/>
          </v:shape>
        </w:pict>
      </w:r>
      <w:r>
        <w:rPr>
          <w:noProof/>
          <w:lang w:eastAsia="cs-CZ"/>
        </w:rPr>
        <w:pict w14:anchorId="7690DA37">
          <v:shape id="_x0000_s1217" type="#_x0000_t202" style="position:absolute;margin-left:754.65pt;margin-top:21.3pt;width:114.4pt;height:38.25pt;z-index:251658267;mso-width-relative:margin;mso-height-relative:margin" fillcolor="white [3212]">
            <v:fill color2="#dbe5f1 [660]" rotate="t"/>
            <v:textbox style="mso-next-textbox:#_x0000_s1217">
              <w:txbxContent>
                <w:p w14:paraId="142B9329" w14:textId="0ADE94D8" w:rsidR="00FF2CDE" w:rsidRPr="007D11C4" w:rsidRDefault="00E40BD2" w:rsidP="000561C9">
                  <w:pPr>
                    <w:rPr>
                      <w:sz w:val="14"/>
                      <w:szCs w:val="14"/>
                      <w:lang w:val="sk-SK"/>
                    </w:rPr>
                  </w:pPr>
                  <w:r w:rsidRPr="007D11C4">
                    <w:rPr>
                      <w:sz w:val="14"/>
                      <w:szCs w:val="14"/>
                      <w:lang w:val="sk-SK"/>
                    </w:rPr>
                    <w:t xml:space="preserve">Dostatok kvalifikovaných </w:t>
                  </w:r>
                  <w:r w:rsidR="00316B94" w:rsidRPr="007D11C4">
                    <w:rPr>
                      <w:sz w:val="14"/>
                      <w:szCs w:val="14"/>
                      <w:lang w:val="sk-SK"/>
                    </w:rPr>
                    <w:t>pracovníkov pre potreby trhu práce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60611A39">
          <v:shape id="_x0000_s1361" type="#_x0000_t202" style="position:absolute;margin-left:561.6pt;margin-top:.5pt;width:138.05pt;height:32.1pt;z-index:251658276;visibility:visible;mso-width-relative:margin;mso-height-relative:margin">
            <v:textbox style="mso-next-textbox:#_x0000_s1361">
              <w:txbxContent>
                <w:p w14:paraId="5A5142FE" w14:textId="6B87BF2A" w:rsidR="004F4810" w:rsidRPr="00F4360D" w:rsidRDefault="00112469" w:rsidP="004F4810">
                  <w:pPr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>Zvýšená informovanosť</w:t>
                  </w:r>
                  <w:r w:rsidR="004F4810" w:rsidRPr="00F4360D">
                    <w:rPr>
                      <w:sz w:val="14"/>
                      <w:szCs w:val="14"/>
                      <w:lang w:val="sk-SK"/>
                    </w:rPr>
                    <w:t xml:space="preserve"> o odborných kvalifikáciách </w:t>
                  </w:r>
                  <w:r w:rsidR="00C44C54">
                    <w:rPr>
                      <w:sz w:val="14"/>
                      <w:szCs w:val="14"/>
                      <w:lang w:val="sk-SK"/>
                    </w:rPr>
                    <w:t>a trhu práce</w:t>
                  </w:r>
                </w:p>
                <w:p w14:paraId="2843FF09" w14:textId="77777777" w:rsidR="00FF2CDE" w:rsidRPr="006C16A7" w:rsidRDefault="00FF2CDE" w:rsidP="000561C9">
                  <w:pPr>
                    <w:rPr>
                      <w:color w:val="FF0000"/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113DF594">
          <v:shape id="_x0000_s1386" type="#_x0000_t32" style="position:absolute;margin-left:460.45pt;margin-top:18.7pt;width:101.15pt;height:43.5pt;flip:y;z-index:251679835" o:connectortype="straight">
            <v:stroke endarrow="block"/>
          </v:shape>
        </w:pict>
      </w:r>
    </w:p>
    <w:p w14:paraId="29B15E48" w14:textId="37DDEE59" w:rsidR="000561C9" w:rsidRDefault="007939E2" w:rsidP="000561C9">
      <w:r>
        <w:rPr>
          <w:noProof/>
          <w:lang w:eastAsia="cs-CZ"/>
        </w:rPr>
        <w:pict w14:anchorId="580D91F0">
          <v:shape id="_x0000_s1393" type="#_x0000_t32" style="position:absolute;margin-left:704.55pt;margin-top:14.4pt;width:49.05pt;height:166.25pt;flip:y;z-index:251685979" o:connectortype="straight">
            <v:stroke endarrow="block"/>
          </v:shape>
        </w:pict>
      </w:r>
      <w:r>
        <w:rPr>
          <w:noProof/>
          <w:lang w:eastAsia="cs-CZ"/>
        </w:rPr>
        <w:pict w14:anchorId="62569D35">
          <v:shape id="_x0000_s1157" type="#_x0000_t202" style="position:absolute;margin-left:274.45pt;margin-top:20.85pt;width:185.5pt;height:33pt;z-index:251658244;visibility:visible;mso-width-relative:margin;mso-height-relative:margin">
            <v:textbox style="mso-next-textbox:#_x0000_s1157">
              <w:txbxContent>
                <w:p w14:paraId="2832A35D" w14:textId="77777777" w:rsidR="00C5369E" w:rsidRPr="00F4360D" w:rsidRDefault="00C5369E" w:rsidP="00C5369E">
                  <w:pPr>
                    <w:rPr>
                      <w:sz w:val="14"/>
                      <w:szCs w:val="14"/>
                      <w:lang w:val="sk-SK"/>
                    </w:rPr>
                  </w:pPr>
                  <w:r w:rsidRPr="00F4360D">
                    <w:rPr>
                      <w:sz w:val="14"/>
                      <w:szCs w:val="14"/>
                      <w:lang w:val="sk-SK"/>
                    </w:rPr>
                    <w:t>Implementovaný funkčný Informačný systém ako nástroj na zvyšovanie informovanosti v oblasti kvalifikácií</w:t>
                  </w:r>
                </w:p>
                <w:p w14:paraId="08E082B7" w14:textId="77777777" w:rsidR="00FF2CDE" w:rsidRPr="00DD7C0B" w:rsidRDefault="00FF2CDE" w:rsidP="00634AF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7C26EB8F">
          <v:shape id="_x0000_s1260" type="#_x0000_t202" style="position:absolute;margin-left:6.25pt;margin-top:10.35pt;width:96.4pt;height:53.05pt;z-index:251658287;visibility:visible;mso-width-relative:margin;mso-height-relative:margin">
            <v:textbox style="mso-next-textbox:#_x0000_s1260">
              <w:txbxContent>
                <w:p w14:paraId="091D3E5C" w14:textId="77777777" w:rsidR="00EA5B58" w:rsidRPr="005B5576" w:rsidRDefault="00EA5B58" w:rsidP="00EA5B58">
                  <w:pPr>
                    <w:spacing w:after="0" w:line="240" w:lineRule="auto"/>
                    <w:jc w:val="center"/>
                    <w:rPr>
                      <w:rFonts w:cstheme="minorHAnsi"/>
                      <w:bCs/>
                      <w:sz w:val="14"/>
                      <w:szCs w:val="14"/>
                      <w:lang w:val="sk-SK"/>
                    </w:rPr>
                  </w:pPr>
                  <w:r w:rsidRPr="005B5576">
                    <w:rPr>
                      <w:rFonts w:cstheme="minorHAnsi"/>
                      <w:sz w:val="14"/>
                      <w:szCs w:val="14"/>
                      <w:lang w:val="sk-SK"/>
                    </w:rPr>
                    <w:t>Vytvorenie informačného systému Národného kvalifikačného rámca</w:t>
                  </w:r>
                  <w:r w:rsidRPr="00EB5847">
                    <w:rPr>
                      <w:rFonts w:cstheme="minorHAnsi"/>
                      <w:sz w:val="18"/>
                      <w:szCs w:val="18"/>
                      <w:lang w:val="sk-SK"/>
                    </w:rPr>
                    <w:t xml:space="preserve"> </w:t>
                  </w:r>
                  <w:r w:rsidRPr="005B5576">
                    <w:rPr>
                      <w:rFonts w:cstheme="minorHAnsi"/>
                      <w:sz w:val="14"/>
                      <w:szCs w:val="14"/>
                      <w:lang w:val="sk-SK"/>
                    </w:rPr>
                    <w:t>a Národnej sústavy kvalifikácií</w:t>
                  </w:r>
                </w:p>
                <w:p w14:paraId="1E5E5E03" w14:textId="77777777" w:rsidR="00FF2CDE" w:rsidRPr="005B5576" w:rsidRDefault="00FF2CDE" w:rsidP="00121304">
                  <w:pPr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</w:p>
    <w:p w14:paraId="147AB8B1" w14:textId="3ED88C84" w:rsidR="000561C9" w:rsidRDefault="007939E2" w:rsidP="000561C9">
      <w:r>
        <w:rPr>
          <w:noProof/>
        </w:rPr>
        <w:pict w14:anchorId="63AE0BD3">
          <v:shape id="_x0000_s1285" type="#_x0000_t32" style="position:absolute;margin-left:254.75pt;margin-top:11.95pt;width:19.5pt;height:0;z-index:251658299" o:connectortype="straight">
            <v:stroke endarrow="block"/>
          </v:shape>
        </w:pict>
      </w:r>
      <w:r>
        <w:rPr>
          <w:noProof/>
          <w:lang w:eastAsia="cs-CZ"/>
        </w:rPr>
        <w:pict w14:anchorId="0E3B47A7">
          <v:shape id="_x0000_s1282" type="#_x0000_t32" style="position:absolute;margin-left:102.6pt;margin-top:11.35pt;width:20.8pt;height:0;z-index:251658296" o:connectortype="straight">
            <v:stroke endarrow="block"/>
          </v:shape>
        </w:pict>
      </w:r>
      <w:r>
        <w:rPr>
          <w:noProof/>
          <w:lang w:eastAsia="cs-CZ"/>
        </w:rPr>
        <w:pict w14:anchorId="2FD9F789">
          <v:shape id="_x0000_s1141" type="#_x0000_t202" style="position:absolute;margin-left:123pt;margin-top:1.1pt;width:131.55pt;height:21.85pt;z-index:251658251;visibility:visible;mso-width-relative:margin;mso-height-relative:margin">
            <v:textbox style="mso-next-textbox:#_x0000_s1141">
              <w:txbxContent>
                <w:p w14:paraId="01B4B62D" w14:textId="77777777" w:rsidR="00B53309" w:rsidRPr="0065078E" w:rsidRDefault="00B53309" w:rsidP="00B53309">
                  <w:pPr>
                    <w:rPr>
                      <w:sz w:val="14"/>
                      <w:szCs w:val="14"/>
                      <w:lang w:val="sk-SK"/>
                    </w:rPr>
                  </w:pPr>
                  <w:r w:rsidRPr="0065078E">
                    <w:rPr>
                      <w:sz w:val="14"/>
                      <w:szCs w:val="14"/>
                      <w:lang w:val="sk-SK"/>
                    </w:rPr>
                    <w:t>Vytvorený informačný systém</w:t>
                  </w:r>
                </w:p>
                <w:p w14:paraId="1DD45E81" w14:textId="0BC0E242" w:rsidR="00FF2CDE" w:rsidRPr="00B53309" w:rsidRDefault="00FF2CDE">
                  <w:pPr>
                    <w:rPr>
                      <w:lang w:val="sk-SK"/>
                    </w:rPr>
                  </w:pPr>
                </w:p>
              </w:txbxContent>
            </v:textbox>
          </v:shape>
        </w:pict>
      </w:r>
    </w:p>
    <w:p w14:paraId="430C0B2F" w14:textId="373378C6" w:rsidR="000561C9" w:rsidRDefault="007939E2" w:rsidP="000561C9">
      <w:r>
        <w:rPr>
          <w:noProof/>
        </w:rPr>
        <w:pict w14:anchorId="78F9FDE3">
          <v:shape id="_x0000_s1378" type="#_x0000_t202" style="position:absolute;margin-left:563.65pt;margin-top:3pt;width:138.05pt;height:71.8pt;z-index:251673691;visibility:visible;mso-width-relative:margin;mso-height-relative:margin">
            <v:textbox style="mso-next-textbox:#_x0000_s1378">
              <w:txbxContent>
                <w:p w14:paraId="6ADE9F4A" w14:textId="77777777" w:rsidR="000C43F9" w:rsidRDefault="000C43F9" w:rsidP="008D2B40">
                  <w:pPr>
                    <w:spacing w:after="0"/>
                    <w:rPr>
                      <w:sz w:val="14"/>
                      <w:szCs w:val="14"/>
                      <w:lang w:val="sk-SK"/>
                    </w:rPr>
                  </w:pPr>
                  <w:r w:rsidRPr="00F4360D">
                    <w:rPr>
                      <w:sz w:val="14"/>
                      <w:szCs w:val="14"/>
                      <w:lang w:val="sk-SK"/>
                    </w:rPr>
                    <w:t xml:space="preserve">Zvýšené kompetencie cieľových skupín v oblasti tvorby kvalifikačných a hodnotiacich štandardov pre učebné odbory </w:t>
                  </w:r>
                  <w:r>
                    <w:rPr>
                      <w:sz w:val="14"/>
                      <w:szCs w:val="14"/>
                      <w:lang w:val="sk-SK"/>
                    </w:rPr>
                    <w:t>a využívania NSK a NKR</w:t>
                  </w:r>
                </w:p>
                <w:p w14:paraId="7991CE2B" w14:textId="77777777" w:rsidR="000C43F9" w:rsidRPr="00F4360D" w:rsidRDefault="000C43F9" w:rsidP="008D2B40">
                  <w:pPr>
                    <w:spacing w:after="0"/>
                    <w:rPr>
                      <w:sz w:val="14"/>
                      <w:szCs w:val="14"/>
                      <w:lang w:val="sk-SK"/>
                    </w:rPr>
                  </w:pPr>
                  <w:r w:rsidRPr="00545E58">
                    <w:rPr>
                      <w:sz w:val="14"/>
                      <w:szCs w:val="14"/>
                      <w:lang w:val="sk-SK" w:bidi="lo-LA"/>
                    </w:rPr>
                    <w:t>za účelom zvyšovania kvality programov</w:t>
                  </w:r>
                  <w:r>
                    <w:rPr>
                      <w:sz w:val="14"/>
                      <w:szCs w:val="14"/>
                      <w:lang w:val="sk-SK" w:bidi="lo-LA"/>
                    </w:rPr>
                    <w:t>, v ktorých sa pripravujú študenti</w:t>
                  </w:r>
                </w:p>
                <w:p w14:paraId="1D58B36D" w14:textId="77777777" w:rsidR="00AA2B65" w:rsidRPr="006C16A7" w:rsidRDefault="00AA2B65" w:rsidP="00AA2B65">
                  <w:pPr>
                    <w:rPr>
                      <w:color w:val="FF0000"/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4015DC59" w14:textId="1B05F4AD" w:rsidR="00DD7C0B" w:rsidRDefault="007939E2">
      <w:r>
        <w:rPr>
          <w:noProof/>
        </w:rPr>
        <w:pict w14:anchorId="305AE9F5">
          <v:shape id="_x0000_s1387" type="#_x0000_t32" style="position:absolute;margin-left:461.05pt;margin-top:9.05pt;width:102.6pt;height:51.25pt;flip:y;z-index:251680859" o:connectortype="straight">
            <v:stroke endarrow="block"/>
          </v:shape>
        </w:pict>
      </w:r>
      <w:r>
        <w:rPr>
          <w:noProof/>
          <w:lang w:eastAsia="cs-CZ"/>
        </w:rPr>
        <w:pict w14:anchorId="158721C3">
          <v:shape id="_x0000_s1142" type="#_x0000_t202" style="position:absolute;margin-left:123.75pt;margin-top:24.2pt;width:131.55pt;height:27.3pt;z-index:251658252;visibility:visible;mso-width-relative:margin;mso-height-relative:margin">
            <v:textbox style="mso-next-textbox:#_x0000_s1142">
              <w:txbxContent>
                <w:p w14:paraId="14FDE0C9" w14:textId="4C393B9F" w:rsidR="00510E0F" w:rsidRPr="0065078E" w:rsidRDefault="00510E0F" w:rsidP="00510E0F">
                  <w:pPr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>Vytvorené 4 akreditované vzdelávacie programy</w:t>
                  </w:r>
                </w:p>
                <w:p w14:paraId="4A04AF81" w14:textId="77777777" w:rsidR="00FF2CDE" w:rsidRPr="002B6F57" w:rsidRDefault="00FF2CDE">
                  <w:pPr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</w:p>
    <w:p w14:paraId="21B306BE" w14:textId="3285867D" w:rsidR="00DD7C0B" w:rsidRDefault="007939E2">
      <w:r>
        <w:rPr>
          <w:noProof/>
          <w:lang w:eastAsia="cs-CZ"/>
        </w:rPr>
        <w:pict w14:anchorId="456D84A9">
          <v:shape id="Text Box 57" o:spid="_x0000_s1153" type="#_x0000_t202" style="position:absolute;margin-left:275.55pt;margin-top:19.4pt;width:185.5pt;height:37.05pt;z-index:251658242;visibility:visible;mso-width-relative:margin;mso-height-relative:margin">
            <v:textbox style="mso-next-textbox:#Text Box 57">
              <w:txbxContent>
                <w:p w14:paraId="492A16F6" w14:textId="35148A45" w:rsidR="00A517DB" w:rsidRPr="00545E58" w:rsidRDefault="00A517DB" w:rsidP="00A517DB">
                  <w:pPr>
                    <w:rPr>
                      <w:sz w:val="14"/>
                      <w:szCs w:val="14"/>
                      <w:lang w:val="sk-SK" w:bidi="lo-LA"/>
                    </w:rPr>
                  </w:pPr>
                  <w:r>
                    <w:rPr>
                      <w:sz w:val="14"/>
                      <w:szCs w:val="14"/>
                      <w:lang w:val="sk-SK" w:bidi="lo-LA"/>
                    </w:rPr>
                    <w:t xml:space="preserve">Cieľové skupiny </w:t>
                  </w:r>
                  <w:r w:rsidR="00582C12">
                    <w:rPr>
                      <w:sz w:val="14"/>
                      <w:szCs w:val="14"/>
                      <w:lang w:val="sk-SK" w:bidi="lo-LA"/>
                    </w:rPr>
                    <w:t xml:space="preserve">sa naučili </w:t>
                  </w:r>
                  <w:r>
                    <w:rPr>
                      <w:sz w:val="14"/>
                      <w:szCs w:val="14"/>
                      <w:lang w:val="sk-SK" w:bidi="lo-LA"/>
                    </w:rPr>
                    <w:t xml:space="preserve">pracovať s databázou NSK a NKR </w:t>
                  </w:r>
                </w:p>
                <w:p w14:paraId="57B94F03" w14:textId="0FEE6F22" w:rsidR="00FF2CDE" w:rsidRPr="00A517DB" w:rsidRDefault="00FF2CDE" w:rsidP="00634AF8">
                  <w:pPr>
                    <w:rPr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1F51F332">
          <v:shape id="_x0000_s1283" type="#_x0000_t32" style="position:absolute;margin-left:255.3pt;margin-top:12.65pt;width:20.25pt;height:20.4pt;z-index:251658297" o:connectortype="straight">
            <v:stroke endarrow="block"/>
          </v:shape>
        </w:pict>
      </w:r>
      <w:r>
        <w:rPr>
          <w:noProof/>
          <w:lang w:eastAsia="cs-CZ"/>
        </w:rPr>
        <w:pict w14:anchorId="424FF69F">
          <v:shape id="_x0000_s1370" type="#_x0000_t32" style="position:absolute;margin-left:103.45pt;margin-top:11.35pt;width:20.3pt;height:19.85pt;flip:y;z-index:251666523" o:connectortype="straight">
            <v:stroke endarrow="block"/>
          </v:shape>
        </w:pict>
      </w:r>
      <w:r>
        <w:rPr>
          <w:noProof/>
          <w:lang w:eastAsia="cs-CZ"/>
        </w:rPr>
        <w:pict w14:anchorId="7C26EB8F">
          <v:shape id="_x0000_s1369" type="#_x0000_t202" style="position:absolute;margin-left:7.05pt;margin-top:8.7pt;width:96.4pt;height:45.45pt;z-index:251665499;visibility:visible;mso-width-relative:margin;mso-height-relative:margin">
            <v:textbox style="mso-next-textbox:#_x0000_s1369">
              <w:txbxContent>
                <w:p w14:paraId="183C36F4" w14:textId="77777777" w:rsidR="002200B6" w:rsidRPr="005B5576" w:rsidRDefault="002200B6" w:rsidP="002200B6">
                  <w:pPr>
                    <w:spacing w:after="0" w:line="240" w:lineRule="auto"/>
                    <w:jc w:val="center"/>
                    <w:rPr>
                      <w:rFonts w:cstheme="minorHAnsi"/>
                      <w:bCs/>
                      <w:sz w:val="14"/>
                      <w:szCs w:val="14"/>
                      <w:lang w:val="sk-SK"/>
                    </w:rPr>
                  </w:pPr>
                  <w:r w:rsidRPr="005B5576">
                    <w:rPr>
                      <w:rFonts w:cstheme="minorHAnsi"/>
                      <w:sz w:val="14"/>
                      <w:szCs w:val="14"/>
                      <w:lang w:val="sk-SK"/>
                    </w:rPr>
                    <w:t>Ďalšie vzdelávanie cieľových skupín na tvorbu a používanie NKR, NSK a IS</w:t>
                  </w:r>
                </w:p>
                <w:p w14:paraId="676D94E5" w14:textId="67112819" w:rsidR="00631B53" w:rsidRPr="005B5576" w:rsidRDefault="00631B53" w:rsidP="00631B53">
                  <w:pPr>
                    <w:spacing w:after="0" w:line="240" w:lineRule="auto"/>
                    <w:jc w:val="center"/>
                    <w:rPr>
                      <w:rFonts w:cstheme="minorHAnsi"/>
                      <w:bCs/>
                      <w:sz w:val="14"/>
                      <w:szCs w:val="14"/>
                      <w:lang w:val="sk-SK"/>
                    </w:rPr>
                  </w:pPr>
                  <w:r w:rsidRPr="005B5576">
                    <w:rPr>
                      <w:rFonts w:cstheme="minorHAnsi"/>
                      <w:sz w:val="14"/>
                      <w:szCs w:val="14"/>
                      <w:lang w:val="sk-SK"/>
                    </w:rPr>
                    <w:t>kvalifikácií</w:t>
                  </w:r>
                </w:p>
                <w:p w14:paraId="71F5F7B8" w14:textId="77777777" w:rsidR="00631B53" w:rsidRPr="000154C1" w:rsidRDefault="00631B53" w:rsidP="00631B53">
                  <w:pPr>
                    <w:rPr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DCBEF39">
          <v:shape id="_x0000_s1225" type="#_x0000_t202" style="position:absolute;margin-left:909.9pt;margin-top:19.8pt;width:85.05pt;height:95.8pt;z-index:251658273;mso-width-relative:margin;mso-height-relative:margin" fillcolor="white [3212]">
            <v:textbox style="mso-next-textbox:#_x0000_s1225">
              <w:txbxContent>
                <w:p w14:paraId="3176745E" w14:textId="44A22224" w:rsidR="00FF2CDE" w:rsidRPr="00DB7B73" w:rsidRDefault="00DB7B73" w:rsidP="00DB7B7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sk-SK"/>
                    </w:rPr>
                  </w:pPr>
                  <w:r w:rsidRPr="00DB7B73">
                    <w:rPr>
                      <w:sz w:val="16"/>
                      <w:szCs w:val="16"/>
                      <w:lang w:val="sk-SK"/>
                    </w:rPr>
                    <w:t>Vytvoriť systém kompatibility a priechodnosti medzi sektormi formálneho, neformálneho</w:t>
                  </w:r>
                  <w:r>
                    <w:rPr>
                      <w:sz w:val="16"/>
                      <w:szCs w:val="16"/>
                      <w:lang w:val="sk-SK"/>
                    </w:rPr>
                    <w:t xml:space="preserve"> </w:t>
                  </w:r>
                  <w:r w:rsidRPr="00DB7B73">
                    <w:rPr>
                      <w:sz w:val="16"/>
                      <w:szCs w:val="16"/>
                      <w:lang w:val="sk-SK"/>
                    </w:rPr>
                    <w:t>a</w:t>
                  </w:r>
                  <w:r>
                    <w:rPr>
                      <w:sz w:val="16"/>
                      <w:szCs w:val="16"/>
                      <w:lang w:val="sk-SK"/>
                    </w:rPr>
                    <w:t> </w:t>
                  </w:r>
                  <w:r w:rsidRPr="00DB7B73">
                    <w:rPr>
                      <w:sz w:val="16"/>
                      <w:szCs w:val="16"/>
                      <w:lang w:val="sk-SK"/>
                    </w:rPr>
                    <w:t>informálneho vzdelávania</w:t>
                  </w:r>
                </w:p>
              </w:txbxContent>
            </v:textbox>
          </v:shape>
        </w:pict>
      </w:r>
    </w:p>
    <w:p w14:paraId="6C167AA4" w14:textId="6EC9332D" w:rsidR="00DD7C0B" w:rsidRDefault="007939E2">
      <w:r>
        <w:rPr>
          <w:noProof/>
        </w:rPr>
        <w:pict w14:anchorId="170D3445">
          <v:shape id="_x0000_s1388" type="#_x0000_t32" style="position:absolute;margin-left:461.05pt;margin-top:9.4pt;width:103.65pt;height:45.2pt;z-index:251681883" o:connectortype="straight">
            <v:stroke endarrow="block"/>
          </v:shape>
        </w:pict>
      </w:r>
      <w:r>
        <w:rPr>
          <w:noProof/>
        </w:rPr>
        <w:pict w14:anchorId="64620C49">
          <v:shape id="_x0000_s1374" type="#_x0000_t32" style="position:absolute;margin-left:255.55pt;margin-top:6.9pt;width:20.55pt;height:19.7pt;flip:y;z-index:251670619" o:connectortype="straight">
            <v:stroke endarrow="block"/>
          </v:shape>
        </w:pict>
      </w:r>
      <w:r>
        <w:rPr>
          <w:noProof/>
        </w:rPr>
        <w:pict w14:anchorId="7C27D637">
          <v:shape id="_x0000_s1284" type="#_x0000_t32" style="position:absolute;margin-left:103.1pt;margin-top:6pt;width:21.3pt;height:21.6pt;z-index:251658298" o:connectortype="straight">
            <v:stroke endarrow="block"/>
          </v:shape>
        </w:pict>
      </w:r>
      <w:r>
        <w:rPr>
          <w:noProof/>
          <w:lang w:eastAsia="cs-CZ"/>
        </w:rPr>
        <w:pict w14:anchorId="158721C3">
          <v:shape id="_x0000_s1368" type="#_x0000_t202" style="position:absolute;margin-left:124.4pt;margin-top:16.1pt;width:131.55pt;height:21.9pt;z-index:251664475;visibility:visible;mso-width-relative:margin;mso-height-relative:margin">
            <v:textbox style="mso-next-textbox:#_x0000_s1368">
              <w:txbxContent>
                <w:p w14:paraId="3ABEBA97" w14:textId="77777777" w:rsidR="0085436C" w:rsidRPr="0065078E" w:rsidRDefault="0085436C" w:rsidP="0085436C">
                  <w:pPr>
                    <w:rPr>
                      <w:sz w:val="14"/>
                      <w:szCs w:val="14"/>
                      <w:lang w:val="sk-SK"/>
                    </w:rPr>
                  </w:pPr>
                  <w:r w:rsidRPr="0065078E">
                    <w:rPr>
                      <w:sz w:val="14"/>
                      <w:szCs w:val="14"/>
                      <w:lang w:val="sk-SK"/>
                    </w:rPr>
                    <w:t>Odborné tematické semináre</w:t>
                  </w:r>
                </w:p>
                <w:p w14:paraId="129C0700" w14:textId="77777777" w:rsidR="00101361" w:rsidRDefault="00101361" w:rsidP="00101361"/>
              </w:txbxContent>
            </v:textbox>
          </v:shape>
        </w:pict>
      </w:r>
    </w:p>
    <w:p w14:paraId="356BDAB1" w14:textId="27650BD8" w:rsidR="00DD7C0B" w:rsidRDefault="007939E2">
      <w:r>
        <w:rPr>
          <w:noProof/>
        </w:rPr>
        <w:pict w14:anchorId="78F9FDE3">
          <v:shape id="_x0000_s1379" type="#_x0000_t202" style="position:absolute;margin-left:565.2pt;margin-top:6.3pt;width:138.05pt;height:41.35pt;z-index:251674715;visibility:visible;mso-width-relative:margin;mso-height-relative:margin">
            <v:textbox style="mso-next-textbox:#_x0000_s1379">
              <w:txbxContent>
                <w:p w14:paraId="0FDDB759" w14:textId="7B779533" w:rsidR="0047766D" w:rsidRPr="00D74134" w:rsidRDefault="000D6CF7" w:rsidP="0047766D">
                  <w:pPr>
                    <w:spacing w:after="0" w:line="240" w:lineRule="auto"/>
                    <w:rPr>
                      <w:color w:val="000000" w:themeColor="text1"/>
                      <w:sz w:val="14"/>
                      <w:szCs w:val="14"/>
                      <w:lang w:val="sk-SK"/>
                    </w:rPr>
                  </w:pPr>
                  <w:r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>Tvorba programov</w:t>
                  </w:r>
                  <w:r w:rsidR="0047766D" w:rsidRPr="009A4F73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 xml:space="preserve"> CŽV odpovedajúcich štandardom kvalifikácií v súlade s NKR</w:t>
                  </w:r>
                  <w:r w:rsidR="0047766D" w:rsidRPr="00D74134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 xml:space="preserve"> </w:t>
                  </w:r>
                </w:p>
                <w:p w14:paraId="1ABEEF41" w14:textId="77777777" w:rsidR="00547D50" w:rsidRPr="006C16A7" w:rsidRDefault="00547D50" w:rsidP="00547D50">
                  <w:pPr>
                    <w:rPr>
                      <w:color w:val="FF0000"/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05B18E8C" w14:textId="7E84632F" w:rsidR="00DD7C0B" w:rsidRDefault="00DD7C0B"/>
    <w:p w14:paraId="07B646F6" w14:textId="6BC67A17" w:rsidR="00DD7C0B" w:rsidRDefault="00DD7C0B"/>
    <w:p w14:paraId="45322993" w14:textId="77777777" w:rsidR="00AB0F05" w:rsidRDefault="00AB0F05"/>
    <w:p w14:paraId="3070B861" w14:textId="55587E8B" w:rsidR="00B90147" w:rsidRDefault="007939E2">
      <w:r>
        <w:rPr>
          <w:noProof/>
          <w:lang w:eastAsia="cs-CZ"/>
        </w:rPr>
        <w:pict w14:anchorId="66D20934">
          <v:roundrect id="AutoShape 35" o:spid="_x0000_s1130" style="position:absolute;margin-left:-4.85pt;margin-top:3pt;width:134.1pt;height:161.15pt;z-index:251658256;visibility:visible" arcsize="5822f" fillcolor="yellow"/>
        </w:pict>
      </w:r>
      <w:r>
        <w:rPr>
          <w:noProof/>
          <w:lang w:eastAsia="cs-CZ"/>
        </w:rPr>
        <w:pict w14:anchorId="55747DC4">
          <v:roundrect id="_x0000_s1185" style="position:absolute;margin-left:136.4pt;margin-top:3pt;width:377.85pt;height:161.15pt;z-index:251658259;visibility:visible" arcsize="4706f" fillcolor="yellow"/>
        </w:pict>
      </w:r>
      <w:r>
        <w:rPr>
          <w:noProof/>
          <w:lang w:eastAsia="cs-CZ"/>
        </w:rPr>
        <w:pict w14:anchorId="25EB7858">
          <v:roundrect id="_x0000_s1249" style="position:absolute;margin-left:521.45pt;margin-top:3pt;width:480.85pt;height:161.15pt;z-index:251658279;visibility:visible" arcsize="4706f" fillcolor="#ffc000"/>
        </w:pict>
      </w:r>
      <w:r>
        <w:rPr>
          <w:noProof/>
          <w:lang w:eastAsia="cs-CZ"/>
        </w:rPr>
        <w:pict w14:anchorId="1C0175FF">
          <v:shape id="_x0000_s1186" type="#_x0000_t202" style="position:absolute;margin-left:160.1pt;margin-top:12.25pt;width:324.7pt;height:21.35pt;z-index:2516582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186">
              <w:txbxContent>
                <w:p w14:paraId="665B0130" w14:textId="77777777" w:rsidR="00FF2CDE" w:rsidRPr="00DD7C0B" w:rsidRDefault="00DD7C0B" w:rsidP="00952F6F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VÝCHODISKOVÉ POTREBY CIEĽOVÝCH SKUPÍN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109B213">
          <v:shape id="_x0000_s1250" type="#_x0000_t202" style="position:absolute;margin-left:529.8pt;margin-top:10.9pt;width:458.35pt;height:21.35pt;z-index:251658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1A2D1BF8" w14:textId="77777777" w:rsidR="00FF2CDE" w:rsidRPr="00F66DB9" w:rsidRDefault="00FF2CDE" w:rsidP="00F66DB9">
                  <w:pPr>
                    <w:jc w:val="center"/>
                    <w:rPr>
                      <w:szCs w:val="20"/>
                    </w:rPr>
                  </w:pPr>
                  <w:r w:rsidRPr="00F66DB9">
                    <w:rPr>
                      <w:b/>
                      <w:sz w:val="20"/>
                      <w:szCs w:val="20"/>
                    </w:rPr>
                    <w:t xml:space="preserve">MERATEĽNÉ UKAZOVATELE VÝSLEDKU </w:t>
                  </w:r>
                  <w:r>
                    <w:rPr>
                      <w:b/>
                      <w:sz w:val="20"/>
                      <w:szCs w:val="20"/>
                    </w:rPr>
                    <w:t>A</w:t>
                  </w:r>
                  <w:r w:rsidRPr="00F66DB9">
                    <w:rPr>
                      <w:b/>
                      <w:sz w:val="20"/>
                      <w:szCs w:val="20"/>
                    </w:rPr>
                    <w:t xml:space="preserve"> DOPADU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F186B1C">
          <v:shape id="Text Box 37" o:spid="_x0000_s1131" type="#_x0000_t202" style="position:absolute;margin-left:1.15pt;margin-top:10.9pt;width:118.1pt;height:21.35pt;z-index:251658257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3834F1D4" w14:textId="77777777" w:rsidR="00FF2CDE" w:rsidRPr="008541E8" w:rsidRDefault="00FF2CDE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VSTUPY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</w:p>
    <w:p w14:paraId="6F5E24D2" w14:textId="5F4D049D" w:rsidR="00B90147" w:rsidRDefault="007939E2">
      <w:r>
        <w:rPr>
          <w:noProof/>
        </w:rPr>
        <w:pict w14:anchorId="4C9C5429">
          <v:shape id="Textové pole 2" o:spid="_x0000_s1322" type="#_x0000_t202" style="position:absolute;margin-left:151.8pt;margin-top:10.95pt;width:347.3pt;height:47.6pt;z-index:25165832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4FC5FCDE" w14:textId="3EFB7FCD" w:rsidR="007B5509" w:rsidRPr="00F22219" w:rsidRDefault="007939E2" w:rsidP="00F22219">
                  <w:pPr>
                    <w:pStyle w:val="Odsekzoznamu"/>
                    <w:numPr>
                      <w:ilvl w:val="0"/>
                      <w:numId w:val="5"/>
                    </w:numPr>
                    <w:rPr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Stratégia Európa 2020 (r. 2010) zdôrazňuje potrebu vytvorenia národných kvalifikačných rámcov podporujúcich prispôsobovanie vzdelávania k potrebám trhu práce</w:t>
                  </w:r>
                  <w:bookmarkStart w:id="0" w:name="_GoBack"/>
                  <w:bookmarkEnd w:id="0"/>
                </w:p>
              </w:txbxContent>
            </v:textbox>
            <w10:wrap type="square"/>
          </v:shape>
        </w:pict>
      </w:r>
      <w:r>
        <w:rPr>
          <w:noProof/>
          <w:lang w:eastAsia="cs-CZ"/>
        </w:rPr>
        <w:pict w14:anchorId="22B80FCC">
          <v:shape id="_x0000_s1251" type="#_x0000_t202" style="position:absolute;margin-left:528.25pt;margin-top:6.8pt;width:465.5pt;height:122.9pt;z-index:251658281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6447"/>
                    <w:gridCol w:w="1177"/>
                    <w:gridCol w:w="1064"/>
                  </w:tblGrid>
                  <w:tr w:rsidR="00E70A99" w14:paraId="29266F50" w14:textId="77777777" w:rsidTr="00E70A99">
                    <w:tc>
                      <w:tcPr>
                        <w:tcW w:w="534" w:type="dxa"/>
                      </w:tcPr>
                      <w:p w14:paraId="1C6CEF3D" w14:textId="77777777" w:rsidR="00E70A99" w:rsidRPr="00904F09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904F09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Typ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A22B8E0" w14:textId="77777777" w:rsidR="00E70A99" w:rsidRPr="00904F09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904F09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Názov merateľného ukazovateľa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11B2851" w14:textId="77777777" w:rsidR="00E70A99" w:rsidRPr="00904F09" w:rsidRDefault="00E70A99" w:rsidP="005412F8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904F09">
                          <w:rPr>
                            <w:sz w:val="18"/>
                            <w:szCs w:val="18"/>
                            <w:lang w:val="sk-SK"/>
                          </w:rPr>
                          <w:t>Plánovaný stav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49E67514" w14:textId="77777777" w:rsidR="00E70A99" w:rsidRPr="00904F09" w:rsidRDefault="00E70A99" w:rsidP="005412F8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F22219">
                          <w:rPr>
                            <w:sz w:val="18"/>
                            <w:szCs w:val="18"/>
                            <w:lang w:val="sk-SK"/>
                          </w:rPr>
                          <w:t>Skutočný stav</w:t>
                        </w:r>
                        <w:r w:rsidR="00904F09" w:rsidRPr="00F22219">
                          <w:rPr>
                            <w:sz w:val="18"/>
                            <w:szCs w:val="18"/>
                            <w:lang w:val="sk-SK"/>
                          </w:rPr>
                          <w:t xml:space="preserve"> podľa poslednej ZMS</w:t>
                        </w:r>
                      </w:p>
                    </w:tc>
                  </w:tr>
                  <w:tr w:rsidR="00E70A99" w14:paraId="426F2A86" w14:textId="77777777" w:rsidTr="00E70A99">
                    <w:tc>
                      <w:tcPr>
                        <w:tcW w:w="534" w:type="dxa"/>
                      </w:tcPr>
                      <w:p w14:paraId="42890AE2" w14:textId="68FE259F" w:rsidR="008110C3" w:rsidRPr="00904F09" w:rsidRDefault="00087589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E734A22" w14:textId="71D0FE9E" w:rsidR="00E70A99" w:rsidRPr="00904F09" w:rsidRDefault="00B66B50" w:rsidP="005412F8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57476A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Počet definovaných kvalifikačných a hodnotiacich štandardov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7EFBF83" w14:textId="7886B7B7" w:rsidR="00E70A99" w:rsidRPr="00904F09" w:rsidRDefault="00087589" w:rsidP="00FF2CDE">
                        <w:pPr>
                          <w:jc w:val="right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900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5392D12A" w14:textId="7EC93905" w:rsidR="00E70A99" w:rsidRPr="00904F09" w:rsidRDefault="00087589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900</w:t>
                        </w:r>
                      </w:p>
                    </w:tc>
                  </w:tr>
                  <w:tr w:rsidR="00E70A99" w14:paraId="47B145A6" w14:textId="77777777" w:rsidTr="00E70A99">
                    <w:tc>
                      <w:tcPr>
                        <w:tcW w:w="534" w:type="dxa"/>
                      </w:tcPr>
                      <w:p w14:paraId="3DBF3098" w14:textId="78F63E84" w:rsidR="00E70A99" w:rsidRPr="00904F09" w:rsidRDefault="00087589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AB80FDB" w14:textId="32F36C04" w:rsidR="00E70A99" w:rsidRPr="00904F09" w:rsidRDefault="001F211B" w:rsidP="003602F2">
                        <w:pP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57476A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Počet novovytvorených vzdelávacích programov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32454031" w14:textId="089D624A" w:rsidR="00E70A99" w:rsidRPr="00904F09" w:rsidRDefault="00087589" w:rsidP="00FF2CDE">
                        <w:pPr>
                          <w:jc w:val="right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4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5BC6667" w14:textId="18D072E6" w:rsidR="00E70A99" w:rsidRPr="00904F09" w:rsidRDefault="00087589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4</w:t>
                        </w:r>
                      </w:p>
                    </w:tc>
                  </w:tr>
                  <w:tr w:rsidR="00E70A99" w14:paraId="70279DDF" w14:textId="77777777" w:rsidTr="00E70A99">
                    <w:tc>
                      <w:tcPr>
                        <w:tcW w:w="534" w:type="dxa"/>
                      </w:tcPr>
                      <w:p w14:paraId="76C9CF09" w14:textId="19C95487" w:rsidR="00E70A99" w:rsidRPr="00904F09" w:rsidRDefault="00087589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7189564" w14:textId="47B34316" w:rsidR="00E70A99" w:rsidRPr="00904F09" w:rsidRDefault="00804BB3" w:rsidP="005412F8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57476A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Počet osôb zapojených do realizácie aktivít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527E064" w14:textId="32276373" w:rsidR="00E70A99" w:rsidRPr="00904F09" w:rsidRDefault="00310029" w:rsidP="00FF2CDE">
                        <w:pPr>
                          <w:jc w:val="right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4 095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5D8259C" w14:textId="45E029CB" w:rsidR="00E70A99" w:rsidRPr="00904F09" w:rsidRDefault="00310029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1 192</w:t>
                        </w:r>
                      </w:p>
                    </w:tc>
                  </w:tr>
                  <w:tr w:rsidR="00E70A99" w14:paraId="31606050" w14:textId="77777777" w:rsidTr="00E70A99">
                    <w:tc>
                      <w:tcPr>
                        <w:tcW w:w="534" w:type="dxa"/>
                      </w:tcPr>
                      <w:p w14:paraId="3AE069CD" w14:textId="5BBC7B36" w:rsidR="00E70A99" w:rsidRPr="00904F09" w:rsidRDefault="00087589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4E47A5A1" w14:textId="2CD498F5" w:rsidR="00E70A99" w:rsidRPr="00904F09" w:rsidRDefault="001D370F" w:rsidP="003602F2">
                        <w:pP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57476A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Počet zavedených elektronických služieb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2DA9E842" w14:textId="44ECF217" w:rsidR="00E70A99" w:rsidRPr="00904F09" w:rsidRDefault="00087589" w:rsidP="00FF2CDE">
                        <w:pPr>
                          <w:jc w:val="right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1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6A3FEC7D" w14:textId="511026D5" w:rsidR="00E70A99" w:rsidRPr="00904F09" w:rsidRDefault="00087589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</w:t>
                        </w:r>
                      </w:p>
                    </w:tc>
                  </w:tr>
                  <w:tr w:rsidR="00E70A99" w14:paraId="20FCB574" w14:textId="77777777" w:rsidTr="00E70A99">
                    <w:tc>
                      <w:tcPr>
                        <w:tcW w:w="534" w:type="dxa"/>
                      </w:tcPr>
                      <w:p w14:paraId="595B9BED" w14:textId="55C7B1D5" w:rsidR="00E70A99" w:rsidRDefault="00087589" w:rsidP="00E70A9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2A79BC26" w14:textId="3DCF539E" w:rsidR="00E70A99" w:rsidRDefault="00087589" w:rsidP="00231123">
                        <w:pPr>
                          <w:rPr>
                            <w:sz w:val="18"/>
                            <w:szCs w:val="18"/>
                          </w:rPr>
                        </w:pPr>
                        <w:r w:rsidRPr="0057476A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Počet novovytvorených/inovovaných vzdelávacích programov využívaných po ukončení realizácie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B33CA9C" w14:textId="73AEA858" w:rsidR="00E70A99" w:rsidRPr="00FF2CDE" w:rsidRDefault="00087589" w:rsidP="00087589">
                        <w:pPr>
                          <w:tabs>
                            <w:tab w:val="left" w:pos="7512"/>
                          </w:tabs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4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CF07D1E" w14:textId="0E7D388D" w:rsidR="00E70A99" w:rsidRDefault="00087589" w:rsidP="008C0162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4</w:t>
                        </w:r>
                      </w:p>
                    </w:tc>
                  </w:tr>
                </w:tbl>
                <w:p w14:paraId="401CE722" w14:textId="77777777" w:rsidR="00FF2CDE" w:rsidRPr="00952F6F" w:rsidRDefault="00FF2CDE" w:rsidP="003602F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A42BAE9">
          <v:shape id="Text Box 71" o:spid="_x0000_s1132" type="#_x0000_t202" style="position:absolute;margin-left:6.75pt;margin-top:10.95pt;width:112.5pt;height:121.3pt;z-index:251658258;visibility:visible;mso-width-relative:margin;mso-height-relative:margin">
            <v:textbox style="mso-next-textbox:#Text Box 71">
              <w:txbxContent>
                <w:p w14:paraId="6453C968" w14:textId="533ED6C8" w:rsidR="00FF2CDE" w:rsidRPr="00F22219" w:rsidRDefault="00FF2CDE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F22219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Celkové oprávnené výdavky projektu: </w:t>
                  </w:r>
                  <w:r w:rsidR="00F00291" w:rsidRPr="006403E4">
                    <w:rPr>
                      <w:bCs/>
                      <w:sz w:val="18"/>
                      <w:szCs w:val="18"/>
                      <w:lang w:val="sk-SK"/>
                    </w:rPr>
                    <w:t>21 442 896,78 EUR</w:t>
                  </w:r>
                </w:p>
                <w:p w14:paraId="4A3CAE97" w14:textId="665438DB" w:rsidR="00DD7C0B" w:rsidRDefault="00DD7C0B" w:rsidP="00C75FCA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</w:pPr>
                  <w:r w:rsidRPr="00F22219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Čerpané prostriedky: </w:t>
                  </w:r>
                  <w:r w:rsidR="00071D9E" w:rsidRPr="006403E4">
                    <w:rPr>
                      <w:bCs/>
                      <w:sz w:val="18"/>
                      <w:szCs w:val="18"/>
                      <w:lang w:val="sk-SK"/>
                    </w:rPr>
                    <w:t>16 677 437,77 EUR</w:t>
                  </w:r>
                  <w:r w:rsidR="00071D9E">
                    <w:rPr>
                      <w:bCs/>
                      <w:sz w:val="18"/>
                      <w:szCs w:val="18"/>
                      <w:lang w:val="sk-SK"/>
                    </w:rPr>
                    <w:t xml:space="preserve"> (77,78%) podľa ZMS</w:t>
                  </w:r>
                </w:p>
                <w:p w14:paraId="23E826D6" w14:textId="3350A054" w:rsidR="00FF2CDE" w:rsidRPr="00F22219" w:rsidRDefault="00FF2CDE" w:rsidP="00C75FCA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F22219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Doba realizácie: </w:t>
                  </w:r>
                  <w:r w:rsidR="00947AD5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              </w:t>
                  </w:r>
                  <w:r w:rsidR="00947AD5">
                    <w:rPr>
                      <w:bCs/>
                      <w:sz w:val="18"/>
                      <w:szCs w:val="18"/>
                    </w:rPr>
                    <w:t>02/2013 – 11/2015</w:t>
                  </w:r>
                </w:p>
                <w:p w14:paraId="1C26B04B" w14:textId="77777777" w:rsidR="00FF2CDE" w:rsidRPr="00952F6F" w:rsidRDefault="00FF2CDE" w:rsidP="00952F6F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09B7865A" w14:textId="10E436F4" w:rsidR="00B90147" w:rsidRDefault="00B90147"/>
    <w:p w14:paraId="60A9DA20" w14:textId="312587AA" w:rsidR="00B90147" w:rsidRDefault="007939E2">
      <w:r>
        <w:rPr>
          <w:noProof/>
          <w:lang w:eastAsia="cs-CZ"/>
        </w:rPr>
        <w:pict w14:anchorId="3D094028">
          <v:shape id="_x0000_s1274" type="#_x0000_t202" style="position:absolute;margin-left:160.1pt;margin-top:15.85pt;width:324.7pt;height:21.35pt;z-index:2516582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20F81005" w14:textId="77777777" w:rsidR="00DD7C0B" w:rsidRPr="00DD7C0B" w:rsidRDefault="00DD7C0B" w:rsidP="00DD7C0B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EXTERNÉ</w:t>
                  </w:r>
                  <w:r w:rsidR="00904F09">
                    <w:rPr>
                      <w:b/>
                      <w:sz w:val="20"/>
                      <w:szCs w:val="20"/>
                      <w:lang w:val="sk-SK"/>
                    </w:rPr>
                    <w:t xml:space="preserve"> FAKTORY</w:t>
                  </w:r>
                </w:p>
              </w:txbxContent>
            </v:textbox>
          </v:shape>
        </w:pict>
      </w:r>
    </w:p>
    <w:p w14:paraId="6F21D6A3" w14:textId="0767A640" w:rsidR="004E5EF6" w:rsidRDefault="007939E2">
      <w:r>
        <w:rPr>
          <w:noProof/>
          <w:lang w:eastAsia="cs-CZ"/>
        </w:rPr>
        <w:pict w14:anchorId="4C9C5429">
          <v:shape id="_x0000_s1323" type="#_x0000_t202" style="position:absolute;margin-left:151.15pt;margin-top:16.05pt;width:347.3pt;height:23.15pt;z-index:251658323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6772D66B" w14:textId="4274115F" w:rsidR="00741B68" w:rsidRPr="007939E2" w:rsidRDefault="00741B68" w:rsidP="007939E2">
                  <w:pPr>
                    <w:pStyle w:val="Odsekzoznamu"/>
                    <w:numPr>
                      <w:ilvl w:val="0"/>
                      <w:numId w:val="6"/>
                    </w:numPr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 xml:space="preserve">. </w:t>
                  </w:r>
                  <w:r w:rsidR="007939E2">
                    <w:rPr>
                      <w:sz w:val="18"/>
                      <w:szCs w:val="18"/>
                      <w:lang w:val="sk-SK"/>
                    </w:rPr>
                    <w:t>Legislatívna podpora</w:t>
                  </w:r>
                </w:p>
                <w:p w14:paraId="323A7309" w14:textId="55BE4F6E" w:rsidR="00751DFF" w:rsidRPr="009C4DB1" w:rsidRDefault="00751DFF" w:rsidP="007939E2">
                  <w:pPr>
                    <w:pStyle w:val="Odsekzoznamu"/>
                    <w:tabs>
                      <w:tab w:val="left" w:pos="7512"/>
                    </w:tabs>
                    <w:rPr>
                      <w:sz w:val="18"/>
                      <w:szCs w:val="18"/>
                      <w:lang w:val="sk-SK"/>
                    </w:rPr>
                  </w:pPr>
                </w:p>
                <w:p w14:paraId="0C9A9032" w14:textId="28F9B1B5" w:rsidR="007B5509" w:rsidRPr="00414C58" w:rsidRDefault="007B5509" w:rsidP="007B5509">
                  <w:pPr>
                    <w:rPr>
                      <w:lang w:val="sk-SK"/>
                    </w:rPr>
                  </w:pPr>
                </w:p>
              </w:txbxContent>
            </v:textbox>
            <w10:wrap type="square"/>
          </v:shape>
        </w:pict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</w:p>
    <w:p w14:paraId="00342354" w14:textId="6947ED4E" w:rsidR="00B87C18" w:rsidRDefault="00B87C18"/>
    <w:p w14:paraId="6B3C0795" w14:textId="15DADF4A" w:rsidR="00B90147" w:rsidRDefault="00B90147"/>
    <w:p w14:paraId="78FBD690" w14:textId="74692E92" w:rsidR="00F66DB9" w:rsidRPr="005412F8" w:rsidRDefault="00F66DB9" w:rsidP="005412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0634F11" w14:textId="48F434FA" w:rsidR="005C11A0" w:rsidRDefault="005C11A0" w:rsidP="005412F8">
      <w:pPr>
        <w:autoSpaceDE w:val="0"/>
        <w:autoSpaceDN w:val="0"/>
        <w:adjustRightInd w:val="0"/>
        <w:spacing w:after="0" w:line="240" w:lineRule="auto"/>
      </w:pPr>
    </w:p>
    <w:p w14:paraId="2CDD29A6" w14:textId="0463A51B" w:rsidR="005C11A0" w:rsidRDefault="005C11A0"/>
    <w:p w14:paraId="3B93A37D" w14:textId="357B8DC5" w:rsidR="005C11A0" w:rsidRDefault="005C11A0"/>
    <w:p w14:paraId="29F3D89D" w14:textId="0DCD9BF9" w:rsidR="005C11A0" w:rsidRDefault="005C11A0"/>
    <w:p w14:paraId="0AC9CF96" w14:textId="77777777" w:rsidR="005C11A0" w:rsidRDefault="005C11A0"/>
    <w:p w14:paraId="7B2D6B14" w14:textId="77777777" w:rsidR="005C11A0" w:rsidRDefault="005C11A0"/>
    <w:p w14:paraId="1871EA4F" w14:textId="4D1E2BFE" w:rsidR="005C11A0" w:rsidRDefault="005C11A0"/>
    <w:p w14:paraId="65369EE8" w14:textId="77777777" w:rsidR="005C11A0" w:rsidRDefault="005C11A0"/>
    <w:p w14:paraId="7B7B0BAF" w14:textId="77777777" w:rsidR="005C11A0" w:rsidRDefault="005C11A0"/>
    <w:p w14:paraId="3A7C3DDF" w14:textId="77777777" w:rsidR="005C11A0" w:rsidRDefault="005C11A0"/>
    <w:p w14:paraId="4B5E733F" w14:textId="77777777" w:rsidR="005C11A0" w:rsidRDefault="005C11A0"/>
    <w:p w14:paraId="01780C8F" w14:textId="77777777" w:rsidR="005C11A0" w:rsidRDefault="005C11A0"/>
    <w:p w14:paraId="44FC3F75" w14:textId="77777777" w:rsidR="005C11A0" w:rsidRDefault="005C11A0"/>
    <w:sectPr w:rsidR="005C11A0" w:rsidSect="005C11A0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771"/>
    <w:multiLevelType w:val="hybridMultilevel"/>
    <w:tmpl w:val="97C046E6"/>
    <w:lvl w:ilvl="0" w:tplc="1FEE74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F6B47"/>
    <w:multiLevelType w:val="hybridMultilevel"/>
    <w:tmpl w:val="C48E06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41627E"/>
    <w:multiLevelType w:val="hybridMultilevel"/>
    <w:tmpl w:val="464ADB58"/>
    <w:lvl w:ilvl="0" w:tplc="7312EF5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18"/>
        <w:szCs w:val="18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86557C"/>
    <w:multiLevelType w:val="hybridMultilevel"/>
    <w:tmpl w:val="A5B21BA0"/>
    <w:lvl w:ilvl="0" w:tplc="C938F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745177E"/>
    <w:multiLevelType w:val="hybridMultilevel"/>
    <w:tmpl w:val="FF087004"/>
    <w:lvl w:ilvl="0" w:tplc="704EBD9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12388"/>
    <w:rsid w:val="000154C1"/>
    <w:rsid w:val="0004350B"/>
    <w:rsid w:val="00045590"/>
    <w:rsid w:val="000561C9"/>
    <w:rsid w:val="00071D9E"/>
    <w:rsid w:val="00077CCA"/>
    <w:rsid w:val="0008015C"/>
    <w:rsid w:val="0008325E"/>
    <w:rsid w:val="00087589"/>
    <w:rsid w:val="000A6C02"/>
    <w:rsid w:val="000B0881"/>
    <w:rsid w:val="000B71D0"/>
    <w:rsid w:val="000C43F9"/>
    <w:rsid w:val="000C6311"/>
    <w:rsid w:val="000D6CF7"/>
    <w:rsid w:val="000E0B05"/>
    <w:rsid w:val="000E6408"/>
    <w:rsid w:val="000F1F9E"/>
    <w:rsid w:val="00101361"/>
    <w:rsid w:val="00112469"/>
    <w:rsid w:val="00121304"/>
    <w:rsid w:val="00130A25"/>
    <w:rsid w:val="00156D07"/>
    <w:rsid w:val="001824B8"/>
    <w:rsid w:val="001A0E51"/>
    <w:rsid w:val="001B4862"/>
    <w:rsid w:val="001C28AD"/>
    <w:rsid w:val="001C49F4"/>
    <w:rsid w:val="001D3550"/>
    <w:rsid w:val="001D370F"/>
    <w:rsid w:val="001F1C13"/>
    <w:rsid w:val="001F211B"/>
    <w:rsid w:val="001F3F69"/>
    <w:rsid w:val="001F4C1A"/>
    <w:rsid w:val="002200B6"/>
    <w:rsid w:val="00221855"/>
    <w:rsid w:val="002226C7"/>
    <w:rsid w:val="00231123"/>
    <w:rsid w:val="0023220D"/>
    <w:rsid w:val="00240C00"/>
    <w:rsid w:val="0024335C"/>
    <w:rsid w:val="00261FA4"/>
    <w:rsid w:val="00265928"/>
    <w:rsid w:val="002745E9"/>
    <w:rsid w:val="00274E97"/>
    <w:rsid w:val="00276008"/>
    <w:rsid w:val="00277EDC"/>
    <w:rsid w:val="0028505A"/>
    <w:rsid w:val="00291D74"/>
    <w:rsid w:val="002A1BE3"/>
    <w:rsid w:val="002B09E6"/>
    <w:rsid w:val="002B6F57"/>
    <w:rsid w:val="002C2ECE"/>
    <w:rsid w:val="002D2763"/>
    <w:rsid w:val="002E3447"/>
    <w:rsid w:val="002F5CAE"/>
    <w:rsid w:val="00302A14"/>
    <w:rsid w:val="00310029"/>
    <w:rsid w:val="00312820"/>
    <w:rsid w:val="00316B94"/>
    <w:rsid w:val="00333F9A"/>
    <w:rsid w:val="003424F3"/>
    <w:rsid w:val="003447C9"/>
    <w:rsid w:val="003452C1"/>
    <w:rsid w:val="00354F06"/>
    <w:rsid w:val="003602F2"/>
    <w:rsid w:val="0036771B"/>
    <w:rsid w:val="003712CB"/>
    <w:rsid w:val="003B4450"/>
    <w:rsid w:val="003B79FD"/>
    <w:rsid w:val="003C3DC7"/>
    <w:rsid w:val="003D01DC"/>
    <w:rsid w:val="00414C58"/>
    <w:rsid w:val="00420B01"/>
    <w:rsid w:val="00426164"/>
    <w:rsid w:val="00430024"/>
    <w:rsid w:val="00443F4C"/>
    <w:rsid w:val="0044765F"/>
    <w:rsid w:val="00454840"/>
    <w:rsid w:val="0047766D"/>
    <w:rsid w:val="004858FA"/>
    <w:rsid w:val="0049707A"/>
    <w:rsid w:val="004A1957"/>
    <w:rsid w:val="004B259E"/>
    <w:rsid w:val="004B260F"/>
    <w:rsid w:val="004C741A"/>
    <w:rsid w:val="004D168A"/>
    <w:rsid w:val="004E34C9"/>
    <w:rsid w:val="004E5EF6"/>
    <w:rsid w:val="004E617D"/>
    <w:rsid w:val="004F4810"/>
    <w:rsid w:val="00510E0F"/>
    <w:rsid w:val="005227F0"/>
    <w:rsid w:val="00537ADB"/>
    <w:rsid w:val="005412F8"/>
    <w:rsid w:val="00547D50"/>
    <w:rsid w:val="00560003"/>
    <w:rsid w:val="00565DA6"/>
    <w:rsid w:val="0056728F"/>
    <w:rsid w:val="00582C12"/>
    <w:rsid w:val="00594066"/>
    <w:rsid w:val="005B5576"/>
    <w:rsid w:val="005C11A0"/>
    <w:rsid w:val="005C1A2E"/>
    <w:rsid w:val="005C3D1B"/>
    <w:rsid w:val="005C5FC9"/>
    <w:rsid w:val="005C6350"/>
    <w:rsid w:val="005D7FBF"/>
    <w:rsid w:val="00603560"/>
    <w:rsid w:val="00611FA8"/>
    <w:rsid w:val="00615FD4"/>
    <w:rsid w:val="00631B53"/>
    <w:rsid w:val="006323CA"/>
    <w:rsid w:val="00634AF8"/>
    <w:rsid w:val="006A5836"/>
    <w:rsid w:val="006B069E"/>
    <w:rsid w:val="006B27DA"/>
    <w:rsid w:val="006B7965"/>
    <w:rsid w:val="006C16A7"/>
    <w:rsid w:val="006C26CE"/>
    <w:rsid w:val="006D202E"/>
    <w:rsid w:val="006D2462"/>
    <w:rsid w:val="006E3A92"/>
    <w:rsid w:val="00714094"/>
    <w:rsid w:val="007236B3"/>
    <w:rsid w:val="00724A93"/>
    <w:rsid w:val="00741B68"/>
    <w:rsid w:val="00750CF3"/>
    <w:rsid w:val="00751DFF"/>
    <w:rsid w:val="00764471"/>
    <w:rsid w:val="00764E64"/>
    <w:rsid w:val="00776042"/>
    <w:rsid w:val="00777CD5"/>
    <w:rsid w:val="0078548A"/>
    <w:rsid w:val="007939E2"/>
    <w:rsid w:val="007979C4"/>
    <w:rsid w:val="007A3A83"/>
    <w:rsid w:val="007B5509"/>
    <w:rsid w:val="007C1735"/>
    <w:rsid w:val="007C584D"/>
    <w:rsid w:val="007C7F80"/>
    <w:rsid w:val="007D11C4"/>
    <w:rsid w:val="007D1D05"/>
    <w:rsid w:val="007E0966"/>
    <w:rsid w:val="007E5C9F"/>
    <w:rsid w:val="0080082F"/>
    <w:rsid w:val="00804BB3"/>
    <w:rsid w:val="008110C3"/>
    <w:rsid w:val="00815D12"/>
    <w:rsid w:val="0082293C"/>
    <w:rsid w:val="0085436C"/>
    <w:rsid w:val="008738B1"/>
    <w:rsid w:val="0088544D"/>
    <w:rsid w:val="008B082E"/>
    <w:rsid w:val="008B70D5"/>
    <w:rsid w:val="008C0162"/>
    <w:rsid w:val="008D2B40"/>
    <w:rsid w:val="008D3BBA"/>
    <w:rsid w:val="008E0610"/>
    <w:rsid w:val="008E3DA5"/>
    <w:rsid w:val="008E4CA8"/>
    <w:rsid w:val="00904F09"/>
    <w:rsid w:val="009269BC"/>
    <w:rsid w:val="00947AD5"/>
    <w:rsid w:val="00952F6F"/>
    <w:rsid w:val="009632AD"/>
    <w:rsid w:val="009641A5"/>
    <w:rsid w:val="00965D08"/>
    <w:rsid w:val="009705A6"/>
    <w:rsid w:val="00977AB1"/>
    <w:rsid w:val="00993975"/>
    <w:rsid w:val="009A06F7"/>
    <w:rsid w:val="009A54B1"/>
    <w:rsid w:val="009A7A04"/>
    <w:rsid w:val="009B253D"/>
    <w:rsid w:val="009C4DB1"/>
    <w:rsid w:val="009D4205"/>
    <w:rsid w:val="009E193B"/>
    <w:rsid w:val="009E53E2"/>
    <w:rsid w:val="00A21956"/>
    <w:rsid w:val="00A316B8"/>
    <w:rsid w:val="00A362E5"/>
    <w:rsid w:val="00A37196"/>
    <w:rsid w:val="00A517DB"/>
    <w:rsid w:val="00A72573"/>
    <w:rsid w:val="00A852DF"/>
    <w:rsid w:val="00A91A52"/>
    <w:rsid w:val="00A95A1A"/>
    <w:rsid w:val="00A95D10"/>
    <w:rsid w:val="00AA2B65"/>
    <w:rsid w:val="00AB0F05"/>
    <w:rsid w:val="00AD2036"/>
    <w:rsid w:val="00AE18F1"/>
    <w:rsid w:val="00B00F7A"/>
    <w:rsid w:val="00B048AA"/>
    <w:rsid w:val="00B06195"/>
    <w:rsid w:val="00B108BF"/>
    <w:rsid w:val="00B1744F"/>
    <w:rsid w:val="00B203C3"/>
    <w:rsid w:val="00B46B48"/>
    <w:rsid w:val="00B53309"/>
    <w:rsid w:val="00B60F95"/>
    <w:rsid w:val="00B66B50"/>
    <w:rsid w:val="00B721DC"/>
    <w:rsid w:val="00B72A8E"/>
    <w:rsid w:val="00B81A52"/>
    <w:rsid w:val="00B852D9"/>
    <w:rsid w:val="00B87C18"/>
    <w:rsid w:val="00B90147"/>
    <w:rsid w:val="00B96DBB"/>
    <w:rsid w:val="00BE3354"/>
    <w:rsid w:val="00BF60D0"/>
    <w:rsid w:val="00C03BF1"/>
    <w:rsid w:val="00C15683"/>
    <w:rsid w:val="00C209D8"/>
    <w:rsid w:val="00C243F9"/>
    <w:rsid w:val="00C249E1"/>
    <w:rsid w:val="00C42729"/>
    <w:rsid w:val="00C44A13"/>
    <w:rsid w:val="00C44C54"/>
    <w:rsid w:val="00C5369E"/>
    <w:rsid w:val="00C75FCA"/>
    <w:rsid w:val="00CB471D"/>
    <w:rsid w:val="00CC11B6"/>
    <w:rsid w:val="00CD6527"/>
    <w:rsid w:val="00CE3E12"/>
    <w:rsid w:val="00CE6D72"/>
    <w:rsid w:val="00CE760A"/>
    <w:rsid w:val="00D406C5"/>
    <w:rsid w:val="00D55511"/>
    <w:rsid w:val="00D61103"/>
    <w:rsid w:val="00D61FF7"/>
    <w:rsid w:val="00D63F2A"/>
    <w:rsid w:val="00D65114"/>
    <w:rsid w:val="00D9655C"/>
    <w:rsid w:val="00DA35ED"/>
    <w:rsid w:val="00DB1AA8"/>
    <w:rsid w:val="00DB1D73"/>
    <w:rsid w:val="00DB6D20"/>
    <w:rsid w:val="00DB7B73"/>
    <w:rsid w:val="00DC0FCB"/>
    <w:rsid w:val="00DC62A2"/>
    <w:rsid w:val="00DD09D3"/>
    <w:rsid w:val="00DD7C0B"/>
    <w:rsid w:val="00DE1EB6"/>
    <w:rsid w:val="00DE40BF"/>
    <w:rsid w:val="00DE4CFD"/>
    <w:rsid w:val="00E21AC6"/>
    <w:rsid w:val="00E23DAF"/>
    <w:rsid w:val="00E40BD2"/>
    <w:rsid w:val="00E70A99"/>
    <w:rsid w:val="00E77179"/>
    <w:rsid w:val="00E80138"/>
    <w:rsid w:val="00E90A09"/>
    <w:rsid w:val="00E95DD2"/>
    <w:rsid w:val="00EA5B58"/>
    <w:rsid w:val="00EA739B"/>
    <w:rsid w:val="00EC5A04"/>
    <w:rsid w:val="00ED1133"/>
    <w:rsid w:val="00EF1482"/>
    <w:rsid w:val="00EF7A6B"/>
    <w:rsid w:val="00F00291"/>
    <w:rsid w:val="00F05E16"/>
    <w:rsid w:val="00F22219"/>
    <w:rsid w:val="00F40A55"/>
    <w:rsid w:val="00F47136"/>
    <w:rsid w:val="00F473B8"/>
    <w:rsid w:val="00F66DB9"/>
    <w:rsid w:val="00F70B4B"/>
    <w:rsid w:val="00FA2B75"/>
    <w:rsid w:val="00FC5780"/>
    <w:rsid w:val="00FE3C82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0"/>
    <o:shapelayout v:ext="edit">
      <o:idmap v:ext="edit" data="1"/>
      <o:rules v:ext="edit">
        <o:r id="V:Rule37" type="connector" idref="#_x0000_s1376"/>
        <o:r id="V:Rule38" type="connector" idref="#_x0000_s1388"/>
        <o:r id="V:Rule39" type="connector" idref="#_x0000_s1394"/>
        <o:r id="V:Rule40" type="connector" idref="#_x0000_s1389"/>
        <o:r id="V:Rule41" type="connector" idref="#_x0000_s1377"/>
        <o:r id="V:Rule42" type="connector" idref="#_x0000_s1343"/>
        <o:r id="V:Rule43" type="connector" idref="#_x0000_s1367"/>
        <o:r id="V:Rule44" type="connector" idref="#_x0000_s1335"/>
        <o:r id="V:Rule45" type="connector" idref="#_x0000_s1348"/>
        <o:r id="V:Rule46" type="connector" idref="#_x0000_s1384"/>
        <o:r id="V:Rule47" type="connector" idref="#_x0000_s1386"/>
        <o:r id="V:Rule48" type="connector" idref="#_x0000_s1370"/>
        <o:r id="V:Rule49" type="connector" idref="#_x0000_s1285"/>
        <o:r id="V:Rule50" type="connector" idref="#_x0000_s1332"/>
        <o:r id="V:Rule51" type="connector" idref="#_x0000_s1392"/>
        <o:r id="V:Rule52" type="connector" idref="#_x0000_s1383"/>
        <o:r id="V:Rule53" type="connector" idref="#_x0000_s1328"/>
        <o:r id="V:Rule54" type="connector" idref="#_x0000_s1281"/>
        <o:r id="V:Rule55" type="connector" idref="#_x0000_s1385"/>
        <o:r id="V:Rule56" type="connector" idref="#_x0000_s1393"/>
        <o:r id="V:Rule57" type="connector" idref="#_x0000_s1373"/>
        <o:r id="V:Rule58" type="connector" idref="#_x0000_s1398"/>
        <o:r id="V:Rule59" type="connector" idref="#_x0000_s1288"/>
        <o:r id="V:Rule60" type="connector" idref="#_x0000_s1261"/>
        <o:r id="V:Rule61" type="connector" idref="#_x0000_s1330"/>
        <o:r id="V:Rule62" type="connector" idref="#_x0000_s1372"/>
        <o:r id="V:Rule63" type="connector" idref="#_x0000_s1360"/>
        <o:r id="V:Rule64" type="connector" idref="#_x0000_s1382"/>
        <o:r id="V:Rule65" type="connector" idref="#_x0000_s1391"/>
        <o:r id="V:Rule66" type="connector" idref="#_x0000_s1283"/>
        <o:r id="V:Rule67" type="connector" idref="#_x0000_s1387"/>
        <o:r id="V:Rule68" type="connector" idref="#_x0000_s1284"/>
        <o:r id="V:Rule69" type="connector" idref="#_x0000_s1371"/>
        <o:r id="V:Rule70" type="connector" idref="#_x0000_s1374"/>
        <o:r id="V:Rule71" type="connector" idref="#_x0000_s1278"/>
        <o:r id="V:Rule72" type="connector" idref="#_x0000_s1282"/>
      </o:rules>
    </o:shapelayout>
  </w:shapeDefaults>
  <w:decimalSymbol w:val=","/>
  <w:listSeparator w:val=";"/>
  <w14:docId w14:val="2F171F2F"/>
  <w15:docId w15:val="{DC6F9F00-5642-446B-8757-DB5487367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C16A7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64471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64471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7D1D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1D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1D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1D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1D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8EF6E9-3A55-4A70-AFC5-9D88074939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156587-6C84-4D9A-A63E-6F911882AD7F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6fb1b441-9ff5-43a6-adfa-811d4bab8297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444AF12-0592-4356-BEA1-7B34E67B7F7E}"/>
</file>

<file path=customXml/itemProps4.xml><?xml version="1.0" encoding="utf-8"?>
<ds:datastoreItem xmlns:ds="http://schemas.openxmlformats.org/officeDocument/2006/customXml" ds:itemID="{807CA285-E88D-44FC-9B9A-12A141B2A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36</Words>
  <Characters>208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cp:lastModifiedBy>Lucia Ulbriková</cp:lastModifiedBy>
  <cp:revision>99</cp:revision>
  <cp:lastPrinted>2020-01-31T10:51:00Z</cp:lastPrinted>
  <dcterms:created xsi:type="dcterms:W3CDTF">2020-01-28T08:45:00Z</dcterms:created>
  <dcterms:modified xsi:type="dcterms:W3CDTF">2020-03-27T19:47:00Z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