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D185E53" w:rsidR="00B87C18" w:rsidRPr="00C75FCA" w:rsidRDefault="003E1C2F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3pt;width:457.5pt;height:76.5pt;z-index:251658278;mso-width-relative:margin;mso-height-relative:margin" filled="f" stroked="f">
            <v:textbox style="mso-next-textbox:#_x0000_s1191">
              <w:txbxContent>
                <w:p w14:paraId="55ED577F" w14:textId="24B1F7F4" w:rsidR="00FF2CDE" w:rsidRPr="003327CC" w:rsidRDefault="00FF2CDE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327CC">
                    <w:rPr>
                      <w:b/>
                      <w:bCs/>
                    </w:rPr>
                    <w:t>Model zmeny v</w:t>
                  </w:r>
                  <w:r w:rsidR="00DD7C0B" w:rsidRPr="003327CC">
                    <w:rPr>
                      <w:b/>
                      <w:bCs/>
                    </w:rPr>
                    <w:t> </w:t>
                  </w:r>
                  <w:r w:rsidRPr="003327CC">
                    <w:rPr>
                      <w:b/>
                      <w:bCs/>
                    </w:rPr>
                    <w:t>projekt</w:t>
                  </w:r>
                  <w:r w:rsidR="00DD7C0B" w:rsidRPr="003327CC">
                    <w:rPr>
                      <w:b/>
                      <w:bCs/>
                    </w:rPr>
                    <w:t xml:space="preserve">e </w:t>
                  </w:r>
                  <w:r w:rsidR="00815D12" w:rsidRPr="003327CC">
                    <w:rPr>
                      <w:b/>
                      <w:bCs/>
                    </w:rPr>
                    <w:t xml:space="preserve">NP </w:t>
                  </w:r>
                  <w:r w:rsidR="00F22219" w:rsidRPr="003327CC">
                    <w:rPr>
                      <w:b/>
                      <w:bCs/>
                    </w:rPr>
                    <w:t>číslo</w:t>
                  </w:r>
                  <w:r w:rsidR="003327CC" w:rsidRPr="003327CC">
                    <w:rPr>
                      <w:b/>
                      <w:bCs/>
                    </w:rPr>
                    <w:t xml:space="preserve"> 21</w:t>
                  </w:r>
                </w:p>
                <w:p w14:paraId="0D429781" w14:textId="4CE4CBBA" w:rsidR="00DD7C0B" w:rsidRPr="003327CC" w:rsidRDefault="00815D12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327CC">
                    <w:rPr>
                      <w:b/>
                      <w:bCs/>
                    </w:rPr>
                    <w:t>Názov projektu:</w:t>
                  </w:r>
                  <w:r w:rsidR="00DD7C0B" w:rsidRPr="003327CC">
                    <w:rPr>
                      <w:b/>
                      <w:bCs/>
                    </w:rPr>
                    <w:t xml:space="preserve"> </w:t>
                  </w:r>
                  <w:r w:rsidR="003327CC" w:rsidRPr="003327CC">
                    <w:t>Rozvíjanie profesijných kompetencií učiteľov materských, základných a stredných škôl v kontexte zvyšovania úspešnosti reformy systému základného vzdelávania</w:t>
                  </w:r>
                </w:p>
                <w:p w14:paraId="4EBAE6B6" w14:textId="08999E82" w:rsidR="000154C1" w:rsidRPr="003327CC" w:rsidRDefault="006D202E" w:rsidP="000561C9">
                  <w:pPr>
                    <w:spacing w:after="0" w:line="240" w:lineRule="auto"/>
                    <w:rPr>
                      <w:b/>
                    </w:rPr>
                  </w:pPr>
                  <w:r w:rsidRPr="003327CC">
                    <w:rPr>
                      <w:b/>
                    </w:rPr>
                    <w:t>Cieľová skupina</w:t>
                  </w:r>
                  <w:r w:rsidR="000154C1" w:rsidRPr="003327CC">
                    <w:rPr>
                      <w:b/>
                    </w:rPr>
                    <w:t xml:space="preserve">: </w:t>
                  </w:r>
                  <w:r w:rsidR="0099231A" w:rsidRPr="0099231A">
                    <w:rPr>
                      <w:bCs/>
                    </w:rPr>
                    <w:t>učitelia 1. a 2. stupňa ZŠ, ktorí učia anglický jazyk na 1. stupni (z NP</w:t>
                  </w:r>
                  <w:r w:rsidR="003E1C2F">
                    <w:rPr>
                      <w:bCs/>
                    </w:rPr>
                    <w:t xml:space="preserve"> </w:t>
                  </w:r>
                  <w:bookmarkStart w:id="0" w:name="_GoBack"/>
                  <w:bookmarkEnd w:id="0"/>
                  <w:r w:rsidR="0099231A" w:rsidRPr="0099231A">
                    <w:rPr>
                      <w:bCs/>
                    </w:rPr>
                    <w:t>12), kvalifikovaní pedagogickí zamestnanci materských škôl, základných škôl a gymnázií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.55pt;width:481.9pt;height:77.9pt;z-index:251658277" arcsize="21360f" fillcolor="#c6d9f1 [671]"/>
        </w:pict>
      </w:r>
      <w:r>
        <w:rPr>
          <w:noProof/>
          <w:lang w:eastAsia="cs-CZ"/>
        </w:rPr>
        <w:pict w14:anchorId="095B8703">
          <v:roundrect id="_x0000_s1178" style="position:absolute;margin-left:-4.85pt;margin-top:19.25pt;width:481.9pt;height:65.85pt;z-index:251658254" arcsize="23802f" fillcolor="#d6e3bc [1302]"/>
        </w:pict>
      </w:r>
      <w:r w:rsidR="00C44A13" w:rsidRPr="00DD7C0B">
        <w:rPr>
          <w:b/>
          <w:sz w:val="28"/>
          <w:szCs w:val="28"/>
        </w:rPr>
        <w:t>Overenie t</w:t>
      </w:r>
      <w:r w:rsidR="000561C9" w:rsidRPr="00DD7C0B">
        <w:rPr>
          <w:b/>
          <w:sz w:val="28"/>
          <w:szCs w:val="28"/>
        </w:rPr>
        <w:t>eóri</w:t>
      </w:r>
      <w:r w:rsidR="00277EDC">
        <w:rPr>
          <w:b/>
          <w:sz w:val="28"/>
          <w:szCs w:val="28"/>
        </w:rPr>
        <w:t>e</w:t>
      </w:r>
      <w:r w:rsidR="000561C9" w:rsidRPr="00DD7C0B">
        <w:rPr>
          <w:b/>
          <w:sz w:val="28"/>
          <w:szCs w:val="28"/>
        </w:rPr>
        <w:t xml:space="preserve"> zmeny </w:t>
      </w:r>
      <w:r w:rsidR="0080082F" w:rsidRPr="00DD7C0B">
        <w:rPr>
          <w:b/>
          <w:sz w:val="28"/>
          <w:szCs w:val="28"/>
        </w:rPr>
        <w:t xml:space="preserve">opatrenia </w:t>
      </w:r>
      <w:r w:rsidR="00DB7B73">
        <w:rPr>
          <w:b/>
          <w:sz w:val="28"/>
          <w:szCs w:val="28"/>
        </w:rPr>
        <w:t xml:space="preserve">2.1 </w:t>
      </w:r>
      <w:r w:rsidR="00C44A13" w:rsidRPr="00DD7C0B">
        <w:rPr>
          <w:b/>
          <w:sz w:val="28"/>
          <w:szCs w:val="28"/>
        </w:rPr>
        <w:t xml:space="preserve">OPV v </w:t>
      </w:r>
      <w:r w:rsidR="000561C9" w:rsidRPr="00DD7C0B">
        <w:rPr>
          <w:b/>
          <w:sz w:val="28"/>
          <w:szCs w:val="28"/>
        </w:rPr>
        <w:t>projekt</w:t>
      </w:r>
      <w:r w:rsidR="00DD7C0B">
        <w:rPr>
          <w:b/>
          <w:sz w:val="28"/>
          <w:szCs w:val="28"/>
        </w:rPr>
        <w:t>e</w:t>
      </w:r>
      <w:r w:rsidR="000561C9" w:rsidRPr="00DD7C0B">
        <w:rPr>
          <w:b/>
          <w:sz w:val="28"/>
          <w:szCs w:val="28"/>
        </w:rPr>
        <w:t xml:space="preserve"> NP</w:t>
      </w:r>
      <w:r w:rsidR="00F22219" w:rsidRPr="003327CC">
        <w:rPr>
          <w:b/>
          <w:sz w:val="28"/>
          <w:szCs w:val="28"/>
        </w:rPr>
        <w:t xml:space="preserve"> </w:t>
      </w:r>
      <w:r w:rsidR="003327CC" w:rsidRPr="003327CC">
        <w:rPr>
          <w:b/>
          <w:sz w:val="28"/>
          <w:szCs w:val="28"/>
        </w:rPr>
        <w:t>21</w:t>
      </w:r>
    </w:p>
    <w:p w14:paraId="54264823" w14:textId="796B75ED" w:rsidR="000561C9" w:rsidRDefault="003E1C2F" w:rsidP="00ED1133">
      <w:pPr>
        <w:spacing w:after="0" w:line="240" w:lineRule="auto"/>
        <w:rPr>
          <w:b/>
        </w:rPr>
      </w:pPr>
      <w:r>
        <w:rPr>
          <w:b/>
          <w:noProof/>
        </w:rPr>
        <w:pict w14:anchorId="054F2DC9">
          <v:shape id="_x0000_s1180" type="#_x0000_t202" style="position:absolute;margin-left:13.05pt;margin-top:2.75pt;width:449.6pt;height:59.65pt;z-index:251658255;mso-width-relative:margin;mso-height-relative:margin" filled="f" stroked="f">
            <v:textbox style="mso-next-textbox:#_x0000_s1180">
              <w:txbxContent>
                <w:p w14:paraId="53B1E443" w14:textId="133B6FAE" w:rsidR="00FF2CDE" w:rsidRPr="003327CC" w:rsidRDefault="00FF2CDE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327CC">
                    <w:rPr>
                      <w:b/>
                      <w:bCs/>
                    </w:rPr>
                    <w:t>Model akc</w:t>
                  </w:r>
                  <w:r w:rsidR="00DD7C0B" w:rsidRPr="003327CC">
                    <w:rPr>
                      <w:b/>
                      <w:bCs/>
                    </w:rPr>
                    <w:t>i</w:t>
                  </w:r>
                  <w:r w:rsidRPr="003327CC">
                    <w:rPr>
                      <w:b/>
                      <w:bCs/>
                    </w:rPr>
                    <w:t>e v</w:t>
                  </w:r>
                  <w:r w:rsidR="00815D12" w:rsidRPr="003327CC">
                    <w:rPr>
                      <w:b/>
                      <w:bCs/>
                    </w:rPr>
                    <w:t> </w:t>
                  </w:r>
                  <w:r w:rsidRPr="003327CC">
                    <w:rPr>
                      <w:b/>
                      <w:bCs/>
                    </w:rPr>
                    <w:t>projekt</w:t>
                  </w:r>
                  <w:r w:rsidR="00DD7C0B" w:rsidRPr="003327CC">
                    <w:rPr>
                      <w:b/>
                      <w:bCs/>
                    </w:rPr>
                    <w:t>e</w:t>
                  </w:r>
                  <w:r w:rsidR="00815D12" w:rsidRPr="003327CC">
                    <w:rPr>
                      <w:b/>
                      <w:bCs/>
                    </w:rPr>
                    <w:t xml:space="preserve"> NP </w:t>
                  </w:r>
                  <w:r w:rsidR="00F22219" w:rsidRPr="003327CC">
                    <w:rPr>
                      <w:b/>
                      <w:bCs/>
                    </w:rPr>
                    <w:t>číslo</w:t>
                  </w:r>
                  <w:r w:rsidR="003327CC" w:rsidRPr="003327CC">
                    <w:rPr>
                      <w:b/>
                      <w:bCs/>
                    </w:rPr>
                    <w:t xml:space="preserve"> 21</w:t>
                  </w:r>
                </w:p>
                <w:p w14:paraId="6A8EBD92" w14:textId="2C33738E" w:rsidR="00FF2CDE" w:rsidRPr="003327CC" w:rsidRDefault="00815D12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327CC">
                    <w:rPr>
                      <w:b/>
                      <w:bCs/>
                    </w:rPr>
                    <w:t xml:space="preserve">Názov projektu: </w:t>
                  </w:r>
                  <w:r w:rsidR="003327CC" w:rsidRPr="003327CC">
                    <w:t>Rozvíjanie profesijných kompetencií učiteľov materských, základných a stredných škôl v kontexte zvyšovania úspešnosti reformy systému základného vzdelávania</w:t>
                  </w:r>
                </w:p>
                <w:p w14:paraId="010B8513" w14:textId="7810BE84" w:rsidR="000154C1" w:rsidRPr="003327CC" w:rsidRDefault="000154C1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327CC">
                    <w:rPr>
                      <w:b/>
                      <w:bCs/>
                    </w:rPr>
                    <w:t xml:space="preserve">Prijímateľ: </w:t>
                  </w:r>
                  <w:r w:rsidR="00F077BA" w:rsidRPr="00F077BA">
                    <w:t>Štátny</w:t>
                  </w:r>
                  <w:r w:rsidR="00F077BA">
                    <w:t xml:space="preserve"> pedagogický ústav</w:t>
                  </w:r>
                </w:p>
                <w:p w14:paraId="4E938EF5" w14:textId="77777777" w:rsidR="006D202E" w:rsidRPr="003327CC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0FAD32F9" w:rsidR="000561C9" w:rsidRDefault="003E1C2F" w:rsidP="000561C9">
      <w:r>
        <w:rPr>
          <w:noProof/>
          <w:lang w:eastAsia="cs-CZ"/>
        </w:rPr>
        <w:pict w14:anchorId="16DA5357">
          <v:roundrect id="_x0000_s1166" style="position:absolute;margin-left:-3.65pt;margin-top:7.3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3DBBB15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6A3A4329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CE02A3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4FD6DE6F" w:rsidR="000561C9" w:rsidRDefault="003E1C2F" w:rsidP="000561C9">
      <w:r>
        <w:rPr>
          <w:noProof/>
          <w:lang w:eastAsia="cs-CZ"/>
        </w:rPr>
        <w:pict w14:anchorId="317BC199">
          <v:shape id="_x0000_s1136" type="#_x0000_t202" style="position:absolute;margin-left:121.4pt;margin-top:19.9pt;width:131.55pt;height:57.15pt;z-index:251658247;visibility:visible;mso-width-relative:margin;mso-height-relative:margin">
            <v:textbox style="mso-next-textbox:#_x0000_s1136">
              <w:txbxContent>
                <w:p w14:paraId="372277E3" w14:textId="3C73F7D2" w:rsidR="00952A01" w:rsidRPr="00952A01" w:rsidRDefault="00952A01">
                  <w:pPr>
                    <w:rPr>
                      <w:sz w:val="18"/>
                      <w:szCs w:val="18"/>
                    </w:rPr>
                  </w:pPr>
                  <w:r w:rsidRPr="00952A01">
                    <w:rPr>
                      <w:sz w:val="18"/>
                      <w:szCs w:val="18"/>
                    </w:rPr>
                    <w:t>Monitorovanie</w:t>
                  </w:r>
                  <w:r>
                    <w:rPr>
                      <w:sz w:val="18"/>
                      <w:szCs w:val="18"/>
                    </w:rPr>
                    <w:t xml:space="preserve"> úrovne komunikačných a profesijných kompetencií na vybranej vzorke frekventantov</w:t>
                  </w:r>
                  <w:r w:rsidRPr="00952A01"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92.05pt;z-index:251658270;mso-width-relative:margin;mso-height-relative:margin" fillcolor="white [3212]">
            <v:textbox style="mso-next-textbox:#_x0000_s1222">
              <w:txbxContent>
                <w:p w14:paraId="6B4D196B" w14:textId="0A16741F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B7B73">
                    <w:rPr>
                      <w:sz w:val="16"/>
                      <w:szCs w:val="16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</w:p>
    <w:p w14:paraId="713B0177" w14:textId="4684D057" w:rsidR="000561C9" w:rsidRDefault="003E1C2F" w:rsidP="000561C9"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2.25pt;margin-top:22.65pt;width:21.05pt;height:10.35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3.3pt;margin-top:14.3pt;width:185.5pt;height:33.2pt;z-index:251658300;visibility:visible;mso-width-relative:margin;mso-height-relative:margin">
            <v:textbox style="mso-next-textbox:#_x0000_s1344">
              <w:txbxContent>
                <w:p w14:paraId="2FDAC6CB" w14:textId="0936CF9C" w:rsidR="00A07A76" w:rsidRPr="00A30E16" w:rsidRDefault="00A07A76" w:rsidP="00A07A7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Overenie akreditovaných vzdelávacích programov</w:t>
                  </w:r>
                </w:p>
                <w:p w14:paraId="4BEA3707" w14:textId="77092652" w:rsidR="00DA35ED" w:rsidRPr="001E7A5B" w:rsidRDefault="00DA35ED" w:rsidP="00DA35E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05pt;margin-top:21.75pt;width:19.35pt;height:62.3pt;flip:y;z-index:251658288" o:connectortype="straight">
            <v:stroke endarrow="block"/>
          </v:shape>
        </w:pict>
      </w:r>
    </w:p>
    <w:p w14:paraId="7FB42DC9" w14:textId="583C8E59" w:rsidR="000561C9" w:rsidRDefault="003E1C2F" w:rsidP="000561C9">
      <w:r>
        <w:rPr>
          <w:noProof/>
          <w:lang w:eastAsia="cs-CZ"/>
        </w:rPr>
        <w:pict w14:anchorId="34BC0683">
          <v:shape id="_x0000_s1342" type="#_x0000_t32" style="position:absolute;margin-left:458.8pt;margin-top:5.65pt;width:97.3pt;height:46.8pt;z-index:251658309" o:connectortype="straight">
            <v:stroke endarrow="block"/>
          </v:shape>
        </w:pict>
      </w:r>
    </w:p>
    <w:p w14:paraId="3E4D6617" w14:textId="3B81F232" w:rsidR="000561C9" w:rsidRDefault="003E1C2F" w:rsidP="000561C9">
      <w:r>
        <w:rPr>
          <w:noProof/>
          <w:lang w:eastAsia="cs-CZ"/>
        </w:rPr>
        <w:pict w14:anchorId="7BC9C65D">
          <v:shape id="_x0000_s1328" type="#_x0000_t32" style="position:absolute;margin-left:694.8pt;margin-top:23.95pt;width:53.95pt;height:103.35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6.1pt;margin-top:4.5pt;width:138.05pt;height:42.15pt;z-index:251658274;visibility:visible;mso-width-relative:margin;mso-height-relative:margin">
            <v:textbox style="mso-next-textbox:#_x0000_s1341">
              <w:txbxContent>
                <w:p w14:paraId="7C9AEA4E" w14:textId="1C7DADA7" w:rsidR="00D63438" w:rsidRPr="003A3328" w:rsidRDefault="00D63438" w:rsidP="00D6343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Zvýšené metakognitívne a profesijné kompetencie učiteľov</w:t>
                  </w:r>
                  <w:r w:rsidR="00F00A50">
                    <w:rPr>
                      <w:sz w:val="18"/>
                      <w:szCs w:val="18"/>
                    </w:rPr>
                    <w:t xml:space="preserve"> na výučbu AJ na 1. stupni ZŠ</w:t>
                  </w:r>
                </w:p>
                <w:p w14:paraId="08C79536" w14:textId="5E1B9E75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3.3pt;margin-top:8.65pt;width:185.5pt;height:45.15pt;z-index:251658326;visibility:visible;mso-width-relative:margin;mso-height-relative:margin">
            <v:textbox style="mso-next-textbox:#_x0000_s1356">
              <w:txbxContent>
                <w:p w14:paraId="39B4E9F7" w14:textId="16C75370" w:rsidR="00FA2B75" w:rsidRPr="006C16A7" w:rsidRDefault="00A07A76" w:rsidP="00A07A76">
                  <w:pPr>
                    <w:rPr>
                      <w:sz w:val="18"/>
                      <w:szCs w:val="18"/>
                    </w:rPr>
                  </w:pPr>
                  <w:r w:rsidRPr="001E7A5B">
                    <w:rPr>
                      <w:sz w:val="18"/>
                      <w:szCs w:val="18"/>
                    </w:rPr>
                    <w:t>Účasť učiteľov na vzdelávacej aktivite profesijného rozvoja a identifikácia ich vplyvu na riadenie vzdelávacích procesov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6.25pt;margin-top:3.65pt;width:96.4pt;height:62.3pt;z-index:251658284;visibility:visible;mso-width-relative:margin;mso-height-relative:margin">
            <v:textbox style="mso-next-textbox:#_x0000_s1254">
              <w:txbxContent>
                <w:p w14:paraId="321789C9" w14:textId="77777777" w:rsidR="006B563D" w:rsidRPr="006B563D" w:rsidRDefault="006B563D" w:rsidP="006B563D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6B563D">
                    <w:rPr>
                      <w:bCs/>
                      <w:sz w:val="18"/>
                      <w:szCs w:val="18"/>
                    </w:rPr>
                    <w:t>Overenie profesijných a  jazykových kompetencií učiteľov anglického jazyka na 1. stupni ZŠ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1.8pt;margin-top:9.75pt;width:131.55pt;height:47.05pt;z-index:251658249;visibility:visible;mso-width-relative:margin;mso-height-relative:margin">
            <v:textbox style="mso-next-textbox:#_x0000_s1138">
              <w:txbxContent>
                <w:p w14:paraId="432C3CD2" w14:textId="77777777" w:rsidR="00952A01" w:rsidRPr="007751F0" w:rsidRDefault="00952A01" w:rsidP="00952A0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Š</w:t>
                  </w:r>
                  <w:r w:rsidRPr="00DA5F05">
                    <w:rPr>
                      <w:sz w:val="18"/>
                      <w:szCs w:val="18"/>
                    </w:rPr>
                    <w:t>kolenie pre frekventantov k rozvoju ich profesijných a jazykových kompetencií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A5253C0" w14:textId="10F7CC9F" w:rsidR="000561C9" w:rsidRDefault="003E1C2F" w:rsidP="000561C9">
      <w:r>
        <w:rPr>
          <w:noProof/>
          <w:lang w:eastAsia="cs-CZ"/>
        </w:rPr>
        <w:pict w14:anchorId="17AEEFE2">
          <v:shape id="_x0000_s1352" type="#_x0000_t32" style="position:absolute;margin-left:455.45pt;margin-top:4.5pt;width:99.8pt;height:47.85pt;flip:y;z-index:251658330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9.45pt;margin-top:1.6pt;width:96.65pt;height:.65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2.95pt;margin-top:7.75pt;width:21pt;height:0;z-index:251658306" o:connectortype="straight">
            <v:stroke endarrow="block"/>
          </v:shape>
        </w:pict>
      </w:r>
      <w:r>
        <w:rPr>
          <w:noProof/>
          <w:lang w:eastAsia="cs-CZ"/>
        </w:rPr>
        <w:pict w14:anchorId="53D19B30">
          <v:shape id="_x0000_s1363" type="#_x0000_t32" style="position:absolute;margin-left:101.45pt;margin-top:6.25pt;width:19.95pt;height:0;z-index:251659355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9pt;margin-top:9.15pt;width:18.5pt;height:50.65pt;z-index:251658305" o:connectortype="straight">
            <v:stroke endarrow="block"/>
          </v:shape>
        </w:pict>
      </w:r>
    </w:p>
    <w:p w14:paraId="0363CCF6" w14:textId="39FBE589" w:rsidR="000561C9" w:rsidRDefault="003E1C2F" w:rsidP="000561C9">
      <w:r>
        <w:rPr>
          <w:noProof/>
          <w:lang w:eastAsia="cs-CZ"/>
        </w:rPr>
        <w:pict w14:anchorId="2D357331">
          <v:shape id="_x0000_s1368" type="#_x0000_t202" style="position:absolute;margin-left:273.35pt;margin-top:12.5pt;width:183.65pt;height:31.5pt;z-index:251663451;visibility:visible;mso-width-relative:margin;mso-height-relative:margin">
            <v:textbox style="mso-next-textbox:#_x0000_s1368">
              <w:txbxContent>
                <w:p w14:paraId="3BE7B3AA" w14:textId="77777777" w:rsidR="00952A01" w:rsidRPr="007751F0" w:rsidRDefault="00952A01" w:rsidP="00952A0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Identifikovaná úspešnosť vzdelávacích programov</w:t>
                  </w:r>
                </w:p>
                <w:p w14:paraId="42E45B7F" w14:textId="77777777" w:rsidR="00952A01" w:rsidRPr="006C16A7" w:rsidRDefault="00952A01" w:rsidP="00952A0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1.4pt;margin-top:12.5pt;width:131.55pt;height:43.1pt;z-index:251658248;visibility:visible;mso-width-relative:margin;mso-height-relative:margin">
            <v:textbox style="mso-next-textbox:#_x0000_s1349">
              <w:txbxContent>
                <w:p w14:paraId="0F9E8F7C" w14:textId="77777777" w:rsidR="00952A01" w:rsidRPr="00E3178C" w:rsidRDefault="00952A01" w:rsidP="00952A01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E3178C">
                    <w:rPr>
                      <w:bCs/>
                      <w:sz w:val="18"/>
                      <w:szCs w:val="18"/>
                    </w:rPr>
                    <w:t>Expertná správa a odporúčania na úpravu akreditovaných vzdelávacích programov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9.3pt;margin-top:15.05pt;width:85.05pt;height:129.7pt;z-index:251658271;mso-width-relative:margin;mso-height-relative:margin" fillcolor="white [3212]">
            <v:textbox style="mso-next-textbox:#_x0000_s1223">
              <w:txbxContent>
                <w:p w14:paraId="000AADA1" w14:textId="1AC45D09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B7B73">
                    <w:rPr>
                      <w:sz w:val="16"/>
                      <w:szCs w:val="16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</w:rPr>
                    <w:t> </w:t>
                  </w:r>
                  <w:r w:rsidRPr="00DB7B73">
                    <w:rPr>
                      <w:sz w:val="16"/>
                      <w:szCs w:val="16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26BAB589" w14:textId="6310A787" w:rsidR="000561C9" w:rsidRDefault="003E1C2F" w:rsidP="000561C9">
      <w:r>
        <w:rPr>
          <w:noProof/>
          <w:lang w:eastAsia="cs-CZ"/>
        </w:rPr>
        <w:pict w14:anchorId="72879E18">
          <v:shape id="_x0000_s1364" type="#_x0000_t32" style="position:absolute;margin-left:253.5pt;margin-top:3.15pt;width:19.85pt;height:4.35pt;flip:y;z-index:251660379" o:connectortype="straight">
            <v:stroke endarrow="block"/>
          </v:shape>
        </w:pict>
      </w:r>
    </w:p>
    <w:p w14:paraId="63D31D23" w14:textId="033540A9" w:rsidR="000561C9" w:rsidRDefault="003E1C2F" w:rsidP="000561C9">
      <w:r>
        <w:rPr>
          <w:noProof/>
        </w:rPr>
        <w:pict w14:anchorId="30D30D0F">
          <v:shape id="_x0000_s1320" type="#_x0000_t32" style="position:absolute;margin-left:865.75pt;margin-top:23.4pt;width:43.55pt;height:163.8pt;z-index:251658321" o:connectortype="straight">
            <v:stroke endarrow="block"/>
          </v:shape>
        </w:pict>
      </w:r>
      <w:r>
        <w:rPr>
          <w:noProof/>
          <w:lang w:eastAsia="cs-CZ"/>
        </w:rPr>
        <w:pict w14:anchorId="139D0A69">
          <v:shape id="_x0000_s1366" type="#_x0000_t32" style="position:absolute;margin-left:697.15pt;margin-top:24.35pt;width:50.45pt;height:69.5pt;flip:y;z-index:251662427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48.75pt;margin-top:1.2pt;width:116.15pt;height:45.9pt;z-index:251658266;mso-width-relative:margin;mso-height-relative:margin" fillcolor="white [3212]">
            <v:textbox style="mso-next-textbox:#_x0000_s1211">
              <w:txbxContent>
                <w:p w14:paraId="42032B11" w14:textId="2FE67A25" w:rsidR="009363EA" w:rsidRDefault="009363EA" w:rsidP="00D7274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Vytvorené podmienky pre úspešnú reformu systému základného vzdelávania</w:t>
                  </w:r>
                </w:p>
                <w:p w14:paraId="7B134474" w14:textId="77777777" w:rsidR="009363EA" w:rsidRDefault="009363EA" w:rsidP="00D72742">
                  <w:pPr>
                    <w:rPr>
                      <w:sz w:val="18"/>
                      <w:szCs w:val="18"/>
                    </w:rPr>
                  </w:pPr>
                </w:p>
                <w:p w14:paraId="10E9C9CA" w14:textId="77777777" w:rsidR="009363EA" w:rsidRDefault="009363EA" w:rsidP="00D72742">
                  <w:pPr>
                    <w:rPr>
                      <w:sz w:val="18"/>
                      <w:szCs w:val="18"/>
                    </w:rPr>
                  </w:pPr>
                </w:p>
                <w:p w14:paraId="7A9092BB" w14:textId="1759F670" w:rsidR="009363EA" w:rsidRDefault="009363EA" w:rsidP="00D72742">
                  <w:pPr>
                    <w:rPr>
                      <w:sz w:val="18"/>
                      <w:szCs w:val="18"/>
                    </w:rPr>
                  </w:pPr>
                </w:p>
                <w:p w14:paraId="714FECBE" w14:textId="77777777" w:rsidR="009363EA" w:rsidRPr="00FC7B91" w:rsidRDefault="009363EA" w:rsidP="00D72742">
                  <w:pPr>
                    <w:rPr>
                      <w:szCs w:val="18"/>
                    </w:rPr>
                  </w:pP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</w:p>
    <w:p w14:paraId="3511B5C9" w14:textId="02ECC62D" w:rsidR="000561C9" w:rsidRDefault="003E1C2F" w:rsidP="000561C9">
      <w:r>
        <w:rPr>
          <w:noProof/>
          <w:lang w:eastAsia="cs-CZ"/>
        </w:rPr>
        <w:pict w14:anchorId="139D0A69">
          <v:shape id="_x0000_s1384" type="#_x0000_t32" style="position:absolute;margin-left:697.15pt;margin-top:3.95pt;width:50.45pt;height:131.5pt;flip:y;z-index:251678811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69" type="#_x0000_t202" style="position:absolute;margin-left:123pt;margin-top:17pt;width:131.55pt;height:42.45pt;z-index:251664475;visibility:visible;mso-width-relative:margin;mso-height-relative:margin">
            <v:textbox style="mso-next-textbox:#_x0000_s1369">
              <w:txbxContent>
                <w:p w14:paraId="70B69C2C" w14:textId="0C59D5FB" w:rsidR="00F00A50" w:rsidRPr="00F00A50" w:rsidRDefault="00F00A50" w:rsidP="00F00A50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F00A50">
                    <w:rPr>
                      <w:bCs/>
                      <w:sz w:val="18"/>
                      <w:szCs w:val="18"/>
                    </w:rPr>
                    <w:t>Zostavenie výberovej vzorky PZ (390 z MŠ, 820 zo ZŠ, 390 z gymnázií)</w:t>
                  </w:r>
                </w:p>
              </w:txbxContent>
            </v:textbox>
          </v:shape>
        </w:pict>
      </w:r>
    </w:p>
    <w:p w14:paraId="0377B358" w14:textId="47749023" w:rsidR="000561C9" w:rsidRDefault="003E1C2F" w:rsidP="000561C9">
      <w:r>
        <w:rPr>
          <w:noProof/>
          <w:lang w:eastAsia="cs-CZ"/>
        </w:rPr>
        <w:pict w14:anchorId="60611A39">
          <v:shape id="_x0000_s1373" type="#_x0000_t202" style="position:absolute;margin-left:559.9pt;margin-top:19.65pt;width:138.05pt;height:45.1pt;z-index:251667547;visibility:visible;mso-width-relative:margin;mso-height-relative:margin">
            <v:textbox style="mso-next-textbox:#_x0000_s1373">
              <w:txbxContent>
                <w:p w14:paraId="4C0F01EE" w14:textId="4AF68D48" w:rsidR="008E5019" w:rsidRPr="008E5019" w:rsidRDefault="008E5019" w:rsidP="008E5019">
                  <w:pPr>
                    <w:rPr>
                      <w:sz w:val="18"/>
                      <w:szCs w:val="18"/>
                    </w:rPr>
                  </w:pPr>
                  <w:r w:rsidRPr="008E5019">
                    <w:rPr>
                      <w:sz w:val="18"/>
                      <w:szCs w:val="18"/>
                    </w:rPr>
                    <w:t>Identifikovaný dopad</w:t>
                  </w:r>
                  <w:r>
                    <w:rPr>
                      <w:sz w:val="18"/>
                      <w:szCs w:val="18"/>
                    </w:rPr>
                    <w:t xml:space="preserve"> reformy v MŠ, ZŠ a gymnáziách z roku 2008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3.5pt;margin-top:11.45pt;width:17.9pt;height:62.85pt;z-index:251658304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9pt;margin-top:13.15pt;width:19.05pt;height:55.65pt;flip:y;z-index:251658295" o:connectortype="straight">
            <v:stroke endarrow="block"/>
          </v:shape>
        </w:pict>
      </w:r>
    </w:p>
    <w:p w14:paraId="2227E9D9" w14:textId="03A9806C" w:rsidR="000561C9" w:rsidRDefault="003E1C2F" w:rsidP="000561C9">
      <w:r>
        <w:rPr>
          <w:noProof/>
        </w:rPr>
        <w:pict w14:anchorId="17AEEFE2">
          <v:shape id="_x0000_s1333" type="#_x0000_t32" style="position:absolute;margin-left:458.8pt;margin-top:17.55pt;width:102.8pt;height:28.35pt;flip:y;z-index:251658310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2.7pt;margin-top:24.65pt;width:185.5pt;height:44.3pt;z-index:251658243;visibility:visible;mso-width-relative:margin;mso-height-relative:margin">
            <v:textbox style="mso-next-textbox:#_x0000_s1359">
              <w:txbxContent>
                <w:p w14:paraId="10077D8F" w14:textId="020A5ED8" w:rsidR="00222F1E" w:rsidRPr="00FF561A" w:rsidRDefault="008E5019" w:rsidP="00222F1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Identifikovaný vplyv rozvoja profesijných kompetencií PZ </w:t>
                  </w:r>
                  <w:r w:rsidR="00222F1E" w:rsidRPr="00E92606">
                    <w:rPr>
                      <w:sz w:val="18"/>
                      <w:szCs w:val="18"/>
                    </w:rPr>
                    <w:t>materských škôl, základných škôl a gymnázií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BB2F014">
          <v:shape id="_x0000_s1370" type="#_x0000_t202" style="position:absolute;margin-left:121.95pt;margin-top:23.45pt;width:131.55pt;height:45.5pt;z-index:251665499;visibility:visible;mso-width-relative:margin;mso-height-relative:margin">
            <v:textbox style="mso-next-textbox:#_x0000_s1370">
              <w:txbxContent>
                <w:p w14:paraId="50D2FEC0" w14:textId="149649BC" w:rsidR="00F00A50" w:rsidRPr="007751F0" w:rsidRDefault="00F00A50" w:rsidP="00F00A5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Dotazníkový prieskum zameraný na vplyv rozvoja profesijných kompetencií PZ</w:t>
                  </w:r>
                </w:p>
                <w:p w14:paraId="4983D9C0" w14:textId="77777777" w:rsidR="00F00A50" w:rsidRPr="000E6408" w:rsidRDefault="00F00A50" w:rsidP="00F00A50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6.25pt;margin-top:8.6pt;width:96.4pt;height:65.7pt;z-index:251658285;visibility:visible;mso-width-relative:margin;mso-height-relative:margin">
            <v:textbox style="mso-next-textbox:#_x0000_s1256">
              <w:txbxContent>
                <w:p w14:paraId="6C5072F8" w14:textId="4C520406" w:rsidR="00FF2CDE" w:rsidRPr="00951E0F" w:rsidRDefault="00951E0F" w:rsidP="00951E0F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51E0F">
                    <w:rPr>
                      <w:bCs/>
                      <w:sz w:val="18"/>
                      <w:szCs w:val="18"/>
                    </w:rPr>
                    <w:t>Identifikovanie determinantov profesijného rozvoja učiteľov MŠ, ZŠ a gymnázií</w:t>
                  </w:r>
                </w:p>
              </w:txbxContent>
            </v:textbox>
          </v:shape>
        </w:pict>
      </w:r>
    </w:p>
    <w:p w14:paraId="7042EA1E" w14:textId="31FF10F5" w:rsidR="000561C9" w:rsidRDefault="003E1C2F" w:rsidP="000561C9">
      <w:r>
        <w:rPr>
          <w:noProof/>
        </w:rPr>
        <w:pict w14:anchorId="0837DE44">
          <v:shape id="_x0000_s1337" type="#_x0000_t32" style="position:absolute;margin-left:458.2pt;margin-top:21.3pt;width:100.9pt;height:37.85pt;z-index:251658308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371" type="#_x0000_t32" style="position:absolute;margin-left:253.5pt;margin-top:24.15pt;width:19.35pt;height:0;z-index:251666523" o:connectortype="straight">
            <v:stroke endarrow="block"/>
          </v:shape>
        </w:pict>
      </w:r>
      <w:r>
        <w:rPr>
          <w:noProof/>
        </w:rPr>
        <w:pict w14:anchorId="63AE0BD3">
          <v:shape id="_x0000_s1285" type="#_x0000_t32" style="position:absolute;margin-left:253.5pt;margin-top:24pt;width:17.9pt;height:65.05pt;flip:y;z-index:251658299" o:connectortype="straight">
            <v:stroke endarrow="block"/>
          </v:shape>
        </w:pict>
      </w:r>
      <w:r>
        <w:rPr>
          <w:noProof/>
        </w:rPr>
        <w:pict w14:anchorId="7C27D637">
          <v:shape id="_x0000_s1284" type="#_x0000_t32" style="position:absolute;margin-left:102.9pt;margin-top:17.9pt;width:19.05pt;height:73.8pt;z-index:251658298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05pt;margin-top:17.9pt;width:19.35pt;height:0;z-index:251658296" o:connectortype="straight">
            <v:stroke endarrow="block"/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4970DEB4" w14:textId="553504AB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DB7B73">
                    <w:rPr>
                      <w:sz w:val="16"/>
                      <w:szCs w:val="16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</w:rPr>
                    <w:t>ú</w:t>
                  </w:r>
                  <w:r w:rsidRPr="00DB7B73">
                    <w:rPr>
                      <w:sz w:val="16"/>
                      <w:szCs w:val="16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</w:p>
    <w:p w14:paraId="521C7B41" w14:textId="5E0A6EE0" w:rsidR="000561C9" w:rsidRDefault="003E1C2F" w:rsidP="000561C9">
      <w:r>
        <w:rPr>
          <w:noProof/>
          <w:lang w:eastAsia="cs-CZ"/>
        </w:rPr>
        <w:pict w14:anchorId="60611A39">
          <v:shape id="_x0000_s1374" type="#_x0000_t202" style="position:absolute;margin-left:559.1pt;margin-top:6pt;width:138.05pt;height:58.35pt;z-index:251668571;visibility:visible;mso-width-relative:margin;mso-height-relative:margin">
            <v:textbox style="mso-next-textbox:#_x0000_s1374">
              <w:txbxContent>
                <w:p w14:paraId="5DFB5EF5" w14:textId="10EFCB28" w:rsidR="008E5019" w:rsidRPr="008E5019" w:rsidRDefault="008E5019" w:rsidP="008E50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Definované determinanty  úspešnosti kontinuálneho vzdelávania PZ v MŠ, ZŠ a gymnáziách</w:t>
                  </w:r>
                </w:p>
              </w:txbxContent>
            </v:textbox>
          </v:shape>
        </w:pict>
      </w:r>
    </w:p>
    <w:p w14:paraId="29B15E48" w14:textId="69488DA1" w:rsidR="000561C9" w:rsidRDefault="003E1C2F" w:rsidP="000561C9">
      <w:r>
        <w:rPr>
          <w:noProof/>
          <w:lang w:eastAsia="cs-CZ"/>
        </w:rPr>
        <w:pict w14:anchorId="14D67642">
          <v:shape id="_x0000_s1330" type="#_x0000_t32" style="position:absolute;margin-left:697.15pt;margin-top:8.25pt;width:51.6pt;height:51.8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pt;margin-top:4.2pt;width:131.55pt;height:68.85pt;z-index:251658250;visibility:visible;mso-width-relative:margin;mso-height-relative:margin">
            <v:textbox style="mso-next-textbox:#_x0000_s1355">
              <w:txbxContent>
                <w:p w14:paraId="5A2AD1BD" w14:textId="77777777" w:rsidR="00B521A5" w:rsidRPr="007751F0" w:rsidRDefault="00B521A5" w:rsidP="00B521A5">
                  <w:pPr>
                    <w:rPr>
                      <w:sz w:val="18"/>
                      <w:szCs w:val="18"/>
                    </w:rPr>
                  </w:pPr>
                  <w:r w:rsidRPr="00D72E87">
                    <w:rPr>
                      <w:sz w:val="18"/>
                      <w:szCs w:val="18"/>
                    </w:rPr>
                    <w:t>Správa o implementácii kurikulárnej politiky v materských školách, základných školách a gymnáziách v rokoch 2008 – 2015</w:t>
                  </w:r>
                </w:p>
                <w:p w14:paraId="4213EE64" w14:textId="77777777" w:rsidR="00FF2CDE" w:rsidRPr="000E6408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47AB8B1" w14:textId="507B4BF7" w:rsidR="000561C9" w:rsidRDefault="003E1C2F" w:rsidP="000561C9">
      <w:r>
        <w:rPr>
          <w:noProof/>
          <w:lang w:eastAsia="cs-CZ"/>
        </w:rPr>
        <w:pict w14:anchorId="30D30D0F">
          <v:shape id="_x0000_s1386" type="#_x0000_t32" style="position:absolute;margin-left:12in;margin-top:8.1pt;width:46.7pt;height:23.6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383" type="#_x0000_t202" style="position:absolute;margin-left:748.75pt;margin-top:8.1pt;width:116.15pt;height:49.6pt;z-index:251677787;mso-width-relative:margin;mso-height-relative:margin" fillcolor="white [3212]">
            <v:textbox style="mso-next-textbox:#_x0000_s1383">
              <w:txbxContent>
                <w:p w14:paraId="5703AED4" w14:textId="6D175298" w:rsidR="00135746" w:rsidRDefault="00135746" w:rsidP="001357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Efektívne riadenie vzdelávacích procesov na MŠ, ZŠ a gymnáziách </w:t>
                  </w:r>
                </w:p>
                <w:p w14:paraId="4356EC9B" w14:textId="77777777" w:rsidR="00135746" w:rsidRDefault="00135746" w:rsidP="00135746">
                  <w:pPr>
                    <w:rPr>
                      <w:sz w:val="18"/>
                      <w:szCs w:val="18"/>
                    </w:rPr>
                  </w:pPr>
                </w:p>
                <w:p w14:paraId="78BFDE3B" w14:textId="77777777" w:rsidR="00135746" w:rsidRPr="00FC7B91" w:rsidRDefault="00135746" w:rsidP="00135746">
                  <w:pPr>
                    <w:rPr>
                      <w:szCs w:val="18"/>
                    </w:rPr>
                  </w:pPr>
                </w:p>
                <w:p w14:paraId="73BD7B29" w14:textId="77777777" w:rsidR="00135746" w:rsidRDefault="00135746" w:rsidP="00135746">
                  <w:pPr>
                    <w:spacing w:after="0" w:line="192" w:lineRule="auto"/>
                  </w:pPr>
                </w:p>
              </w:txbxContent>
            </v:textbox>
          </v:shape>
        </w:pict>
      </w:r>
    </w:p>
    <w:p w14:paraId="430C0B2F" w14:textId="1F6E4D2E" w:rsidR="000561C9" w:rsidRDefault="003E1C2F" w:rsidP="000561C9">
      <w:r>
        <w:rPr>
          <w:noProof/>
          <w:lang w:eastAsia="cs-CZ"/>
        </w:rPr>
        <w:pict w14:anchorId="14D67642">
          <v:shape id="_x0000_s1385" type="#_x0000_t32" style="position:absolute;margin-left:697.95pt;margin-top:9.95pt;width:49.65pt;height:89.35pt;flip:y;z-index:251679835" o:connectortype="straight">
            <v:stroke endarrow="block"/>
          </v:shape>
        </w:pict>
      </w:r>
    </w:p>
    <w:p w14:paraId="4015DC59" w14:textId="5BE788A5" w:rsidR="00DD7C0B" w:rsidRDefault="00DD7C0B"/>
    <w:p w14:paraId="21B306BE" w14:textId="0CD8C611" w:rsidR="00DD7C0B" w:rsidRDefault="003E1C2F">
      <w:r>
        <w:rPr>
          <w:noProof/>
          <w:lang w:eastAsia="cs-CZ"/>
        </w:rPr>
        <w:pict w14:anchorId="0837DE44">
          <v:shape id="_x0000_s1382" type="#_x0000_t32" style="position:absolute;margin-left:460.2pt;margin-top:25.7pt;width:100.4pt;height:22.7pt;z-index:251676763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59.9pt;margin-top:20.45pt;width:138.05pt;height:55.9pt;z-index:251658276;visibility:visible;mso-width-relative:margin;mso-height-relative:margin">
            <v:textbox style="mso-next-textbox:#_x0000_s1361">
              <w:txbxContent>
                <w:p w14:paraId="2843FF09" w14:textId="32DCE665" w:rsidR="00FF2CDE" w:rsidRPr="006C16A7" w:rsidRDefault="009363EA" w:rsidP="000561C9"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Zvýšené profesijné kompetencie učiteľov MŠ zvyšujú úspešnosť zavádzania inovovaného ŠVP do praxe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2569D35">
          <v:shape id="_x0000_s1376" type="#_x0000_t202" style="position:absolute;margin-left:273.95pt;margin-top:3.3pt;width:185.5pt;height:45.1pt;z-index:251670619;visibility:visible;mso-width-relative:margin;mso-height-relative:margin">
            <v:textbox style="mso-next-textbox:#_x0000_s1376">
              <w:txbxContent>
                <w:p w14:paraId="544D23F3" w14:textId="38318C85" w:rsidR="004E38C2" w:rsidRPr="00A845F7" w:rsidRDefault="004E38C2" w:rsidP="004E38C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Poskytnutá metodická pomoc 50 MŠ v súvislosti so zavádzaním inovovaného Štátneho vzdelávacieho programu</w:t>
                  </w:r>
                </w:p>
                <w:p w14:paraId="2E691412" w14:textId="77777777" w:rsidR="004E38C2" w:rsidRPr="00DD7C0B" w:rsidRDefault="004E38C2" w:rsidP="004E38C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95pt;margin-top:10.55pt;width:131.55pt;height:43.95pt;z-index:251658251;visibility:visible;mso-width-relative:margin;mso-height-relative:margin">
            <v:textbox style="mso-next-textbox:#_x0000_s1141">
              <w:txbxContent>
                <w:p w14:paraId="7F3F511A" w14:textId="77777777" w:rsidR="00EB6DA1" w:rsidRPr="007751F0" w:rsidRDefault="00EB6DA1" w:rsidP="00EB6DA1">
                  <w:pPr>
                    <w:rPr>
                      <w:sz w:val="18"/>
                      <w:szCs w:val="18"/>
                    </w:rPr>
                  </w:pPr>
                  <w:r w:rsidRPr="00674AC7">
                    <w:rPr>
                      <w:sz w:val="18"/>
                      <w:szCs w:val="18"/>
                    </w:rPr>
                    <w:t>Súbor metodických listov, manuálov a učebných textov pre učiteľov materských škôl</w:t>
                  </w:r>
                </w:p>
                <w:p w14:paraId="1DD45E81" w14:textId="77777777" w:rsidR="00FF2CDE" w:rsidRDefault="00FF2CDE"/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3176745E" w14:textId="44A22224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B7B73">
                    <w:rPr>
                      <w:sz w:val="16"/>
                      <w:szCs w:val="16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</w:rPr>
                    <w:t>a</w:t>
                  </w:r>
                  <w:r>
                    <w:rPr>
                      <w:sz w:val="16"/>
                      <w:szCs w:val="16"/>
                    </w:rPr>
                    <w:t> </w:t>
                  </w:r>
                  <w:r w:rsidRPr="00DB7B73">
                    <w:rPr>
                      <w:sz w:val="16"/>
                      <w:szCs w:val="16"/>
                    </w:rPr>
                    <w:t>informálneho vzdelávania</w:t>
                  </w:r>
                </w:p>
              </w:txbxContent>
            </v:textbox>
          </v:shape>
        </w:pict>
      </w:r>
    </w:p>
    <w:p w14:paraId="6C167AA4" w14:textId="4EA23663" w:rsidR="00DD7C0B" w:rsidRDefault="003E1C2F">
      <w:r>
        <w:rPr>
          <w:noProof/>
          <w:lang w:eastAsia="cs-CZ"/>
        </w:rPr>
        <w:pict w14:anchorId="0837DE44">
          <v:shape id="_x0000_s1381" type="#_x0000_t32" style="position:absolute;margin-left:459.45pt;margin-top:23.8pt;width:101.15pt;height:36.95pt;flip:y;z-index:251675739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377" type="#_x0000_t32" style="position:absolute;margin-left:253.35pt;margin-top:6.45pt;width:20.6pt;height:0;z-index:251671643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380" type="#_x0000_t32" style="position:absolute;margin-left:253.5pt;margin-top:7.75pt;width:19.35pt;height:54.7pt;z-index:251674715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378" type="#_x0000_t32" style="position:absolute;margin-left:254.55pt;margin-top:6.45pt;width:18.15pt;height:56.6pt;flip:y;z-index:251672667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103.8pt;margin-top:6.45pt;width:17.6pt;height:33.55pt;flip:y;z-index:251658297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7.4pt;margin-top:8.85pt;width:96.4pt;height:62.05pt;z-index:251658286;visibility:visible;mso-width-relative:margin;mso-height-relative:margin">
            <v:textbox style="mso-next-textbox:#_x0000_s1259">
              <w:txbxContent>
                <w:p w14:paraId="695521F6" w14:textId="32270463" w:rsidR="00222A1C" w:rsidRPr="00222A1C" w:rsidRDefault="00222A1C" w:rsidP="00222A1C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22A1C">
                    <w:rPr>
                      <w:bCs/>
                      <w:sz w:val="18"/>
                      <w:szCs w:val="18"/>
                    </w:rPr>
                    <w:t>Vyhodnotenie implementácie inovovaného ŠVP pre predprimárne vzdeláva</w:t>
                  </w:r>
                  <w:r w:rsidR="006A5698">
                    <w:rPr>
                      <w:bCs/>
                      <w:sz w:val="18"/>
                      <w:szCs w:val="18"/>
                    </w:rPr>
                    <w:t>nie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356BDAB1" w14:textId="0A3731AF" w:rsidR="00DD7C0B" w:rsidRDefault="003E1C2F">
      <w:r>
        <w:rPr>
          <w:noProof/>
          <w:lang w:eastAsia="cs-CZ"/>
        </w:rPr>
        <w:pict w14:anchorId="62569D35">
          <v:shape id="_x0000_s1157" type="#_x0000_t202" style="position:absolute;margin-left:273.95pt;margin-top:5.85pt;width:185.5pt;height:57.25pt;z-index:251658244;visibility:visible;mso-width-relative:margin;mso-height-relative:margin">
            <v:textbox style="mso-next-textbox:#_x0000_s1157">
              <w:txbxContent>
                <w:p w14:paraId="3EDDBB60" w14:textId="3BED24BA" w:rsidR="003E6505" w:rsidRPr="00A845F7" w:rsidRDefault="009363EA" w:rsidP="003E650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Vypracované odporúčania k rozvoju profesijných kompetencií učiteľov MŠ v súvislosti s implementáciou inovovaného Štátneho vzdelávacieho programu pre MŠ</w:t>
                  </w:r>
                </w:p>
                <w:p w14:paraId="77891FE9" w14:textId="5B6A298A" w:rsidR="00433577" w:rsidRPr="00A845F7" w:rsidRDefault="00433577" w:rsidP="00433577">
                  <w:pPr>
                    <w:rPr>
                      <w:sz w:val="18"/>
                      <w:szCs w:val="18"/>
                    </w:rPr>
                  </w:pP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375" type="#_x0000_t32" style="position:absolute;margin-left:103.8pt;margin-top:14.55pt;width:17.6pt;height:26.5pt;z-index:251669595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1.95pt;margin-top:18.75pt;width:131.55pt;height:44.95pt;z-index:251658252;visibility:visible;mso-width-relative:margin;mso-height-relative:margin">
            <v:textbox style="mso-next-textbox:#_x0000_s1142">
              <w:txbxContent>
                <w:p w14:paraId="46C30462" w14:textId="77777777" w:rsidR="00EB34A4" w:rsidRPr="007751F0" w:rsidRDefault="00EB34A4" w:rsidP="00EB34A4">
                  <w:pPr>
                    <w:rPr>
                      <w:sz w:val="18"/>
                      <w:szCs w:val="18"/>
                    </w:rPr>
                  </w:pPr>
                  <w:r w:rsidRPr="008D6803">
                    <w:rPr>
                      <w:sz w:val="18"/>
                      <w:szCs w:val="18"/>
                    </w:rPr>
                    <w:t>Finálne verzie Školských vzdelávacích programov zapojených materských škôl</w:t>
                  </w:r>
                </w:p>
                <w:p w14:paraId="4A04AF81" w14:textId="77777777" w:rsidR="00FF2CDE" w:rsidRDefault="00FF2CDE"/>
              </w:txbxContent>
            </v:textbox>
          </v:shape>
        </w:pict>
      </w:r>
    </w:p>
    <w:p w14:paraId="05B18E8C" w14:textId="1D8C7F4D" w:rsidR="00DD7C0B" w:rsidRDefault="003E1C2F">
      <w:r>
        <w:rPr>
          <w:noProof/>
          <w:lang w:eastAsia="cs-CZ"/>
        </w:rPr>
        <w:pict w14:anchorId="1F51F332">
          <v:shape id="_x0000_s1379" type="#_x0000_t32" style="position:absolute;margin-left:254.55pt;margin-top:13.75pt;width:19.4pt;height:0;z-index:251673691" o:connectortype="straight">
            <v:stroke endarrow="block"/>
          </v:shape>
        </w:pict>
      </w:r>
    </w:p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5C8C3722" w:rsidR="00B90147" w:rsidRDefault="003E1C2F">
      <w:r>
        <w:rPr>
          <w:noProof/>
          <w:lang w:eastAsia="cs-CZ"/>
        </w:rPr>
        <w:pict w14:anchorId="55747DC4">
          <v:roundrect id="_x0000_s1185" style="position:absolute;margin-left:139.4pt;margin-top:3pt;width:377.85pt;height:191.2pt;z-index:251658259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91.2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91.2pt;z-index:251658256;visibility:visible" arcsize="5822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3E36E160" w:rsidR="00B90147" w:rsidRDefault="003E1C2F">
      <w:r>
        <w:rPr>
          <w:noProof/>
        </w:rPr>
        <w:pict w14:anchorId="4C9C5429">
          <v:shape id="Textové pole 2" o:spid="_x0000_s1322" type="#_x0000_t202" style="position:absolute;margin-left:151.8pt;margin-top:10.95pt;width:360.6pt;height:96.4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2434ACC" w14:textId="3C1B5410" w:rsidR="006A5A44" w:rsidRPr="006A5A44" w:rsidRDefault="00590D0E" w:rsidP="006A5A44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</w:t>
                  </w:r>
                  <w:r w:rsidR="006A5A44" w:rsidRPr="006A5A44">
                    <w:rPr>
                      <w:sz w:val="18"/>
                      <w:szCs w:val="18"/>
                    </w:rPr>
                    <w:t>veriť u oprávnenej cieľovej skupiny profesijné a jazykové kompetencie nadobudnuté v rámci realizácie NP „Vzdelávanie učiteľov základných škôl v oblasti cudzích jazykov v súvislosti s Koncepciou vyučovania cudzích jazykov na základných a stredných školách“</w:t>
                  </w:r>
                </w:p>
                <w:p w14:paraId="4FC5FCDE" w14:textId="527D8CEC" w:rsidR="007B5509" w:rsidRDefault="00801C48" w:rsidP="00C41D7D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801C48">
                    <w:rPr>
                      <w:sz w:val="18"/>
                      <w:szCs w:val="18"/>
                    </w:rPr>
                    <w:t>Inovatívne metódy práce pre všetky formy pedagogickej praxe</w:t>
                  </w:r>
                </w:p>
                <w:p w14:paraId="06081381" w14:textId="77777777" w:rsidR="00801C48" w:rsidRDefault="00801C48" w:rsidP="00C41D7D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801C48">
                    <w:rPr>
                      <w:sz w:val="18"/>
                      <w:szCs w:val="18"/>
                    </w:rPr>
                    <w:t>Metodická pomoc učiteľom pri tvorbe ŠkVP</w:t>
                  </w:r>
                </w:p>
                <w:p w14:paraId="6401A39A" w14:textId="302B3E76" w:rsidR="00801C48" w:rsidRPr="00801C48" w:rsidRDefault="00801C48" w:rsidP="00C41D7D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801C48">
                    <w:rPr>
                      <w:sz w:val="18"/>
                      <w:szCs w:val="18"/>
                    </w:rPr>
                    <w:t>Potreba zvyšovania kvality materskej školy ako inštitúcie poskytujúcej predprimárny stupeň vzdelania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25.4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04F09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26CE12D7" w:rsidR="00E70A99" w:rsidRPr="00904F09" w:rsidRDefault="00E70A99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22219">
                          <w:rPr>
                            <w:sz w:val="18"/>
                            <w:szCs w:val="18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</w:rPr>
                          <w:t xml:space="preserve"> podľa poslednej </w:t>
                        </w:r>
                        <w:r w:rsidR="00F87350">
                          <w:rPr>
                            <w:sz w:val="18"/>
                            <w:szCs w:val="18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0D1586E6" w:rsidR="008110C3" w:rsidRPr="00904F09" w:rsidRDefault="00D11E4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3FCEA150" w:rsidR="00E70A99" w:rsidRPr="00D11E4A" w:rsidRDefault="006F6BDE" w:rsidP="00D11E4A">
                        <w:pPr>
                          <w:rPr>
                            <w:sz w:val="18"/>
                            <w:szCs w:val="18"/>
                          </w:rPr>
                        </w:pPr>
                        <w:r w:rsidRPr="00D11E4A">
                          <w:rPr>
                            <w:sz w:val="18"/>
                            <w:szCs w:val="18"/>
                          </w:rPr>
                          <w:t>Počet  inovovaných didaktických prostriedkov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3E6C57D7" w:rsidR="00E70A99" w:rsidRPr="00904F09" w:rsidRDefault="005C01D4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411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E027092" w:rsidR="00E70A99" w:rsidRPr="00904F09" w:rsidRDefault="005C01D4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411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0DE4EE04" w:rsidR="00E70A99" w:rsidRPr="00904F09" w:rsidRDefault="00D11E4A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062D0F38" w:rsidR="00E70A99" w:rsidRPr="00D11E4A" w:rsidRDefault="008F6FC3" w:rsidP="00D11E4A">
                        <w:pPr>
                          <w:rPr>
                            <w:sz w:val="18"/>
                            <w:szCs w:val="18"/>
                          </w:rPr>
                        </w:pPr>
                        <w:r w:rsidRPr="00D11E4A">
                          <w:rPr>
                            <w:sz w:val="18"/>
                            <w:szCs w:val="18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5663656" w:rsidR="00E70A99" w:rsidRPr="00904F09" w:rsidRDefault="006D6B5D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2400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1095E52B" w:rsidR="00E70A99" w:rsidRPr="00904F09" w:rsidRDefault="006D6B5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2400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228BB55E" w:rsidR="00E70A99" w:rsidRPr="00904F09" w:rsidRDefault="00D11E4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70CD282D" w:rsidR="00E70A99" w:rsidRPr="00D11E4A" w:rsidRDefault="004566CE" w:rsidP="00D11E4A">
                        <w:pPr>
                          <w:rPr>
                            <w:sz w:val="18"/>
                            <w:szCs w:val="18"/>
                          </w:rPr>
                        </w:pPr>
                        <w:r w:rsidRPr="00D11E4A">
                          <w:rPr>
                            <w:sz w:val="18"/>
                            <w:szCs w:val="18"/>
                          </w:rPr>
                          <w:t>Počet školiacich kurzov pre pedagogických zamestnancov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174A029B" w:rsidR="00E70A99" w:rsidRPr="00904F09" w:rsidRDefault="007D48DD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0D52A5EA" w:rsidR="00E70A99" w:rsidRPr="00904F09" w:rsidRDefault="007D48D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64B9AD8A" w:rsidR="00E70A99" w:rsidRPr="00904F09" w:rsidRDefault="00D11E4A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78735533" w:rsidR="00E70A99" w:rsidRPr="00D11E4A" w:rsidRDefault="00141761" w:rsidP="00D11E4A">
                        <w:pPr>
                          <w:rPr>
                            <w:sz w:val="18"/>
                            <w:szCs w:val="18"/>
                          </w:rPr>
                        </w:pPr>
                        <w:r w:rsidRPr="00D11E4A">
                          <w:rPr>
                            <w:sz w:val="18"/>
                            <w:szCs w:val="18"/>
                          </w:rPr>
                          <w:t>Počet vypracovaných štúdií, analýz a 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36B3BEED" w:rsidR="00E70A99" w:rsidRPr="00904F09" w:rsidRDefault="007D48DD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28B0576D" w:rsidR="00E70A99" w:rsidRPr="00904F09" w:rsidRDefault="007D48D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75FEA7F4" w:rsidR="00E70A99" w:rsidRDefault="001228C6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710C0A93" w:rsidR="00E70A99" w:rsidRPr="00D11E4A" w:rsidRDefault="001228C6" w:rsidP="00D11E4A">
                        <w:pPr>
                          <w:rPr>
                            <w:sz w:val="18"/>
                            <w:szCs w:val="18"/>
                          </w:rPr>
                        </w:pPr>
                        <w:r w:rsidRPr="00D11E4A">
                          <w:rPr>
                            <w:sz w:val="18"/>
                            <w:szCs w:val="18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5CF8DAD" w:rsidR="00E70A99" w:rsidRPr="00FF2CDE" w:rsidRDefault="009E3476" w:rsidP="006D6B5D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2200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18CFA342" w:rsidR="00E70A99" w:rsidRDefault="009E3476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2200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4F9D2D9F" w:rsidR="00904F09" w:rsidRDefault="0019122A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6C59E46D" w:rsidR="00904F09" w:rsidRPr="00D11E4A" w:rsidRDefault="0019122A" w:rsidP="00D11E4A">
                        <w:pPr>
                          <w:rPr>
                            <w:sz w:val="18"/>
                            <w:szCs w:val="18"/>
                          </w:rPr>
                        </w:pPr>
                        <w:r w:rsidRPr="00D11E4A">
                          <w:rPr>
                            <w:sz w:val="18"/>
                            <w:szCs w:val="18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017D6252" w:rsidR="00904F09" w:rsidRPr="00FF2CDE" w:rsidRDefault="00BE6E8D" w:rsidP="006D6B5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30 000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3CAFA63C" w:rsidR="00904F09" w:rsidRDefault="00BE6E8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30 000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28234DF9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Celkové oprávnené výdavky projektu: </w:t>
                  </w:r>
                </w:p>
                <w:p w14:paraId="6D732338" w14:textId="751B0C68" w:rsidR="00677254" w:rsidRPr="00F22219" w:rsidRDefault="00677254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877676">
                    <w:rPr>
                      <w:bCs/>
                      <w:sz w:val="18"/>
                      <w:szCs w:val="18"/>
                    </w:rPr>
                    <w:t>670 500,00 EUR</w:t>
                  </w:r>
                </w:p>
                <w:p w14:paraId="10B722BA" w14:textId="77777777" w:rsidR="00B35E12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Čerpané prostriedky:</w:t>
                  </w:r>
                </w:p>
                <w:p w14:paraId="5CBBF24A" w14:textId="77777777" w:rsidR="00B35E12" w:rsidRDefault="00B35E12" w:rsidP="00B35E12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576 404,13 EUR (85,97 %)</w:t>
                  </w:r>
                </w:p>
                <w:p w14:paraId="4A3CAE97" w14:textId="07D85164" w:rsidR="00DD7C0B" w:rsidRPr="00F22219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23E826D6" w14:textId="6BCA9C01" w:rsidR="00FF2CDE" w:rsidRDefault="00FF2CDE" w:rsidP="009455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Doba realizácie: </w:t>
                  </w:r>
                </w:p>
                <w:p w14:paraId="56CFCED1" w14:textId="7D3E1CE3" w:rsidR="009B2F89" w:rsidRPr="00F22219" w:rsidRDefault="009B2F89" w:rsidP="009455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07/2015 – 11/2015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079A6E80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1C2BDAF5" w:rsidR="00B87C18" w:rsidRDefault="003E1C2F">
      <w:r>
        <w:rPr>
          <w:noProof/>
          <w:lang w:eastAsia="cs-CZ"/>
        </w:rPr>
        <w:pict w14:anchorId="3D094028">
          <v:shape id="_x0000_s1274" type="#_x0000_t202" style="position:absolute;margin-left:160.1pt;margin-top:13.35pt;width:324.7pt;height:17.1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B3C0795" w14:textId="6D11724C" w:rsidR="00B90147" w:rsidRDefault="003E1C2F">
      <w:r>
        <w:rPr>
          <w:noProof/>
          <w:lang w:eastAsia="cs-CZ"/>
        </w:rPr>
        <w:pict w14:anchorId="4C9C5429">
          <v:shape id="_x0000_s1323" type="#_x0000_t202" style="position:absolute;margin-left:151.8pt;margin-top:11.5pt;width:360.6pt;height:20.9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29960A0" w14:textId="2C4AD3FB" w:rsidR="00A34D49" w:rsidRPr="00A34D49" w:rsidRDefault="00801C48" w:rsidP="00A34D49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Záujem pedagogických zamestnancov o ďalšie vzdelávanie</w:t>
                  </w:r>
                </w:p>
                <w:p w14:paraId="323A7309" w14:textId="55BE4F6E" w:rsidR="00751DFF" w:rsidRPr="009C4DB1" w:rsidRDefault="00751DFF" w:rsidP="00A34D49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</w:rPr>
                  </w:pPr>
                </w:p>
                <w:p w14:paraId="0C9A9032" w14:textId="28F9B1B5" w:rsidR="007B5509" w:rsidRPr="00414C58" w:rsidRDefault="007B5509" w:rsidP="007B5509"/>
              </w:txbxContent>
            </v:textbox>
            <w10:wrap type="square"/>
          </v:shape>
        </w:pict>
      </w:r>
    </w:p>
    <w:p w14:paraId="78FBD690" w14:textId="0838D8EC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772F4FB3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025C9A82" w:rsidR="005C11A0" w:rsidRDefault="005C11A0"/>
    <w:p w14:paraId="3B93A37D" w14:textId="18B530C7" w:rsidR="005C11A0" w:rsidRDefault="005C11A0"/>
    <w:p w14:paraId="29F3D89D" w14:textId="2942BA25" w:rsidR="005C11A0" w:rsidRDefault="005C11A0"/>
    <w:p w14:paraId="0AC9CF96" w14:textId="00545CA0" w:rsidR="005C11A0" w:rsidRDefault="005C11A0"/>
    <w:p w14:paraId="7B2D6B14" w14:textId="4D7E8F8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43B6295A"/>
    <w:lvl w:ilvl="0" w:tplc="EED89EB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45590"/>
    <w:rsid w:val="000561C9"/>
    <w:rsid w:val="00077CCA"/>
    <w:rsid w:val="0008015C"/>
    <w:rsid w:val="000A6C02"/>
    <w:rsid w:val="000B71D0"/>
    <w:rsid w:val="000E6408"/>
    <w:rsid w:val="000F1F9E"/>
    <w:rsid w:val="00121304"/>
    <w:rsid w:val="001228C6"/>
    <w:rsid w:val="00130A25"/>
    <w:rsid w:val="00135746"/>
    <w:rsid w:val="00141761"/>
    <w:rsid w:val="001824B8"/>
    <w:rsid w:val="0019122A"/>
    <w:rsid w:val="001A0E51"/>
    <w:rsid w:val="001B0908"/>
    <w:rsid w:val="001B4862"/>
    <w:rsid w:val="001C49F4"/>
    <w:rsid w:val="001D3550"/>
    <w:rsid w:val="001E7A5B"/>
    <w:rsid w:val="001F1C13"/>
    <w:rsid w:val="001F3F69"/>
    <w:rsid w:val="001F4C1A"/>
    <w:rsid w:val="00221855"/>
    <w:rsid w:val="002226C7"/>
    <w:rsid w:val="00222A1C"/>
    <w:rsid w:val="00222F1E"/>
    <w:rsid w:val="00231123"/>
    <w:rsid w:val="0023220D"/>
    <w:rsid w:val="00240C00"/>
    <w:rsid w:val="0024335C"/>
    <w:rsid w:val="00261FA4"/>
    <w:rsid w:val="00265928"/>
    <w:rsid w:val="00277EDC"/>
    <w:rsid w:val="0028505A"/>
    <w:rsid w:val="00291D74"/>
    <w:rsid w:val="002A1BE3"/>
    <w:rsid w:val="002B09E6"/>
    <w:rsid w:val="002C2ECE"/>
    <w:rsid w:val="002D2763"/>
    <w:rsid w:val="002E3447"/>
    <w:rsid w:val="002F5CAE"/>
    <w:rsid w:val="00312820"/>
    <w:rsid w:val="00315B10"/>
    <w:rsid w:val="003327CC"/>
    <w:rsid w:val="003424F3"/>
    <w:rsid w:val="003447C9"/>
    <w:rsid w:val="00354F06"/>
    <w:rsid w:val="003602F2"/>
    <w:rsid w:val="0036771B"/>
    <w:rsid w:val="00373CE7"/>
    <w:rsid w:val="00386C84"/>
    <w:rsid w:val="003B1B4E"/>
    <w:rsid w:val="003B4450"/>
    <w:rsid w:val="003C3DC7"/>
    <w:rsid w:val="003C4BA1"/>
    <w:rsid w:val="003D01DC"/>
    <w:rsid w:val="003E1C2F"/>
    <w:rsid w:val="003E6505"/>
    <w:rsid w:val="00414C58"/>
    <w:rsid w:val="00420B01"/>
    <w:rsid w:val="00426164"/>
    <w:rsid w:val="00430024"/>
    <w:rsid w:val="00433577"/>
    <w:rsid w:val="00443F4C"/>
    <w:rsid w:val="0044765F"/>
    <w:rsid w:val="00454840"/>
    <w:rsid w:val="004566CE"/>
    <w:rsid w:val="004858FA"/>
    <w:rsid w:val="0049707A"/>
    <w:rsid w:val="004A1957"/>
    <w:rsid w:val="004B259E"/>
    <w:rsid w:val="004C2D09"/>
    <w:rsid w:val="004C741A"/>
    <w:rsid w:val="004E38C2"/>
    <w:rsid w:val="004E5EF6"/>
    <w:rsid w:val="004E617D"/>
    <w:rsid w:val="005227F0"/>
    <w:rsid w:val="00537ADB"/>
    <w:rsid w:val="005412F8"/>
    <w:rsid w:val="00545AA2"/>
    <w:rsid w:val="00560003"/>
    <w:rsid w:val="00577B27"/>
    <w:rsid w:val="00590D0E"/>
    <w:rsid w:val="00594066"/>
    <w:rsid w:val="005C01D4"/>
    <w:rsid w:val="005C11A0"/>
    <w:rsid w:val="005C3D1B"/>
    <w:rsid w:val="005C6350"/>
    <w:rsid w:val="005D7FBF"/>
    <w:rsid w:val="00611FA8"/>
    <w:rsid w:val="00615FD4"/>
    <w:rsid w:val="006310A2"/>
    <w:rsid w:val="00634AF8"/>
    <w:rsid w:val="00677254"/>
    <w:rsid w:val="006A5698"/>
    <w:rsid w:val="006A5836"/>
    <w:rsid w:val="006A5A44"/>
    <w:rsid w:val="006B069E"/>
    <w:rsid w:val="006B563D"/>
    <w:rsid w:val="006C12AC"/>
    <w:rsid w:val="006C16A7"/>
    <w:rsid w:val="006C26CE"/>
    <w:rsid w:val="006D202E"/>
    <w:rsid w:val="006D2462"/>
    <w:rsid w:val="006D6B5D"/>
    <w:rsid w:val="006E3A92"/>
    <w:rsid w:val="006F6BDE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3A83"/>
    <w:rsid w:val="007B5509"/>
    <w:rsid w:val="007C1735"/>
    <w:rsid w:val="007C7F80"/>
    <w:rsid w:val="007D1D05"/>
    <w:rsid w:val="007D48DD"/>
    <w:rsid w:val="007E0966"/>
    <w:rsid w:val="007E5C9F"/>
    <w:rsid w:val="0080082F"/>
    <w:rsid w:val="00801C48"/>
    <w:rsid w:val="008110C3"/>
    <w:rsid w:val="0081550C"/>
    <w:rsid w:val="00815D12"/>
    <w:rsid w:val="008209ED"/>
    <w:rsid w:val="008738B1"/>
    <w:rsid w:val="0088544D"/>
    <w:rsid w:val="0088638E"/>
    <w:rsid w:val="008B082E"/>
    <w:rsid w:val="008B70D5"/>
    <w:rsid w:val="008C0162"/>
    <w:rsid w:val="008E0610"/>
    <w:rsid w:val="008E4CA8"/>
    <w:rsid w:val="008E5019"/>
    <w:rsid w:val="008F6FC3"/>
    <w:rsid w:val="00904F09"/>
    <w:rsid w:val="00910781"/>
    <w:rsid w:val="009363EA"/>
    <w:rsid w:val="0094557D"/>
    <w:rsid w:val="00951E0F"/>
    <w:rsid w:val="00952A01"/>
    <w:rsid w:val="00952F6F"/>
    <w:rsid w:val="009705A6"/>
    <w:rsid w:val="00977AB1"/>
    <w:rsid w:val="0099231A"/>
    <w:rsid w:val="009930E1"/>
    <w:rsid w:val="00993975"/>
    <w:rsid w:val="009A06F7"/>
    <w:rsid w:val="009A7A04"/>
    <w:rsid w:val="009B253D"/>
    <w:rsid w:val="009B2F89"/>
    <w:rsid w:val="009C2BE6"/>
    <w:rsid w:val="009C33B0"/>
    <w:rsid w:val="009C4DB1"/>
    <w:rsid w:val="009D4205"/>
    <w:rsid w:val="009E193B"/>
    <w:rsid w:val="009E3476"/>
    <w:rsid w:val="009E53E2"/>
    <w:rsid w:val="00A07A76"/>
    <w:rsid w:val="00A316B8"/>
    <w:rsid w:val="00A34D49"/>
    <w:rsid w:val="00A362E5"/>
    <w:rsid w:val="00A37196"/>
    <w:rsid w:val="00A72573"/>
    <w:rsid w:val="00A77BE5"/>
    <w:rsid w:val="00A852DF"/>
    <w:rsid w:val="00A95A1A"/>
    <w:rsid w:val="00A95D10"/>
    <w:rsid w:val="00AD2036"/>
    <w:rsid w:val="00AE18F1"/>
    <w:rsid w:val="00B048AA"/>
    <w:rsid w:val="00B203C3"/>
    <w:rsid w:val="00B35E12"/>
    <w:rsid w:val="00B4081B"/>
    <w:rsid w:val="00B521A5"/>
    <w:rsid w:val="00B721DC"/>
    <w:rsid w:val="00B77235"/>
    <w:rsid w:val="00B81A52"/>
    <w:rsid w:val="00B87C18"/>
    <w:rsid w:val="00B90147"/>
    <w:rsid w:val="00BC2A65"/>
    <w:rsid w:val="00BE4E01"/>
    <w:rsid w:val="00BE6E8D"/>
    <w:rsid w:val="00BF60D0"/>
    <w:rsid w:val="00C15683"/>
    <w:rsid w:val="00C243F9"/>
    <w:rsid w:val="00C249E1"/>
    <w:rsid w:val="00C41D7D"/>
    <w:rsid w:val="00C44A13"/>
    <w:rsid w:val="00C75FCA"/>
    <w:rsid w:val="00C87B3D"/>
    <w:rsid w:val="00CA7E87"/>
    <w:rsid w:val="00CB471D"/>
    <w:rsid w:val="00CD6527"/>
    <w:rsid w:val="00CE3E12"/>
    <w:rsid w:val="00CE6D72"/>
    <w:rsid w:val="00CE760A"/>
    <w:rsid w:val="00D11E4A"/>
    <w:rsid w:val="00D342D8"/>
    <w:rsid w:val="00D406C5"/>
    <w:rsid w:val="00D55511"/>
    <w:rsid w:val="00D61103"/>
    <w:rsid w:val="00D61FF7"/>
    <w:rsid w:val="00D63438"/>
    <w:rsid w:val="00D63970"/>
    <w:rsid w:val="00D72742"/>
    <w:rsid w:val="00DA35ED"/>
    <w:rsid w:val="00DB1AA8"/>
    <w:rsid w:val="00DB1D73"/>
    <w:rsid w:val="00DB7B73"/>
    <w:rsid w:val="00DC62A2"/>
    <w:rsid w:val="00DD09D3"/>
    <w:rsid w:val="00DD7C0B"/>
    <w:rsid w:val="00DE1EB6"/>
    <w:rsid w:val="00DE40BF"/>
    <w:rsid w:val="00DE4CFD"/>
    <w:rsid w:val="00E21AC6"/>
    <w:rsid w:val="00E23DAF"/>
    <w:rsid w:val="00E3178C"/>
    <w:rsid w:val="00E70A99"/>
    <w:rsid w:val="00E77179"/>
    <w:rsid w:val="00E80138"/>
    <w:rsid w:val="00E90A09"/>
    <w:rsid w:val="00E95DD2"/>
    <w:rsid w:val="00EB34A4"/>
    <w:rsid w:val="00EB622F"/>
    <w:rsid w:val="00EB6DA1"/>
    <w:rsid w:val="00EC5A04"/>
    <w:rsid w:val="00ED1133"/>
    <w:rsid w:val="00EF1482"/>
    <w:rsid w:val="00F00A50"/>
    <w:rsid w:val="00F05E16"/>
    <w:rsid w:val="00F077BA"/>
    <w:rsid w:val="00F22219"/>
    <w:rsid w:val="00F40A55"/>
    <w:rsid w:val="00F473B8"/>
    <w:rsid w:val="00F56226"/>
    <w:rsid w:val="00F66DB9"/>
    <w:rsid w:val="00F70B4B"/>
    <w:rsid w:val="00F87350"/>
    <w:rsid w:val="00FA2B75"/>
    <w:rsid w:val="00FE3C82"/>
    <w:rsid w:val="00FF2CDE"/>
    <w:rsid w:val="00FF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8"/>
    <o:shapelayout v:ext="edit">
      <o:idmap v:ext="edit" data="1"/>
      <o:rules v:ext="edit">
        <o:r id="V:Rule33" type="connector" idref="#_x0000_s1285"/>
        <o:r id="V:Rule34" type="connector" idref="#_x0000_s1329"/>
        <o:r id="V:Rule35" type="connector" idref="#_x0000_s1379"/>
        <o:r id="V:Rule36" type="connector" idref="#_x0000_s1366"/>
        <o:r id="V:Rule37" type="connector" idref="#_x0000_s1352"/>
        <o:r id="V:Rule38" type="connector" idref="#_x0000_s1348"/>
        <o:r id="V:Rule39" type="connector" idref="#_x0000_s1320"/>
        <o:r id="V:Rule40" type="connector" idref="#_x0000_s1342"/>
        <o:r id="V:Rule41" type="connector" idref="#_x0000_s1378"/>
        <o:r id="V:Rule42" type="connector" idref="#_x0000_s1282"/>
        <o:r id="V:Rule43" type="connector" idref="#_x0000_s1364"/>
        <o:r id="V:Rule44" type="connector" idref="#_x0000_s1337"/>
        <o:r id="V:Rule45" type="connector" idref="#_x0000_s1384"/>
        <o:r id="V:Rule46" type="connector" idref="#_x0000_s1283"/>
        <o:r id="V:Rule47" type="connector" idref="#_x0000_s1377"/>
        <o:r id="V:Rule48" type="connector" idref="#_x0000_s1328"/>
        <o:r id="V:Rule49" type="connector" idref="#_x0000_s1347"/>
        <o:r id="V:Rule50" type="connector" idref="#_x0000_s1333"/>
        <o:r id="V:Rule51" type="connector" idref="#_x0000_s1371"/>
        <o:r id="V:Rule52" type="connector" idref="#_x0000_s1386"/>
        <o:r id="V:Rule53" type="connector" idref="#_x0000_s1375"/>
        <o:r id="V:Rule54" type="connector" idref="#_x0000_s1381"/>
        <o:r id="V:Rule55" type="connector" idref="#_x0000_s1261"/>
        <o:r id="V:Rule56" type="connector" idref="#_x0000_s1284"/>
        <o:r id="V:Rule57" type="connector" idref="#_x0000_s1380"/>
        <o:r id="V:Rule58" type="connector" idref="#_x0000_s1343"/>
        <o:r id="V:Rule59" type="connector" idref="#_x0000_s1382"/>
        <o:r id="V:Rule60" type="connector" idref="#_x0000_s1363"/>
        <o:r id="V:Rule61" type="connector" idref="#_x0000_s1335"/>
        <o:r id="V:Rule62" type="connector" idref="#_x0000_s1281"/>
        <o:r id="V:Rule63" type="connector" idref="#_x0000_s1330"/>
        <o:r id="V:Rule64" type="connector" idref="#_x0000_s1385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7FAE2-17FD-42A2-9646-2A448E2D6987}"/>
</file>

<file path=customXml/itemProps4.xml><?xml version="1.0" encoding="utf-8"?>
<ds:datastoreItem xmlns:ds="http://schemas.openxmlformats.org/officeDocument/2006/customXml" ds:itemID="{6E0150C8-F2C1-448E-BAF3-0CBABB8E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72</cp:revision>
  <cp:lastPrinted>2020-03-04T08:57:00Z</cp:lastPrinted>
  <dcterms:created xsi:type="dcterms:W3CDTF">2020-01-28T08:45:00Z</dcterms:created>
  <dcterms:modified xsi:type="dcterms:W3CDTF">2020-03-31T18:11:00Z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