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7DB96" w14:textId="4C63C5B0" w:rsidR="00B87C18" w:rsidRPr="00F14C14" w:rsidRDefault="001E6EFB" w:rsidP="00ED1133">
      <w:pPr>
        <w:spacing w:after="0" w:line="240" w:lineRule="auto"/>
        <w:rPr>
          <w:b/>
          <w:sz w:val="28"/>
          <w:szCs w:val="28"/>
          <w:lang w:val="sk-SK"/>
        </w:rPr>
      </w:pPr>
      <w:r>
        <w:rPr>
          <w:noProof/>
          <w:lang w:eastAsia="cs-CZ"/>
        </w:rPr>
        <w:pict w14:anchorId="0D97DBEB">
          <v:roundrect id="_x0000_s1190" style="position:absolute;margin-left:521.45pt;margin-top:14.1pt;width:481.9pt;height:64.35pt;z-index:251816960" arcsize="21360f" o:regroupid="6" fillcolor="#c6d9f1 [671]"/>
        </w:pict>
      </w:r>
      <w:r>
        <w:rPr>
          <w:b/>
          <w:noProof/>
          <w:sz w:val="28"/>
          <w:szCs w:val="28"/>
          <w:lang w:eastAsia="cs-CZ"/>
        </w:rPr>
        <w:pict w14:anchorId="0D97DBEA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15.2pt;width:477.25pt;height:68.6pt;z-index:251852800;mso-width-relative:margin;mso-height-relative:margin" filled="f" stroked="f">
            <v:textbox style="mso-next-textbox:#_x0000_s1279">
              <w:txbxContent>
                <w:p w14:paraId="0D97DC54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 xml:space="preserve">Model zmeny v projekte </w:t>
                  </w:r>
                  <w:r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DC3852">
                    <w:rPr>
                      <w:b/>
                      <w:bCs/>
                      <w:lang w:val="sk-SK"/>
                    </w:rPr>
                    <w:t>6</w:t>
                  </w:r>
                </w:p>
                <w:p w14:paraId="0D97DC55" w14:textId="77777777" w:rsidR="00470458" w:rsidRPr="00926D75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 xml:space="preserve">Názov 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CD5087" w:rsidRPr="00926D75">
                    <w:rPr>
                      <w:lang w:val="sk-SK"/>
                    </w:rPr>
                    <w:t>Zvyšovanie kvality vzdelávania na základných a stredných školách s využitím elektronického testovania</w:t>
                  </w:r>
                </w:p>
                <w:p w14:paraId="0D97DC56" w14:textId="6B0B4A6B" w:rsidR="00470458" w:rsidRPr="00926D75" w:rsidRDefault="00470458" w:rsidP="008F57C6">
                  <w:pPr>
                    <w:spacing w:after="0" w:line="240" w:lineRule="auto"/>
                    <w:rPr>
                      <w:bCs/>
                      <w:lang w:val="sk-SK"/>
                    </w:rPr>
                  </w:pPr>
                  <w:r w:rsidRPr="00926D75">
                    <w:rPr>
                      <w:b/>
                      <w:lang w:val="sk-SK"/>
                    </w:rPr>
                    <w:t xml:space="preserve">Cieľová skupina: </w:t>
                  </w:r>
                  <w:r w:rsidR="009A3D27" w:rsidRPr="00926D75">
                    <w:rPr>
                      <w:b/>
                      <w:lang w:val="sk-SK"/>
                    </w:rPr>
                    <w:t xml:space="preserve"> </w:t>
                  </w:r>
                  <w:r w:rsidR="00CD5087" w:rsidRPr="00926D75">
                    <w:rPr>
                      <w:rFonts w:ascii="Calibri" w:hAnsi="Calibri" w:cs="Calibri"/>
                      <w:bCs/>
                      <w:color w:val="000000"/>
                      <w:lang w:val="sk-SK"/>
                    </w:rPr>
                    <w:t xml:space="preserve">Žiaci ZŠ a SŠ, </w:t>
                  </w:r>
                  <w:proofErr w:type="spellStart"/>
                  <w:r w:rsidR="00CD5087" w:rsidRPr="00926D75">
                    <w:rPr>
                      <w:rFonts w:ascii="Calibri" w:hAnsi="Calibri" w:cs="Calibri"/>
                      <w:bCs/>
                      <w:color w:val="000000"/>
                      <w:lang w:val="sk-SK"/>
                    </w:rPr>
                    <w:t>ped</w:t>
                  </w:r>
                  <w:proofErr w:type="spellEnd"/>
                  <w:r w:rsidR="00926D75">
                    <w:rPr>
                      <w:rFonts w:ascii="Calibri" w:hAnsi="Calibri" w:cs="Calibri"/>
                      <w:bCs/>
                      <w:color w:val="000000"/>
                      <w:lang w:val="sk-SK"/>
                    </w:rPr>
                    <w:t xml:space="preserve">. </w:t>
                  </w:r>
                  <w:r w:rsidR="00CD5087" w:rsidRPr="00926D75">
                    <w:rPr>
                      <w:rFonts w:ascii="Calibri" w:hAnsi="Calibri" w:cs="Calibri"/>
                      <w:bCs/>
                      <w:color w:val="000000"/>
                      <w:lang w:val="sk-SK"/>
                    </w:rPr>
                    <w:t xml:space="preserve">zamestnanci a zamestnanci v oblasti vzdelávania, študenti </w:t>
                  </w:r>
                  <w:r w:rsidR="00926D75">
                    <w:rPr>
                      <w:rFonts w:ascii="Calibri" w:hAnsi="Calibri" w:cs="Calibri"/>
                      <w:bCs/>
                      <w:color w:val="000000"/>
                      <w:lang w:val="sk-SK"/>
                    </w:rPr>
                    <w:t>V</w:t>
                  </w:r>
                  <w:r w:rsidR="00CD5087" w:rsidRPr="00926D75">
                    <w:rPr>
                      <w:rFonts w:ascii="Calibri" w:hAnsi="Calibri" w:cs="Calibri"/>
                      <w:bCs/>
                      <w:color w:val="000000"/>
                      <w:lang w:val="sk-SK"/>
                    </w:rPr>
                    <w:t>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EC">
          <v:roundrect id="_x0000_s1178" style="position:absolute;margin-left:-4.85pt;margin-top:17.4pt;width:481.35pt;height:61.05pt;z-index:251736064" arcsize="23802f" fillcolor="#d6e3bc [1302]"/>
        </w:pict>
      </w:r>
      <w:r w:rsidR="00C44A13" w:rsidRPr="00F14C14">
        <w:rPr>
          <w:b/>
          <w:sz w:val="28"/>
          <w:szCs w:val="28"/>
          <w:lang w:val="sk-SK"/>
        </w:rPr>
        <w:t>Overenie t</w:t>
      </w:r>
      <w:r w:rsidR="000561C9" w:rsidRPr="00F14C14">
        <w:rPr>
          <w:b/>
          <w:sz w:val="28"/>
          <w:szCs w:val="28"/>
          <w:lang w:val="sk-SK"/>
        </w:rPr>
        <w:t>eóri</w:t>
      </w:r>
      <w:r w:rsidR="009F33D5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zmeny </w:t>
      </w:r>
      <w:r w:rsidR="0080082F" w:rsidRPr="00F14C14">
        <w:rPr>
          <w:b/>
          <w:sz w:val="28"/>
          <w:szCs w:val="28"/>
          <w:lang w:val="sk-SK"/>
        </w:rPr>
        <w:t xml:space="preserve">opatrenia 1.1 </w:t>
      </w:r>
      <w:r w:rsidR="00C44A13" w:rsidRPr="00F14C14">
        <w:rPr>
          <w:b/>
          <w:sz w:val="28"/>
          <w:szCs w:val="28"/>
          <w:lang w:val="sk-SK"/>
        </w:rPr>
        <w:t xml:space="preserve">OPV v </w:t>
      </w:r>
      <w:r w:rsidR="000561C9" w:rsidRPr="00F14C14">
        <w:rPr>
          <w:b/>
          <w:sz w:val="28"/>
          <w:szCs w:val="28"/>
          <w:lang w:val="sk-SK"/>
        </w:rPr>
        <w:t>projekt</w:t>
      </w:r>
      <w:r w:rsidR="009F33D5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NP</w:t>
      </w:r>
      <w:r w:rsidR="008F57C6" w:rsidRPr="00F14C14">
        <w:rPr>
          <w:b/>
          <w:sz w:val="28"/>
          <w:szCs w:val="28"/>
          <w:lang w:val="sk-SK"/>
        </w:rPr>
        <w:t xml:space="preserve"> </w:t>
      </w:r>
      <w:r w:rsidR="00A26416">
        <w:rPr>
          <w:b/>
          <w:sz w:val="28"/>
          <w:szCs w:val="28"/>
          <w:lang w:val="sk-SK"/>
        </w:rPr>
        <w:t>6</w:t>
      </w:r>
      <w:r w:rsidR="000561C9" w:rsidRPr="00F14C14">
        <w:rPr>
          <w:b/>
          <w:sz w:val="28"/>
          <w:szCs w:val="28"/>
          <w:lang w:val="sk-SK"/>
        </w:rPr>
        <w:t xml:space="preserve"> </w:t>
      </w:r>
    </w:p>
    <w:p w14:paraId="0D97DB97" w14:textId="260339A5" w:rsidR="000561C9" w:rsidRDefault="001E6EFB" w:rsidP="00ED1133">
      <w:pPr>
        <w:spacing w:after="0" w:line="240" w:lineRule="auto"/>
        <w:rPr>
          <w:b/>
        </w:rPr>
      </w:pPr>
      <w:r>
        <w:rPr>
          <w:b/>
          <w:noProof/>
          <w:sz w:val="28"/>
          <w:szCs w:val="28"/>
          <w:lang w:eastAsia="cs-CZ"/>
        </w:rPr>
        <w:pict w14:anchorId="0D97DBE9">
          <v:shape id="_x0000_s1278" type="#_x0000_t202" style="position:absolute;margin-left:-.1pt;margin-top:1.4pt;width:477.15pt;height:61.1pt;z-index:251851776;mso-width-relative:margin;mso-height-relative:margin" filled="f" stroked="f">
            <v:textbox style="mso-next-textbox:#_x0000_s1278">
              <w:txbxContent>
                <w:p w14:paraId="0D97DC50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akcie v</w:t>
                  </w:r>
                  <w:r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projekte</w:t>
                  </w:r>
                  <w:r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DC3852">
                    <w:rPr>
                      <w:b/>
                      <w:bCs/>
                      <w:lang w:val="sk-SK"/>
                    </w:rPr>
                    <w:t>6</w:t>
                  </w:r>
                </w:p>
                <w:p w14:paraId="0D97DC51" w14:textId="77777777" w:rsidR="00470458" w:rsidRPr="00926D75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476B6F">
                    <w:rPr>
                      <w:b/>
                      <w:bCs/>
                    </w:rPr>
                    <w:t xml:space="preserve">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CD5087" w:rsidRPr="00926D75">
                    <w:rPr>
                      <w:lang w:val="sk-SK"/>
                    </w:rPr>
                    <w:t>Zvyšovanie kvality vzdelávania na základných a stredných školách s využitím elektronického testovania</w:t>
                  </w:r>
                </w:p>
                <w:p w14:paraId="0D97DC52" w14:textId="77777777" w:rsidR="00470458" w:rsidRPr="00926D75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926D75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9A3D27" w:rsidRPr="00926D75">
                    <w:rPr>
                      <w:b/>
                      <w:bCs/>
                      <w:lang w:val="sk-SK"/>
                    </w:rPr>
                    <w:t xml:space="preserve"> </w:t>
                  </w:r>
                  <w:r w:rsidR="00CD5087" w:rsidRPr="00926D75">
                    <w:rPr>
                      <w:lang w:val="sk-SK"/>
                    </w:rPr>
                    <w:t>Národný ústav certifikovaných meraní vzdelávania</w:t>
                  </w:r>
                </w:p>
                <w:p w14:paraId="0D97DC53" w14:textId="77777777" w:rsidR="00470458" w:rsidRPr="00926D75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14:paraId="0D97DB98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0D97DB99" w14:textId="77777777" w:rsidR="000561C9" w:rsidRDefault="000561C9" w:rsidP="000561C9"/>
    <w:p w14:paraId="0D97DB9A" w14:textId="77777777" w:rsidR="000561C9" w:rsidRDefault="001E6EFB" w:rsidP="000561C9">
      <w:r>
        <w:rPr>
          <w:noProof/>
          <w:lang w:eastAsia="cs-CZ"/>
        </w:rPr>
        <w:pict w14:anchorId="0D97DBED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0D97DC57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EE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D97DBEF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0D97DC58" w14:textId="77777777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0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D97DBF1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0D97DC59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2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D97DBF3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0D97DBF4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D97DC5A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KRÁTKODOBÉ </w:t>
                  </w: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</w:t>
                  </w:r>
                </w:p>
                <w:p w14:paraId="0D97DC5B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0D97DC5C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0D97DC5D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5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0D97DC5E" w14:textId="77777777" w:rsidR="00470458" w:rsidRDefault="00470458" w:rsidP="000561C9"/>
                <w:p w14:paraId="0D97DC5F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D97DBF6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0D97DC60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596D9C">
                    <w:rPr>
                      <w:b/>
                      <w:caps/>
                      <w:sz w:val="20"/>
                      <w:szCs w:val="20"/>
                    </w:rPr>
                    <w:t>predpokladané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0D97DC61" w14:textId="77777777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1.1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7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0D97DC62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D97DBF8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0D97DC63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0D97DC64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OPATRENIA 1.1 OPV</w:t>
                  </w:r>
                </w:p>
                <w:p w14:paraId="0D97DC65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9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0D97DBFA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0D97DBFB">
          <v:shape id="_x0000_s1225" type="#_x0000_t202" style="position:absolute;margin-left:908.7pt;margin-top:348.9pt;width:85.05pt;height:65.8pt;z-index:251788288;mso-width-relative:margin;mso-height-relative:margin" fillcolor="white [3212]">
            <v:textbox style="mso-next-textbox:#_x0000_s1225">
              <w:txbxContent>
                <w:p w14:paraId="0D97DC66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C">
          <v:shape id="_x0000_s1224" type="#_x0000_t202" style="position:absolute;margin-left:908.7pt;margin-top:260.5pt;width:85.05pt;height:84.45pt;z-index:251787264;mso-width-relative:margin;mso-height-relative:margin" fillcolor="white [3212]">
            <v:textbox style="mso-next-textbox:#_x0000_s1224">
              <w:txbxContent>
                <w:p w14:paraId="0D97DC67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Skvalitniť správu a manažment škôl a stimulovať ich k väčšej otvorenosti k potrebám miestnych komunít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D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0D97DC68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E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0D97DC69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0D97DB9B" w14:textId="77777777" w:rsidR="000561C9" w:rsidRDefault="001E6EFB" w:rsidP="000561C9">
      <w:r>
        <w:rPr>
          <w:noProof/>
          <w:lang w:eastAsia="cs-CZ"/>
        </w:rPr>
        <w:pict w14:anchorId="0D97DBF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2" type="#_x0000_t32" style="position:absolute;margin-left:459.8pt;margin-top:21.05pt;width:78.65pt;height:17.6pt;z-index:251882496" o:connectortype="straight">
            <v:stroke endarrow="block"/>
          </v:shape>
        </w:pict>
      </w:r>
      <w:r>
        <w:rPr>
          <w:noProof/>
          <w:lang w:eastAsia="cs-CZ"/>
        </w:rPr>
        <w:pict w14:anchorId="0D97DC00">
          <v:shape id="_x0000_s1294" type="#_x0000_t32" style="position:absolute;margin-left:253.4pt;margin-top:18.7pt;width:22.15pt;height:16.2pt;flip:y;z-index:251864064" o:connectortype="straight">
            <v:stroke endarrow="block"/>
          </v:shape>
        </w:pict>
      </w:r>
      <w:r>
        <w:rPr>
          <w:noProof/>
          <w:lang w:eastAsia="cs-CZ"/>
        </w:rPr>
        <w:pict w14:anchorId="0D97DC01">
          <v:shape id="Text Box 53" o:spid="_x0000_s1149" type="#_x0000_t202" style="position:absolute;margin-left:275.55pt;margin-top:10.55pt;width:184.25pt;height:19.1pt;z-index:251700224;visibility:visible;mso-width-relative:margin;mso-height-relative:margin" o:regroupid="3">
            <v:textbox style="mso-next-textbox:#Text Box 53">
              <w:txbxContent>
                <w:p w14:paraId="0D97DC6A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Metodické materiály a publikácie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2">
          <v:shape id="_x0000_s1141" type="#_x0000_t202" style="position:absolute;margin-left:275.55pt;margin-top:179.15pt;width:184.25pt;height:20.1pt;z-index:251717632;visibility:visible;mso-width-relative:margin;mso-height-relative:margin" o:regroupid="4">
            <v:textbox style="mso-next-textbox:#_x0000_s1141">
              <w:txbxContent>
                <w:p w14:paraId="0D97DC6B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Národná správa PISA 2012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3">
          <v:shape id="_x0000_s1183" type="#_x0000_t202" style="position:absolute;margin-left:275.55pt;margin-top:302.5pt;width:184.25pt;height:20.5pt;z-index:251743232;visibility:visible;mso-width-relative:margin;mso-height-relative:margin">
            <v:textbox style="mso-next-textbox:#_x0000_s1183">
              <w:txbxContent>
                <w:p w14:paraId="0D97DC6C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Tematická správa PISA 2006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4">
          <v:shape id="_x0000_s1136" type="#_x0000_t202" style="position:absolute;margin-left:123pt;margin-top:8.8pt;width:130.4pt;height:52.15pt;z-index:251712512;visibility:visible;mso-width-relative:margin;mso-height-relative:margin" o:regroupid="4">
            <v:textbox style="mso-next-textbox:#_x0000_s1136">
              <w:txbxContent>
                <w:p w14:paraId="0D97DC6D" w14:textId="42D8B27C" w:rsidR="00470458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Metodika tvorby úloh v</w:t>
                  </w:r>
                  <w:r w:rsidR="00B636EC">
                    <w:rPr>
                      <w:sz w:val="18"/>
                      <w:szCs w:val="18"/>
                      <w:lang w:val="sk-SK"/>
                    </w:rPr>
                    <w:t> p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repojení s výkonovým štandardom Štátneho vzdelávacieho programu pre</w:t>
                  </w:r>
                  <w:r w:rsidR="00B636E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ISCED 2 a</w:t>
                  </w:r>
                  <w:r w:rsidR="008109FF">
                    <w:rPr>
                      <w:sz w:val="18"/>
                      <w:szCs w:val="18"/>
                      <w:lang w:val="sk-SK"/>
                    </w:rPr>
                    <w:t xml:space="preserve"> pre 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ISCED 3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5">
          <v:shape id="_x0000_s1140" type="#_x0000_t202" style="position:absolute;margin-left:123pt;margin-top:81.35pt;width:130.4pt;height:35.25pt;z-index:251716608;visibility:visible;mso-width-relative:margin;mso-height-relative:margin" o:regroupid="4">
            <v:textbox style="mso-next-textbox:#_x0000_s1140">
              <w:txbxContent>
                <w:p w14:paraId="0D97DC6E" w14:textId="5D510C04" w:rsidR="00470458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Odborná publikácia pre</w:t>
                  </w:r>
                  <w:r w:rsidR="00B636E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špeciálnych psychológov a</w:t>
                  </w:r>
                  <w:r w:rsidR="00B636E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pedagógov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6">
          <v:shape id="_x0000_s1138" type="#_x0000_t202" style="position:absolute;margin-left:123pt;margin-top:137pt;width:130.4pt;height:34.4pt;z-index:251714560;visibility:visible;mso-width-relative:margin;mso-height-relative:margin" o:regroupid="4">
            <v:textbox style="mso-next-textbox:#_x0000_s1138">
              <w:txbxContent>
                <w:p w14:paraId="0D97DC6F" w14:textId="77777777" w:rsidR="00470458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Školenie pre osoby zúčastňujúce sa procesu tvorby úloh a testov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7">
          <v:shape id="_x0000_s1137" type="#_x0000_t202" style="position:absolute;margin-left:123pt;margin-top:191.8pt;width:130.4pt;height:27.25pt;z-index:251713536;visibility:visible;mso-width-relative:margin;mso-height-relative:margin" o:regroupid="4">
            <v:textbox style="mso-next-textbox:#_x0000_s1137">
              <w:txbxContent>
                <w:p w14:paraId="0D97DC70" w14:textId="77777777" w:rsidR="00470458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80 zrealizovaných školských meraní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8">
          <v:shape id="_x0000_s1142" type="#_x0000_t202" style="position:absolute;margin-left:123pt;margin-top:286.05pt;width:130.4pt;height:27.35pt;z-index:251718656;visibility:visible;mso-width-relative:margin;mso-height-relative:margin" o:regroupid="4">
            <v:textbox style="mso-next-textbox:#_x0000_s1142">
              <w:txbxContent>
                <w:p w14:paraId="0D97DC71" w14:textId="77777777" w:rsidR="00470458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Správa smerom k auto-eval</w:t>
                  </w:r>
                  <w:r w:rsidR="00655E47">
                    <w:rPr>
                      <w:sz w:val="18"/>
                      <w:szCs w:val="18"/>
                      <w:lang w:val="sk-SK"/>
                    </w:rPr>
                    <w:t>u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ačnému hodnoteniu škôl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9">
          <v:shape id="_x0000_s1291" type="#_x0000_t202" style="position:absolute;margin-left:123pt;margin-top:333.8pt;width:130.4pt;height:34.3pt;z-index:251862016;visibility:visible;mso-width-relative:margin;mso-height-relative:margin">
            <v:textbox style="mso-next-textbox:#_x0000_s1291">
              <w:txbxContent>
                <w:p w14:paraId="0D97DC72" w14:textId="77777777" w:rsidR="006D6BE7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Správa pre decíznu sféru smerom k vzdelávaciemu systému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A">
          <v:shape id="_x0000_s1196" type="#_x0000_t202" style="position:absolute;margin-left:538.45pt;margin-top:23.65pt;width:178.6pt;height:28.95pt;z-index:251803648;visibility:visible;mso-width-relative:margin;mso-height-relative:margin">
            <v:textbox style="mso-next-textbox:#_x0000_s1196">
              <w:txbxContent>
                <w:p w14:paraId="0D97DC73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Skvalitňovanie vyučovacieho procesu žiakov  vzdelávacieho stupňa ISCED 2 a ISCED 3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B">
          <v:shape id="_x0000_s1254" type="#_x0000_t202" style="position:absolute;margin-left:5.65pt;margin-top:9.95pt;width:96.4pt;height:80.6pt;z-index:251827200;visibility:visible;mso-width-relative:margin;mso-height-relative:margin">
            <v:textbox style="mso-next-textbox:#_x0000_s1254">
              <w:txbxContent>
                <w:p w14:paraId="0D97DC74" w14:textId="13CD5217" w:rsidR="00470458" w:rsidRPr="00655E47" w:rsidRDefault="00CD5087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655E4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Vytváranie úloh a testov pre priebežné školské testovania (školská databáza úloh) a pre objektívne vyhodnocované testovania (NÚCEM databáza úloh)</w:t>
                  </w:r>
                </w:p>
              </w:txbxContent>
            </v:textbox>
          </v:shape>
        </w:pict>
      </w:r>
    </w:p>
    <w:p w14:paraId="0D97DB9C" w14:textId="77777777" w:rsidR="000561C9" w:rsidRDefault="001E6EFB" w:rsidP="000561C9">
      <w:r>
        <w:rPr>
          <w:noProof/>
          <w:lang w:eastAsia="cs-CZ"/>
        </w:rPr>
        <w:pict w14:anchorId="0D97DC0C">
          <v:shape id="_x0000_s1319" type="#_x0000_t32" style="position:absolute;margin-left:717.05pt;margin-top:13.2pt;width:38.2pt;height:86.6pt;z-index:251889664" o:connectortype="straight">
            <v:stroke endarrow="block"/>
          </v:shape>
        </w:pict>
      </w:r>
      <w:r>
        <w:rPr>
          <w:noProof/>
          <w:lang w:eastAsia="cs-CZ"/>
        </w:rPr>
        <w:pict w14:anchorId="0D97DC0D">
          <v:shape id="_x0000_s1323" type="#_x0000_t32" style="position:absolute;margin-left:717.05pt;margin-top:13.2pt;width:38.2pt;height:13.95pt;z-index:251893760" o:connectortype="straight">
            <v:stroke endarrow="block"/>
          </v:shape>
        </w:pict>
      </w:r>
      <w:r>
        <w:rPr>
          <w:noProof/>
          <w:lang w:eastAsia="cs-CZ"/>
        </w:rPr>
        <w:pict w14:anchorId="0D97DC0E">
          <v:shape id="_x0000_s1298" type="#_x0000_t32" style="position:absolute;margin-left:253.4pt;margin-top:9.45pt;width:22.15pt;height:116.25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0D97DC0F">
          <v:shape id="_x0000_s1297" type="#_x0000_t32" style="position:absolute;margin-left:253.4pt;margin-top:9.45pt;width:22.25pt;height:73.95pt;z-index:251867136" o:connectortype="straight">
            <v:stroke endarrow="block"/>
          </v:shape>
        </w:pict>
      </w:r>
      <w:r>
        <w:rPr>
          <w:noProof/>
          <w:lang w:eastAsia="cs-CZ"/>
        </w:rPr>
        <w:pict w14:anchorId="0D97DC10">
          <v:shape id="_x0000_s1296" type="#_x0000_t32" style="position:absolute;margin-left:253.4pt;margin-top:9.45pt;width:22.25pt;height:30.05pt;z-index:251866112" o:connectortype="straight">
            <v:stroke endarrow="block"/>
          </v:shape>
        </w:pict>
      </w:r>
      <w:r>
        <w:rPr>
          <w:noProof/>
          <w:lang w:eastAsia="cs-CZ"/>
        </w:rPr>
        <w:pict w14:anchorId="0D97DC11">
          <v:shape id="_x0000_s1295" type="#_x0000_t32" style="position:absolute;margin-left:102.05pt;margin-top:24.45pt;width:20.35pt;height:105.1pt;z-index:251865088" o:connectortype="straight">
            <v:stroke endarrow="block"/>
          </v:shape>
        </w:pict>
      </w:r>
      <w:r>
        <w:rPr>
          <w:noProof/>
          <w:lang w:eastAsia="cs-CZ"/>
        </w:rPr>
        <w:pict w14:anchorId="0D97DC12">
          <v:shape id="_x0000_s1293" type="#_x0000_t32" style="position:absolute;margin-left:102.05pt;margin-top:24.45pt;width:20.95pt;height:47.7pt;z-index:251863040" o:connectortype="straight">
            <v:stroke endarrow="block"/>
          </v:shape>
        </w:pict>
      </w:r>
      <w:r>
        <w:rPr>
          <w:noProof/>
          <w:lang w:eastAsia="cs-CZ"/>
        </w:rPr>
        <w:pict w14:anchorId="0D97DC13">
          <v:shape id="_x0000_s1270" type="#_x0000_t32" style="position:absolute;margin-left:102.05pt;margin-top:4.2pt;width:21.6pt;height:20.25pt;flip:y;z-index:251845632" o:connectortype="straight">
            <v:stroke endarrow="block"/>
          </v:shape>
        </w:pict>
      </w:r>
      <w:r>
        <w:rPr>
          <w:noProof/>
          <w:lang w:eastAsia="cs-CZ"/>
        </w:rPr>
        <w:pict w14:anchorId="0D97DC14">
          <v:shape id="_x0000_s1139" type="#_x0000_t202" style="position:absolute;margin-left:275.55pt;margin-top:24.45pt;width:184.25pt;height:27.45pt;z-index:251715584;visibility:visible;mso-width-relative:margin;mso-height-relative:margin" o:regroupid="4">
            <v:textbox style="mso-next-textbox:#_x0000_s1139">
              <w:txbxContent>
                <w:p w14:paraId="0D97DC75" w14:textId="5555E8F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Testovac</w:t>
                  </w:r>
                  <w:r w:rsidR="009F33D5">
                    <w:rPr>
                      <w:sz w:val="18"/>
                      <w:szCs w:val="18"/>
                      <w:lang w:val="sk-SK"/>
                    </w:rPr>
                    <w:t>ie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 nástroje na overovanie vedomostí a</w:t>
                  </w:r>
                  <w:r w:rsidR="00C46346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kľúčových kompetencií žiakov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15">
          <v:shape id="_x0000_s1211" type="#_x0000_t202" style="position:absolute;margin-left:755.2pt;margin-top:9.45pt;width:113.4pt;height:34pt;z-index:251771904;mso-width-relative:margin;mso-height-relative:margin" fillcolor="white [3212]">
            <v:textbox style="mso-next-textbox:#_x0000_s1211">
              <w:txbxContent>
                <w:p w14:paraId="0D97DC76" w14:textId="77777777" w:rsidR="00470458" w:rsidRPr="003A3328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Vzdelávanie odpovedajúce potrebám trhu práce vo vedomostnej spoločnosti</w:t>
                  </w:r>
                </w:p>
              </w:txbxContent>
            </v:textbox>
          </v:shape>
        </w:pict>
      </w:r>
    </w:p>
    <w:p w14:paraId="0D97DB9D" w14:textId="20D807CF" w:rsidR="000561C9" w:rsidRDefault="001E6EFB" w:rsidP="000561C9">
      <w:r>
        <w:rPr>
          <w:noProof/>
          <w:lang w:eastAsia="cs-CZ"/>
        </w:rPr>
        <w:pict w14:anchorId="1AB05549">
          <v:shape id="_x0000_s1326" type="#_x0000_t32" style="position:absolute;margin-left:868.6pt;margin-top:12.15pt;width:40.1pt;height:61.45pt;flip:y;z-index:251895808" o:connectortype="straight">
            <v:stroke endarrow="block"/>
          </v:shape>
        </w:pict>
      </w:r>
      <w:r>
        <w:rPr>
          <w:noProof/>
          <w:lang w:eastAsia="cs-CZ"/>
        </w:rPr>
        <w:pict w14:anchorId="0D97DC16">
          <v:shape id="_x0000_s1321" type="#_x0000_t32" style="position:absolute;margin-left:717.05pt;margin-top:1.7pt;width:38.15pt;height:156.1pt;flip:y;z-index:251891712" o:connectortype="straight">
            <v:stroke endarrow="block"/>
          </v:shape>
        </w:pict>
      </w:r>
      <w:r>
        <w:rPr>
          <w:noProof/>
          <w:lang w:eastAsia="cs-CZ"/>
        </w:rPr>
        <w:pict w14:anchorId="0D97DC17">
          <v:shape id="_x0000_s1320" type="#_x0000_t32" style="position:absolute;margin-left:717.05pt;margin-top:1.7pt;width:38.15pt;height:252.8pt;flip:y;z-index:251890688" o:connectortype="straight">
            <v:stroke endarrow="block"/>
          </v:shape>
        </w:pict>
      </w:r>
      <w:r>
        <w:rPr>
          <w:noProof/>
          <w:lang w:eastAsia="cs-CZ"/>
        </w:rPr>
        <w:pict w14:anchorId="0D97DC18">
          <v:shape id="_x0000_s1322" type="#_x0000_t32" style="position:absolute;margin-left:717.05pt;margin-top:1.7pt;width:38.15pt;height:67.9pt;flip:y;z-index:251892736" o:connectortype="straight">
            <v:stroke endarrow="block"/>
          </v:shape>
        </w:pict>
      </w:r>
      <w:r>
        <w:rPr>
          <w:noProof/>
          <w:lang w:eastAsia="cs-CZ"/>
        </w:rPr>
        <w:pict w14:anchorId="0D97DC19">
          <v:shape id="_x0000_s1309" type="#_x0000_t32" style="position:absolute;margin-left:459.8pt;margin-top:12.15pt;width:78.65pt;height:58.45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0D97DC1B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0D97DB9E" w14:textId="77777777" w:rsidR="000561C9" w:rsidRDefault="001E6EFB" w:rsidP="000561C9">
      <w:r>
        <w:rPr>
          <w:noProof/>
          <w:lang w:eastAsia="cs-CZ"/>
        </w:rPr>
        <w:pict w14:anchorId="0D97DC1C">
          <v:shape id="Text Box 59" o:spid="_x0000_s1154" type="#_x0000_t202" style="position:absolute;margin-left:275.55pt;margin-top:21.3pt;width:184.25pt;height:20.25pt;z-index:251705344;visibility:visible;mso-width-relative:margin;mso-height-relative:margin" o:regroupid="3">
            <v:textbox style="mso-next-textbox:#Text Box 59">
              <w:txbxContent>
                <w:p w14:paraId="0D97DC77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Databáza 30 000 úloh</w:t>
                  </w:r>
                </w:p>
              </w:txbxContent>
            </v:textbox>
          </v:shape>
        </w:pict>
      </w:r>
    </w:p>
    <w:p w14:paraId="0D97DB9F" w14:textId="4275E1B0" w:rsidR="000561C9" w:rsidRDefault="001E6EFB" w:rsidP="000561C9">
      <w:r>
        <w:rPr>
          <w:noProof/>
          <w:lang w:eastAsia="cs-CZ"/>
        </w:rPr>
        <w:pict w14:anchorId="0D97DC1D">
          <v:shape id="_x0000_s1324" type="#_x0000_t32" style="position:absolute;margin-left:717.05pt;margin-top:23.5pt;width:38.15pt;height:180.15pt;flip:y;z-index:251894784" o:connectortype="straight">
            <v:stroke endarrow="block"/>
          </v:shape>
        </w:pict>
      </w:r>
      <w:r>
        <w:rPr>
          <w:noProof/>
          <w:lang w:eastAsia="cs-CZ"/>
        </w:rPr>
        <w:pict w14:anchorId="0D97DC1E">
          <v:shape id="_x0000_s1317" type="#_x0000_t32" style="position:absolute;margin-left:717.05pt;margin-top:23.5pt;width:38.2pt;height:83.45pt;flip:y;z-index:251887616" o:connectortype="straight">
            <v:stroke endarrow="block"/>
          </v:shape>
        </w:pict>
      </w:r>
      <w:r>
        <w:rPr>
          <w:noProof/>
          <w:lang w:eastAsia="cs-CZ"/>
        </w:rPr>
        <w:pict w14:anchorId="0D97DC1F">
          <v:shape id="_x0000_s1318" type="#_x0000_t32" style="position:absolute;margin-left:717.05pt;margin-top:18.75pt;width:38.2pt;height:4.75pt;z-index:251888640" o:connectortype="straight">
            <v:stroke endarrow="block"/>
          </v:shape>
        </w:pict>
      </w:r>
      <w:r>
        <w:rPr>
          <w:noProof/>
          <w:lang w:eastAsia="cs-CZ"/>
        </w:rPr>
        <w:pict w14:anchorId="0D97DC20">
          <v:shape id="_x0000_s1310" type="#_x0000_t32" style="position:absolute;margin-left:459.8pt;margin-top:19.75pt;width:78.65pt;height:28pt;flip:y;z-index:251880448" o:connectortype="straight">
            <v:stroke endarrow="block"/>
          </v:shape>
        </w:pict>
      </w:r>
      <w:r>
        <w:rPr>
          <w:noProof/>
          <w:lang w:eastAsia="cs-CZ"/>
        </w:rPr>
        <w:pict w14:anchorId="0D97DC21">
          <v:shape id="_x0000_s1311" type="#_x0000_t32" style="position:absolute;margin-left:459.8pt;margin-top:6.7pt;width:78.65pt;height:13.05pt;z-index:251881472" o:connectortype="straight">
            <v:stroke endarrow="block"/>
          </v:shape>
        </w:pict>
      </w:r>
      <w:r>
        <w:rPr>
          <w:noProof/>
          <w:lang w:eastAsia="cs-CZ"/>
        </w:rPr>
        <w:pict w14:anchorId="0D97DC22">
          <v:shape id="_x0000_s1195" type="#_x0000_t202" style="position:absolute;margin-left:538.45pt;margin-top:1.45pt;width:178.6pt;height:35.95pt;z-index:251843584;visibility:visible;mso-width-relative:margin;mso-height-relative:margin">
            <v:textbox style="mso-next-textbox:#_x0000_s1195">
              <w:txbxContent>
                <w:p w14:paraId="0D97DC78" w14:textId="336DECA9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Zaveden</w:t>
                  </w:r>
                  <w:r w:rsidR="00BA1717">
                    <w:rPr>
                      <w:sz w:val="18"/>
                      <w:szCs w:val="18"/>
                      <w:lang w:val="sk-SK"/>
                    </w:rPr>
                    <w:t>ie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 súboru elektronických nástrojov hodnotenia na overovanie vedomostí a</w:t>
                  </w:r>
                  <w:r w:rsidR="00C46346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kľúčových kompetencií žiakov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23">
          <v:shape id="_x0000_s1217" type="#_x0000_t202" style="position:absolute;margin-left:755.2pt;margin-top:6.7pt;width:113.4pt;height:3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0D97DC79" w14:textId="77777777" w:rsidR="00470458" w:rsidRPr="00783B52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Žiaci a študenti </w:t>
                  </w:r>
                  <w:r>
                    <w:rPr>
                      <w:sz w:val="18"/>
                      <w:szCs w:val="18"/>
                      <w:lang w:val="sk-SK"/>
                    </w:rPr>
                    <w:t>majú zvýšené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 kľúčové kompetencie</w:t>
                  </w:r>
                </w:p>
              </w:txbxContent>
            </v:textbox>
          </v:shape>
        </w:pict>
      </w:r>
    </w:p>
    <w:p w14:paraId="0D97DBA0" w14:textId="77777777" w:rsidR="000561C9" w:rsidRDefault="001E6EFB" w:rsidP="000561C9">
      <w:r>
        <w:rPr>
          <w:noProof/>
          <w:lang w:eastAsia="cs-CZ"/>
        </w:rPr>
        <w:pict w14:anchorId="0D97DC26">
          <v:shape id="Text Box 60" o:spid="_x0000_s1155" type="#_x0000_t202" style="position:absolute;margin-left:275.55pt;margin-top:10.9pt;width:184.25pt;height:20.75pt;z-index:251706368;visibility:visible;mso-width-relative:margin;mso-height-relative:margin" o:regroupid="3">
            <v:textbox style="mso-next-textbox:#Text Box 60">
              <w:txbxContent>
                <w:p w14:paraId="0D97DC7C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Databáza 130 testov</w:t>
                  </w:r>
                </w:p>
              </w:txbxContent>
            </v:textbox>
          </v:shape>
        </w:pict>
      </w:r>
    </w:p>
    <w:p w14:paraId="0D97DBA1" w14:textId="375A3A11" w:rsidR="000561C9" w:rsidRDefault="001E6EFB" w:rsidP="000561C9">
      <w:r>
        <w:rPr>
          <w:noProof/>
          <w:lang w:eastAsia="cs-CZ"/>
        </w:rPr>
        <w:pict w14:anchorId="0D97DC27">
          <v:shape id="_x0000_s1255" type="#_x0000_t202" style="position:absolute;margin-left:6.75pt;margin-top:18.2pt;width:96.4pt;height:88.45pt;z-index:251828224;visibility:visible;mso-width-relative:margin;mso-height-relative:margin">
            <v:textbox style="mso-next-textbox:#_x0000_s1255">
              <w:txbxContent>
                <w:p w14:paraId="0D97DC7D" w14:textId="095667B4" w:rsidR="00470458" w:rsidRPr="00655E47" w:rsidRDefault="00CD5087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Zavádzanie elektronického testovania na monitorovanie úrovne vedomostí, zručností a kľúčových kompetencií žiakov, sledovanie trendov kvality škôl</w:t>
                  </w:r>
                </w:p>
              </w:txbxContent>
            </v:textbox>
          </v:shape>
        </w:pict>
      </w:r>
    </w:p>
    <w:p w14:paraId="0D97DBA2" w14:textId="77777777" w:rsidR="000561C9" w:rsidRDefault="001E6EFB" w:rsidP="000561C9">
      <w:r>
        <w:rPr>
          <w:noProof/>
          <w:lang w:eastAsia="cs-CZ"/>
        </w:rPr>
        <w:pict w14:anchorId="0D97DC29">
          <v:shape id="_x0000_s1303" type="#_x0000_t32" style="position:absolute;margin-left:255.25pt;margin-top:9.8pt;width:20.3pt;height:64.85pt;flip:y;z-index:251873280" o:connectortype="straight">
            <v:stroke endarrow="block"/>
          </v:shape>
        </w:pict>
      </w:r>
      <w:r>
        <w:rPr>
          <w:noProof/>
          <w:lang w:eastAsia="cs-CZ"/>
        </w:rPr>
        <w:pict w14:anchorId="0D97DC2A">
          <v:shape id="_x0000_s1306" type="#_x0000_t32" style="position:absolute;margin-left:253.4pt;margin-top:9.8pt;width:22.25pt;height:16.4pt;flip:y;z-index:251876352" o:connectortype="straight">
            <v:stroke endarrow="block"/>
          </v:shape>
        </w:pict>
      </w:r>
      <w:r>
        <w:rPr>
          <w:noProof/>
          <w:lang w:eastAsia="cs-CZ"/>
        </w:rPr>
        <w:pict w14:anchorId="0D97DC2B">
          <v:shape id="_x0000_s1197" type="#_x0000_t202" style="position:absolute;margin-left:538.45pt;margin-top:16.6pt;width:178.6pt;height:24.8pt;z-index:251807744;visibility:visible;mso-width-relative:margin;mso-height-relative:margin">
            <v:textbox style="mso-next-textbox:#_x0000_s1197">
              <w:txbxContent>
                <w:p w14:paraId="0D97DC7E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Elektronický systém e-Test  v roku 2017 využívalo  </w:t>
                  </w:r>
                  <w:r w:rsidR="006A3E9D">
                    <w:rPr>
                      <w:sz w:val="18"/>
                      <w:szCs w:val="18"/>
                      <w:lang w:val="sk-SK"/>
                    </w:rPr>
                    <w:t>770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 ZŠ a SŠ </w:t>
                  </w:r>
                </w:p>
              </w:txbxContent>
            </v:textbox>
          </v:shape>
        </w:pict>
      </w:r>
    </w:p>
    <w:p w14:paraId="0D97DBA3" w14:textId="1B727219" w:rsidR="000561C9" w:rsidRDefault="001E6EFB" w:rsidP="000561C9">
      <w:r>
        <w:rPr>
          <w:noProof/>
          <w:lang w:eastAsia="cs-CZ"/>
        </w:rPr>
        <w:pict w14:anchorId="0D97DC2C">
          <v:shape id="_x0000_s1314" type="#_x0000_t32" style="position:absolute;margin-left:459.8pt;margin-top:5.15pt;width:78.65pt;height:62.35pt;flip:y;z-index:251884544" o:connectortype="straight">
            <v:stroke endarrow="block"/>
          </v:shape>
        </w:pict>
      </w:r>
      <w:r>
        <w:rPr>
          <w:noProof/>
          <w:lang w:eastAsia="cs-CZ"/>
        </w:rPr>
        <w:pict w14:anchorId="0D97DC2D">
          <v:shape id="_x0000_s1315" type="#_x0000_t32" style="position:absolute;margin-left:459.8pt;margin-top:5.15pt;width:78.65pt;height:150.2pt;flip:y;z-index:251885568" o:connectortype="straight">
            <v:stroke endarrow="block"/>
          </v:shape>
        </w:pict>
      </w:r>
      <w:r>
        <w:rPr>
          <w:noProof/>
          <w:lang w:eastAsia="cs-CZ"/>
        </w:rPr>
        <w:pict w14:anchorId="0D97DC2E">
          <v:shape id="_x0000_s1301" type="#_x0000_t32" style="position:absolute;margin-left:253.4pt;margin-top:.75pt;width:22.25pt;height:109.1pt;z-index:251871232" o:connectortype="straight">
            <v:stroke endarrow="block"/>
          </v:shape>
        </w:pict>
      </w:r>
      <w:r>
        <w:rPr>
          <w:noProof/>
          <w:lang w:eastAsia="cs-CZ"/>
        </w:rPr>
        <w:pict w14:anchorId="0D97DC2F">
          <v:shape id="_x0000_s1307" type="#_x0000_t32" style="position:absolute;margin-left:253.4pt;margin-top:.75pt;width:22.25pt;height:27.1pt;z-index:251877376" o:connectortype="straight">
            <v:stroke endarrow="block"/>
          </v:shape>
        </w:pict>
      </w:r>
      <w:r>
        <w:rPr>
          <w:noProof/>
          <w:lang w:eastAsia="cs-CZ"/>
        </w:rPr>
        <w:pict w14:anchorId="0D97DC30">
          <v:shape id="_x0000_s1280" type="#_x0000_t32" style="position:absolute;margin-left:102.65pt;margin-top:15.5pt;width:20.35pt;height:131.55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0D97DC31">
          <v:shape id="_x0000_s1264" type="#_x0000_t32" style="position:absolute;margin-left:102.65pt;margin-top:12.9pt;width:20.35pt;height:86.05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0D97DC32">
          <v:shape id="_x0000_s1266" type="#_x0000_t32" style="position:absolute;margin-left:102.65pt;margin-top:12.9pt;width:20.35pt;height:36.15pt;z-index:251839488" o:connectortype="straight">
            <v:stroke endarrow="block"/>
          </v:shape>
        </w:pict>
      </w:r>
      <w:r>
        <w:rPr>
          <w:noProof/>
          <w:lang w:eastAsia="cs-CZ"/>
        </w:rPr>
        <w:pict w14:anchorId="0D97DC33">
          <v:shape id="_x0000_s1261" type="#_x0000_t32" style="position:absolute;margin-left:103.15pt;margin-top:.75pt;width:19.85pt;height:12.15pt;flip:y;z-index:251834368" o:connectortype="straight">
            <v:stroke endarrow="block"/>
          </v:shape>
        </w:pict>
      </w:r>
      <w:r>
        <w:rPr>
          <w:noProof/>
          <w:lang w:eastAsia="cs-CZ"/>
        </w:rPr>
        <w:pict w14:anchorId="0D97DC34">
          <v:shape id="_x0000_s1308" type="#_x0000_t32" style="position:absolute;margin-left:253.4pt;margin-top:.75pt;width:22.15pt;height:154.6pt;z-index:251878400" o:connectortype="straight">
            <v:stroke endarrow="block"/>
          </v:shape>
        </w:pict>
      </w:r>
      <w:r>
        <w:rPr>
          <w:noProof/>
          <w:lang w:eastAsia="cs-CZ"/>
        </w:rPr>
        <w:pict w14:anchorId="0D97DC35">
          <v:shape id="_x0000_s1299" type="#_x0000_t32" style="position:absolute;margin-left:253.4pt;margin-top:.75pt;width:22.15pt;height:66.75pt;z-index:251869184" o:connectortype="straight">
            <v:stroke endarrow="block"/>
          </v:shape>
        </w:pict>
      </w:r>
      <w:r>
        <w:rPr>
          <w:noProof/>
          <w:lang w:eastAsia="cs-CZ"/>
        </w:rPr>
        <w:pict w14:anchorId="0D97DC36">
          <v:shape id="_x0000_s1156" type="#_x0000_t202" style="position:absolute;margin-left:275.55pt;margin-top:15.95pt;width:184.25pt;height:21.6pt;z-index:251707392;visibility:visible;mso-width-relative:margin;mso-height-relative:margin" o:regroupid="3">
            <v:textbox style="mso-next-textbox:#_x0000_s1156">
              <w:txbxContent>
                <w:p w14:paraId="0D97DC7F" w14:textId="77777777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Tematická správa PISA 2012</w:t>
                  </w:r>
                </w:p>
              </w:txbxContent>
            </v:textbox>
          </v:shape>
        </w:pict>
      </w:r>
    </w:p>
    <w:p w14:paraId="0D97DBA4" w14:textId="77777777" w:rsidR="000561C9" w:rsidRDefault="001E6EFB" w:rsidP="000561C9">
      <w:r>
        <w:rPr>
          <w:noProof/>
          <w:lang w:eastAsia="cs-CZ"/>
        </w:rPr>
        <w:pict w14:anchorId="0D97DC38">
          <v:shape id="_x0000_s1300" type="#_x0000_t32" style="position:absolute;margin-left:253.4pt;margin-top:23.8pt;width:22.15pt;height:106.15pt;z-index:251870208" o:connectortype="straight">
            <v:stroke endarrow="block"/>
          </v:shape>
        </w:pict>
      </w:r>
      <w:r>
        <w:rPr>
          <w:noProof/>
          <w:lang w:eastAsia="cs-CZ"/>
        </w:rPr>
        <w:pict w14:anchorId="0D97DC39">
          <v:shape id="_x0000_s1304" type="#_x0000_t32" style="position:absolute;margin-left:253.4pt;margin-top:23.8pt;width:22.25pt;height:60.65pt;z-index:251874304" o:connectortype="straight">
            <v:stroke endarrow="block"/>
          </v:shape>
        </w:pict>
      </w:r>
      <w:r>
        <w:rPr>
          <w:noProof/>
          <w:lang w:eastAsia="cs-CZ"/>
        </w:rPr>
        <w:pict w14:anchorId="0D97DC3A">
          <v:shape id="_x0000_s1305" type="#_x0000_t32" style="position:absolute;margin-left:253.4pt;margin-top:23.65pt;width:22.25pt;height:19.95pt;z-index:251875328" o:connectortype="straight">
            <v:stroke endarrow="block"/>
          </v:shape>
        </w:pict>
      </w:r>
      <w:r>
        <w:rPr>
          <w:noProof/>
          <w:lang w:eastAsia="cs-CZ"/>
        </w:rPr>
        <w:pict w14:anchorId="0D97DC3B">
          <v:shape id="_x0000_s1302" type="#_x0000_t32" style="position:absolute;margin-left:253.4pt;margin-top:2.45pt;width:22.15pt;height:21.2pt;flip:y;z-index:251872256" o:connectortype="straight">
            <v:stroke endarrow="block"/>
          </v:shape>
        </w:pict>
      </w:r>
      <w:r>
        <w:rPr>
          <w:noProof/>
          <w:lang w:eastAsia="cs-CZ"/>
        </w:rPr>
        <w:pict w14:anchorId="0D97DC3C">
          <v:shape id="_x0000_s1288" type="#_x0000_t202" style="position:absolute;margin-left:123pt;margin-top:10.5pt;width:130.4pt;height:26.2pt;z-index:251858944;visibility:visible;mso-width-relative:margin;mso-height-relative:margin">
            <v:textbox style="mso-next-textbox:#_x0000_s1288">
              <w:txbxContent>
                <w:p w14:paraId="0D97DC80" w14:textId="77777777" w:rsidR="0088464C" w:rsidRPr="00655E47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10 zrealizovaných národných meraní  </w:t>
                  </w:r>
                </w:p>
              </w:txbxContent>
            </v:textbox>
          </v:shape>
        </w:pict>
      </w:r>
    </w:p>
    <w:p w14:paraId="0D97DBA5" w14:textId="108FED58" w:rsidR="000561C9" w:rsidRDefault="001E6EFB" w:rsidP="000561C9">
      <w:r>
        <w:rPr>
          <w:noProof/>
          <w:lang w:eastAsia="cs-CZ"/>
        </w:rPr>
        <w:pict w14:anchorId="0D97DC3D">
          <v:shape id="_x0000_s1313" type="#_x0000_t32" style="position:absolute;margin-left:459.8pt;margin-top:18.15pt;width:78.65pt;height:34pt;z-index:251883520" o:connectortype="straight">
            <v:stroke endarrow="block"/>
          </v:shape>
        </w:pict>
      </w:r>
      <w:r>
        <w:rPr>
          <w:noProof/>
          <w:lang w:eastAsia="cs-CZ"/>
        </w:rPr>
        <w:pict w14:anchorId="0D97DC3E">
          <v:shape id="_x0000_s1157" type="#_x0000_t202" style="position:absolute;margin-left:275.55pt;margin-top:6.95pt;width:184.25pt;height:20.9pt;z-index:251708416;visibility:visible;mso-width-relative:margin;mso-height-relative:margin" o:regroupid="3">
            <v:textbox style="mso-next-textbox:#_x0000_s1157">
              <w:txbxContent>
                <w:p w14:paraId="0D97DC81" w14:textId="4FC088EA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Zbierka úloh štúdie PISA 2012</w:t>
                  </w:r>
                </w:p>
              </w:txbxContent>
            </v:textbox>
          </v:shape>
        </w:pict>
      </w:r>
    </w:p>
    <w:p w14:paraId="0D97DBA6" w14:textId="77777777" w:rsidR="000561C9" w:rsidRDefault="001E6EFB" w:rsidP="000561C9">
      <w:r>
        <w:rPr>
          <w:noProof/>
          <w:lang w:eastAsia="cs-CZ"/>
        </w:rPr>
        <w:pict w14:anchorId="0D97DC40">
          <v:shape id="_x0000_s1285" type="#_x0000_t202" style="position:absolute;margin-left:538.45pt;margin-top:11.45pt;width:178.6pt;height:25.2pt;z-index:251856896;visibility:visible;mso-width-relative:margin;mso-height-relative:margin">
            <v:textbox style="mso-next-textbox:#_x0000_s1285">
              <w:txbxContent>
                <w:p w14:paraId="0D97DC82" w14:textId="77777777" w:rsidR="003E4C9D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Elektronické testovanie v roku 2017 absolvovalo </w:t>
                  </w:r>
                  <w:r w:rsidR="006A3E9D" w:rsidRPr="00655E47">
                    <w:rPr>
                      <w:sz w:val="18"/>
                      <w:szCs w:val="18"/>
                      <w:lang w:val="sk-SK"/>
                    </w:rPr>
                    <w:t>51</w:t>
                  </w:r>
                  <w:r w:rsidR="006A3E9D">
                    <w:rPr>
                      <w:sz w:val="18"/>
                      <w:szCs w:val="18"/>
                      <w:lang w:val="sk-SK"/>
                    </w:rPr>
                    <w:t> </w:t>
                  </w:r>
                  <w:r w:rsidR="006A3E9D" w:rsidRPr="00655E47">
                    <w:rPr>
                      <w:sz w:val="18"/>
                      <w:szCs w:val="18"/>
                      <w:lang w:val="sk-SK"/>
                    </w:rPr>
                    <w:t xml:space="preserve">288 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 xml:space="preserve">žiakov </w:t>
                  </w:r>
                </w:p>
              </w:txbxContent>
            </v:textbox>
          </v:shape>
        </w:pict>
      </w:r>
    </w:p>
    <w:p w14:paraId="0D97DBA7" w14:textId="77777777" w:rsidR="000561C9" w:rsidRDefault="001E6EFB" w:rsidP="000561C9">
      <w:r>
        <w:rPr>
          <w:noProof/>
          <w:lang w:eastAsia="cs-CZ"/>
        </w:rPr>
        <w:pict w14:anchorId="0D97DC41">
          <v:shape id="_x0000_s1316" type="#_x0000_t32" style="position:absolute;margin-left:459.8pt;margin-top:1.25pt;width:78.65pt;height:52.35pt;flip:y;z-index:251886592" o:connectortype="straight">
            <v:stroke endarrow="block"/>
          </v:shape>
        </w:pict>
      </w:r>
    </w:p>
    <w:p w14:paraId="0D97DBA8" w14:textId="7C910EA6" w:rsidR="000561C9" w:rsidRDefault="001E6EFB" w:rsidP="000561C9">
      <w:r>
        <w:rPr>
          <w:noProof/>
          <w:lang w:eastAsia="cs-CZ"/>
        </w:rPr>
        <w:pict w14:anchorId="0D97DC42">
          <v:shape id="Text Box 57" o:spid="_x0000_s1153" type="#_x0000_t202" style="position:absolute;margin-left:275.55pt;margin-top:12.55pt;width:184.25pt;height:29.15pt;z-index:251704320;visibility:visible;mso-width-relative:margin;mso-height-relative:margin" o:regroupid="3">
            <v:textbox style="mso-next-textbox:#Text Box 57">
              <w:txbxContent>
                <w:p w14:paraId="0D97DC83" w14:textId="1AB1CABF" w:rsidR="00470458" w:rsidRPr="00655E47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55E47">
                    <w:rPr>
                      <w:sz w:val="18"/>
                      <w:szCs w:val="18"/>
                      <w:lang w:val="sk-SK"/>
                    </w:rPr>
                    <w:t>Zbierky úloh štúdie TIMSS 2011 z matematiky a prírodovedy</w:t>
                  </w:r>
                </w:p>
              </w:txbxContent>
            </v:textbox>
          </v:shape>
        </w:pict>
      </w:r>
    </w:p>
    <w:p w14:paraId="0D97DBA9" w14:textId="77777777" w:rsidR="000561C9" w:rsidRDefault="000561C9" w:rsidP="000561C9"/>
    <w:p w14:paraId="0D97DBAA" w14:textId="77777777" w:rsidR="000561C9" w:rsidRDefault="000561C9" w:rsidP="000561C9"/>
    <w:p w14:paraId="0D97DBAB" w14:textId="5C388150" w:rsidR="00B90147" w:rsidRDefault="001E6EFB">
      <w:r>
        <w:rPr>
          <w:noProof/>
          <w:lang w:eastAsia="cs-CZ"/>
        </w:rPr>
        <w:pict w14:anchorId="0D97DC45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0D97DC46">
          <v:roundrect id="AutoShape 35" o:spid="_x0000_s1130" style="position:absolute;margin-left:-4.85pt;margin-top:3pt;width:119.45pt;height:177.75pt;z-index:251744256;visibility:visible" arcsize="5822f" o:regroupid="5" fillcolor="yellow"/>
        </w:pict>
      </w:r>
      <w:r>
        <w:rPr>
          <w:noProof/>
          <w:lang w:eastAsia="cs-CZ"/>
        </w:rPr>
        <w:pict w14:anchorId="0D97DC47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0D97DC49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0D97DC87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4A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0D97DC88" w14:textId="77777777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4B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0D97DC89" w14:textId="77777777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0D97DBAC" w14:textId="77777777" w:rsidR="00B90147" w:rsidRDefault="001E6EFB">
      <w:r>
        <w:rPr>
          <w:noProof/>
          <w:lang w:eastAsia="cs-CZ"/>
        </w:rPr>
        <w:pict w14:anchorId="0D97DC4C">
          <v:shape id="_x0000_s1251" type="#_x0000_t202" style="position:absolute;margin-left:528.25pt;margin-top:6.8pt;width:465.5pt;height:126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470458" w14:paraId="0D97DC8E" w14:textId="77777777" w:rsidTr="00E70A99">
                    <w:tc>
                      <w:tcPr>
                        <w:tcW w:w="534" w:type="dxa"/>
                      </w:tcPr>
                      <w:p w14:paraId="0D97DC8A" w14:textId="77777777" w:rsidR="00470458" w:rsidRPr="000C6B18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D97DC8B" w14:textId="77777777" w:rsidR="00470458" w:rsidRPr="000C6B18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D97DC8C" w14:textId="77777777" w:rsidR="00470458" w:rsidRPr="000C6B18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D97DC8D" w14:textId="77777777" w:rsidR="00470458" w:rsidRPr="000C6B18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</w:p>
                    </w:tc>
                  </w:tr>
                  <w:tr w:rsidR="000C6B18" w14:paraId="0D97DC93" w14:textId="77777777" w:rsidTr="00B70B5A">
                    <w:tc>
                      <w:tcPr>
                        <w:tcW w:w="534" w:type="dxa"/>
                      </w:tcPr>
                      <w:p w14:paraId="0D97DC8F" w14:textId="77777777" w:rsidR="000C6B18" w:rsidRPr="000C6B18" w:rsidRDefault="000C6B1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D97DC90" w14:textId="77777777" w:rsidR="000C6B18" w:rsidRPr="000C6B18" w:rsidRDefault="000C6B18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inovovaných/novovytvorených učebných materiálov</w:t>
                        </w:r>
                      </w:p>
                    </w:tc>
                    <w:tc>
                      <w:tcPr>
                        <w:tcW w:w="1177" w:type="dxa"/>
                        <w:vAlign w:val="bottom"/>
                      </w:tcPr>
                      <w:p w14:paraId="0D97DC91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  <w:tc>
                      <w:tcPr>
                        <w:tcW w:w="1064" w:type="dxa"/>
                        <w:vAlign w:val="bottom"/>
                      </w:tcPr>
                      <w:p w14:paraId="0D97DC92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</w:tr>
                  <w:tr w:rsidR="000C6B18" w14:paraId="0D97DC98" w14:textId="77777777" w:rsidTr="00B70B5A">
                    <w:tc>
                      <w:tcPr>
                        <w:tcW w:w="534" w:type="dxa"/>
                      </w:tcPr>
                      <w:p w14:paraId="0D97DC94" w14:textId="77777777" w:rsidR="000C6B18" w:rsidRPr="000C6B18" w:rsidRDefault="000C6B1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D97DC95" w14:textId="77777777" w:rsidR="000C6B18" w:rsidRPr="000C6B18" w:rsidRDefault="000C6B18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osôb cieľovej skupiny zapojených do podporených projektov vo veku 15-24</w:t>
                        </w:r>
                      </w:p>
                    </w:tc>
                    <w:tc>
                      <w:tcPr>
                        <w:tcW w:w="1177" w:type="dxa"/>
                        <w:vAlign w:val="bottom"/>
                      </w:tcPr>
                      <w:p w14:paraId="0D97DC96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47 000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D97DC97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77 056</w:t>
                        </w:r>
                      </w:p>
                    </w:tc>
                  </w:tr>
                  <w:tr w:rsidR="000C6B18" w14:paraId="0D97DC9D" w14:textId="77777777" w:rsidTr="00B70B5A">
                    <w:tc>
                      <w:tcPr>
                        <w:tcW w:w="534" w:type="dxa"/>
                      </w:tcPr>
                      <w:p w14:paraId="0D97DC99" w14:textId="77777777" w:rsidR="000C6B18" w:rsidRPr="000C6B18" w:rsidRDefault="000C6B1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  <w:vAlign w:val="bottom"/>
                      </w:tcPr>
                      <w:p w14:paraId="0D97DC9A" w14:textId="77777777" w:rsidR="000C6B18" w:rsidRPr="000C6B18" w:rsidRDefault="000C6B18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osôb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D97DC9B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145 636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D97DC9C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133 436</w:t>
                        </w:r>
                      </w:p>
                    </w:tc>
                  </w:tr>
                  <w:tr w:rsidR="000C6B18" w14:paraId="0D97DCA2" w14:textId="77777777" w:rsidTr="00B70B5A">
                    <w:tc>
                      <w:tcPr>
                        <w:tcW w:w="534" w:type="dxa"/>
                      </w:tcPr>
                      <w:p w14:paraId="0D97DC9E" w14:textId="77777777" w:rsidR="000C6B18" w:rsidRPr="000C6B18" w:rsidRDefault="000C6B1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D97DC9F" w14:textId="77777777" w:rsidR="000C6B18" w:rsidRPr="000C6B18" w:rsidRDefault="000C6B18" w:rsidP="000C6B18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Počet škôl zapojených do </w:t>
                        </w:r>
                        <w:proofErr w:type="spellStart"/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realiz</w:t>
                        </w:r>
                        <w:proofErr w:type="spellEnd"/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. aktivít projektu využívajúceho IKT vo vyuč. procese</w:t>
                        </w:r>
                      </w:p>
                    </w:tc>
                    <w:tc>
                      <w:tcPr>
                        <w:tcW w:w="1177" w:type="dxa"/>
                        <w:vAlign w:val="bottom"/>
                      </w:tcPr>
                      <w:p w14:paraId="0D97DCA0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1 820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D97DCA1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1 488</w:t>
                        </w:r>
                      </w:p>
                    </w:tc>
                  </w:tr>
                  <w:tr w:rsidR="000C6B18" w14:paraId="0D97DCA7" w14:textId="77777777" w:rsidTr="00B70B5A">
                    <w:tc>
                      <w:tcPr>
                        <w:tcW w:w="534" w:type="dxa"/>
                      </w:tcPr>
                      <w:p w14:paraId="0D97DCA3" w14:textId="77777777" w:rsidR="000C6B18" w:rsidRPr="000C6B18" w:rsidRDefault="000C6B1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D97DCA4" w14:textId="77777777" w:rsidR="000C6B18" w:rsidRPr="000C6B18" w:rsidRDefault="000C6B18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zavedených elektronických služieb</w:t>
                        </w:r>
                      </w:p>
                    </w:tc>
                    <w:tc>
                      <w:tcPr>
                        <w:tcW w:w="1177" w:type="dxa"/>
                        <w:vAlign w:val="bottom"/>
                      </w:tcPr>
                      <w:p w14:paraId="0D97DCA5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D97DCA6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</w:tr>
                  <w:tr w:rsidR="000C6B18" w14:paraId="0D97DCAC" w14:textId="77777777" w:rsidTr="00B70B5A">
                    <w:tc>
                      <w:tcPr>
                        <w:tcW w:w="534" w:type="dxa"/>
                      </w:tcPr>
                      <w:p w14:paraId="0D97DCA8" w14:textId="77777777" w:rsidR="000C6B18" w:rsidRPr="000C6B18" w:rsidRDefault="000C6B1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D97DCA9" w14:textId="77777777" w:rsidR="000C6B18" w:rsidRPr="000C6B18" w:rsidRDefault="000C6B18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žiakov/študentov zapojených do realizácie aktivít projektu</w:t>
                        </w:r>
                      </w:p>
                    </w:tc>
                    <w:tc>
                      <w:tcPr>
                        <w:tcW w:w="1177" w:type="dxa"/>
                        <w:vAlign w:val="bottom"/>
                      </w:tcPr>
                      <w:p w14:paraId="0D97DCAA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145 000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D97DCAB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132 273</w:t>
                        </w:r>
                      </w:p>
                    </w:tc>
                  </w:tr>
                  <w:tr w:rsidR="000C6B18" w14:paraId="0D97DCB1" w14:textId="77777777" w:rsidTr="00A34B7D">
                    <w:tc>
                      <w:tcPr>
                        <w:tcW w:w="534" w:type="dxa"/>
                      </w:tcPr>
                      <w:p w14:paraId="0D97DCAD" w14:textId="77777777" w:rsidR="000C6B18" w:rsidRPr="000C6B18" w:rsidRDefault="000C6B1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  <w:vAlign w:val="bottom"/>
                      </w:tcPr>
                      <w:p w14:paraId="0D97DCAE" w14:textId="77777777" w:rsidR="000C6B18" w:rsidRPr="000C6B18" w:rsidRDefault="000C6B18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využívajúcich výsledky projektu po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ukončení jeho realizácie</w:t>
                        </w:r>
                      </w:p>
                    </w:tc>
                    <w:tc>
                      <w:tcPr>
                        <w:tcW w:w="1177" w:type="dxa"/>
                        <w:vAlign w:val="bottom"/>
                      </w:tcPr>
                      <w:p w14:paraId="0D97DCAF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1 820</w:t>
                        </w:r>
                      </w:p>
                    </w:tc>
                    <w:tc>
                      <w:tcPr>
                        <w:tcW w:w="1064" w:type="dxa"/>
                        <w:vAlign w:val="bottom"/>
                      </w:tcPr>
                      <w:p w14:paraId="0D97DCB0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770</w:t>
                        </w:r>
                      </w:p>
                    </w:tc>
                  </w:tr>
                  <w:tr w:rsidR="000C6B18" w14:paraId="0D97DCB6" w14:textId="77777777" w:rsidTr="00E70A99">
                    <w:tc>
                      <w:tcPr>
                        <w:tcW w:w="534" w:type="dxa"/>
                      </w:tcPr>
                      <w:p w14:paraId="0D97DCB2" w14:textId="77777777" w:rsidR="000C6B18" w:rsidRPr="000C6B18" w:rsidRDefault="000C6B18" w:rsidP="00E70A99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0D97DCB3" w14:textId="77777777" w:rsidR="000C6B18" w:rsidRPr="000C6B18" w:rsidRDefault="000C6B18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zamestnancov, ktorí využívajú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D97DCB4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9 100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D97DCB5" w14:textId="77777777" w:rsidR="000C6B18" w:rsidRPr="000C6B18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7 950</w:t>
                        </w:r>
                      </w:p>
                    </w:tc>
                  </w:tr>
                </w:tbl>
                <w:p w14:paraId="0D97DCB7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D97DC4D">
          <v:shape id="Textové pole 2" o:spid="_x0000_s1275" type="#_x0000_t202" style="position:absolute;margin-left:129.25pt;margin-top:5.75pt;width:338.5pt;height:59.7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D97DCB8" w14:textId="52221266" w:rsidR="000C6B18" w:rsidRPr="000C6B18" w:rsidRDefault="000C6B18" w:rsidP="000C6B18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0C6B18">
                    <w:rPr>
                      <w:sz w:val="18"/>
                      <w:szCs w:val="18"/>
                      <w:lang w:val="sk-SK"/>
                    </w:rPr>
                    <w:t>Monitorovanie úrovne vedomostí, zručností a kľúčových kompetencií žiakov, sledovanie trendov kvality škôl.</w:t>
                  </w:r>
                  <w:bookmarkStart w:id="0" w:name="_GoBack"/>
                  <w:bookmarkEnd w:id="0"/>
                </w:p>
                <w:p w14:paraId="0D97DCB9" w14:textId="77777777" w:rsidR="00470458" w:rsidRPr="00A35379" w:rsidRDefault="000C6B18" w:rsidP="000C6B18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0C6B18">
                    <w:rPr>
                      <w:sz w:val="18"/>
                      <w:szCs w:val="18"/>
                      <w:lang w:val="sk-SK"/>
                    </w:rPr>
                    <w:t>Systém národných meraní vývoja vzdelávania na ZŠ a SŠ v kontexte reformy vzdelávania</w:t>
                  </w:r>
                  <w:r w:rsidR="009A3D27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0D97DCBA" w14:textId="77777777" w:rsidR="00A35379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0D97DC4E">
          <v:shape id="Text Box 71" o:spid="_x0000_s1132" type="#_x0000_t202" style="position:absolute;margin-left:6.75pt;margin-top:6.8pt;width:95.9pt;height:121.3pt;z-index:251746304;visibility:visible;mso-width-relative:margin;mso-height-relative:margin" o:regroupid="5">
            <v:textbox style="mso-next-textbox:#Text Box 71">
              <w:txbxContent>
                <w:p w14:paraId="0D97DCBB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0D97DCBC" w14:textId="77777777" w:rsidR="00470458" w:rsidRPr="00476B6F" w:rsidRDefault="000C6B1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0C6B1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25 648 557,27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="00470458"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EUR</w:t>
                  </w:r>
                </w:p>
                <w:p w14:paraId="0D97DCBD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0D97DCBE" w14:textId="77777777" w:rsidR="00470458" w:rsidRPr="00476B6F" w:rsidRDefault="000C6B1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0C6B18">
                    <w:rPr>
                      <w:bCs/>
                      <w:sz w:val="18"/>
                      <w:szCs w:val="18"/>
                      <w:lang w:val="sk-SK"/>
                    </w:rPr>
                    <w:t>22</w:t>
                  </w:r>
                  <w:r w:rsidR="001E1CB0">
                    <w:rPr>
                      <w:bCs/>
                      <w:sz w:val="18"/>
                      <w:szCs w:val="18"/>
                      <w:lang w:val="sk-SK"/>
                    </w:rPr>
                    <w:t> </w:t>
                  </w:r>
                  <w:r w:rsidRPr="000C6B18">
                    <w:rPr>
                      <w:bCs/>
                      <w:sz w:val="18"/>
                      <w:szCs w:val="18"/>
                      <w:lang w:val="sk-SK"/>
                    </w:rPr>
                    <w:t>454</w:t>
                  </w:r>
                  <w:r w:rsidR="001E1CB0"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0C6B18">
                    <w:rPr>
                      <w:bCs/>
                      <w:sz w:val="18"/>
                      <w:szCs w:val="18"/>
                      <w:lang w:val="sk-SK"/>
                    </w:rPr>
                    <w:t>528,97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0D97DCBF" w14:textId="77777777" w:rsidR="00470458" w:rsidRPr="00476B6F" w:rsidRDefault="000C6B1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0C6B18">
                    <w:rPr>
                      <w:bCs/>
                      <w:sz w:val="18"/>
                      <w:szCs w:val="18"/>
                      <w:lang w:val="sk-SK"/>
                    </w:rPr>
                    <w:t>87,55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>%)</w:t>
                  </w:r>
                </w:p>
                <w:p w14:paraId="0D97DCC0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0D97DCC1" w14:textId="77777777" w:rsidR="00470458" w:rsidRPr="0055256E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1/</w:t>
                  </w:r>
                  <w:proofErr w:type="gramStart"/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 w:rsidR="000C6B18">
                    <w:rPr>
                      <w:bCs/>
                      <w:sz w:val="18"/>
                      <w:szCs w:val="18"/>
                      <w:lang w:val="sk-SK"/>
                    </w:rPr>
                    <w:t>13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12</w:t>
                  </w:r>
                  <w:proofErr w:type="gramEnd"/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/20</w:t>
                  </w:r>
                  <w:r w:rsidR="000C6B18">
                    <w:rPr>
                      <w:bCs/>
                      <w:sz w:val="18"/>
                      <w:szCs w:val="18"/>
                      <w:lang w:val="sk-SK"/>
                    </w:rPr>
                    <w:t>15</w:t>
                  </w:r>
                </w:p>
                <w:p w14:paraId="0D97DCC2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D97DBAD" w14:textId="77777777" w:rsidR="00B90147" w:rsidRDefault="00B90147"/>
    <w:p w14:paraId="0D97DBE7" w14:textId="7EC5D3F8" w:rsidR="00F66DB9" w:rsidRPr="00F248D1" w:rsidRDefault="001E6EFB" w:rsidP="00F248D1">
      <w:r>
        <w:rPr>
          <w:noProof/>
          <w:lang w:eastAsia="cs-CZ"/>
        </w:rPr>
        <w:pict w14:anchorId="0D97DC48">
          <v:shape id="_x0000_s1274" type="#_x0000_t202" style="position:absolute;margin-left:142.4pt;margin-top:18.4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0D97DC86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 FAKTORY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4F">
          <v:shape id="_x0000_s1276" type="#_x0000_t202" style="position:absolute;margin-left:128.6pt;margin-top:43.75pt;width:338.5pt;height:49.2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0D97DCC3" w14:textId="09315E32" w:rsidR="00470458" w:rsidRDefault="008109FF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áujem pedagogických zamestnancov </w:t>
                  </w:r>
                  <w:r w:rsidR="009F33D5">
                    <w:rPr>
                      <w:sz w:val="18"/>
                      <w:szCs w:val="18"/>
                      <w:lang w:val="sk-SK"/>
                    </w:rPr>
                    <w:t>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 zavádzani</w:t>
                  </w:r>
                  <w:r w:rsidR="009F33D5">
                    <w:rPr>
                      <w:sz w:val="18"/>
                      <w:szCs w:val="18"/>
                      <w:lang w:val="sk-SK"/>
                    </w:rPr>
                    <w:t>e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inováci</w:t>
                  </w:r>
                  <w:r w:rsidR="009F33D5">
                    <w:rPr>
                      <w:sz w:val="18"/>
                      <w:szCs w:val="18"/>
                      <w:lang w:val="sk-SK"/>
                    </w:rPr>
                    <w:t>í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9F33D5">
                    <w:rPr>
                      <w:sz w:val="18"/>
                      <w:szCs w:val="18"/>
                      <w:lang w:val="sk-SK"/>
                    </w:rPr>
                    <w:t>do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vyučovac</w:t>
                  </w:r>
                  <w:r w:rsidR="009F33D5">
                    <w:rPr>
                      <w:sz w:val="18"/>
                      <w:szCs w:val="18"/>
                      <w:lang w:val="sk-SK"/>
                    </w:rPr>
                    <w:t>ieho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proces</w:t>
                  </w:r>
                  <w:r w:rsidR="009F33D5">
                    <w:rPr>
                      <w:sz w:val="18"/>
                      <w:szCs w:val="18"/>
                      <w:lang w:val="sk-SK"/>
                    </w:rPr>
                    <w:t>u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0D97DCC4" w14:textId="416F8FC0" w:rsidR="00A35379" w:rsidRPr="009C4DB1" w:rsidRDefault="008109FF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A35379" w:rsidRPr="00A35379">
                    <w:rPr>
                      <w:sz w:val="18"/>
                      <w:szCs w:val="18"/>
                      <w:lang w:val="sk-SK"/>
                    </w:rPr>
                    <w:t>áujem škôl o spoluprácu</w:t>
                  </w:r>
                </w:p>
                <w:p w14:paraId="0D97DCC5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Pr="001E6EFB">
        <w:rPr>
          <w:noProof/>
          <w:sz w:val="18"/>
          <w:szCs w:val="18"/>
          <w:lang w:val="sk-SK"/>
        </w:rPr>
        <w:drawing>
          <wp:inline distT="0" distB="0" distL="0" distR="0" wp14:anchorId="329A8915" wp14:editId="6D89B050">
            <wp:extent cx="4106545" cy="27495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545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sectPr w:rsidR="00F66DB9" w:rsidRPr="00F248D1" w:rsidSect="00F248D1">
      <w:pgSz w:w="23811" w:h="16838" w:orient="landscape" w:code="8"/>
      <w:pgMar w:top="1417" w:right="113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8401E5"/>
    <w:multiLevelType w:val="hybridMultilevel"/>
    <w:tmpl w:val="CD20E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9363E"/>
    <w:multiLevelType w:val="hybridMultilevel"/>
    <w:tmpl w:val="542EF1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30C4F"/>
    <w:rsid w:val="00044EFA"/>
    <w:rsid w:val="00045590"/>
    <w:rsid w:val="000561C9"/>
    <w:rsid w:val="000A6C02"/>
    <w:rsid w:val="000B3588"/>
    <w:rsid w:val="000B71D0"/>
    <w:rsid w:val="000C6B18"/>
    <w:rsid w:val="000E6408"/>
    <w:rsid w:val="000F1F9E"/>
    <w:rsid w:val="00116527"/>
    <w:rsid w:val="00121304"/>
    <w:rsid w:val="00122389"/>
    <w:rsid w:val="00130A25"/>
    <w:rsid w:val="0014430B"/>
    <w:rsid w:val="001728CB"/>
    <w:rsid w:val="001849E6"/>
    <w:rsid w:val="001A0E51"/>
    <w:rsid w:val="001A2997"/>
    <w:rsid w:val="001B5FE8"/>
    <w:rsid w:val="001C49F4"/>
    <w:rsid w:val="001E1CB0"/>
    <w:rsid w:val="001E6EFB"/>
    <w:rsid w:val="0021163E"/>
    <w:rsid w:val="00221855"/>
    <w:rsid w:val="00240C00"/>
    <w:rsid w:val="002A1BE3"/>
    <w:rsid w:val="002A7D2B"/>
    <w:rsid w:val="002C2ECE"/>
    <w:rsid w:val="002D2763"/>
    <w:rsid w:val="002F00DB"/>
    <w:rsid w:val="00312820"/>
    <w:rsid w:val="00331176"/>
    <w:rsid w:val="003332F7"/>
    <w:rsid w:val="003447C9"/>
    <w:rsid w:val="003602F2"/>
    <w:rsid w:val="0036771B"/>
    <w:rsid w:val="003C3DC7"/>
    <w:rsid w:val="003E4C9D"/>
    <w:rsid w:val="0040708D"/>
    <w:rsid w:val="004108F6"/>
    <w:rsid w:val="00420B01"/>
    <w:rsid w:val="00430024"/>
    <w:rsid w:val="00454840"/>
    <w:rsid w:val="00470458"/>
    <w:rsid w:val="00495C49"/>
    <w:rsid w:val="004B259E"/>
    <w:rsid w:val="004C741A"/>
    <w:rsid w:val="004C7745"/>
    <w:rsid w:val="004E5EF6"/>
    <w:rsid w:val="004F77FD"/>
    <w:rsid w:val="00524892"/>
    <w:rsid w:val="005412F8"/>
    <w:rsid w:val="00560003"/>
    <w:rsid w:val="00560ED0"/>
    <w:rsid w:val="005A0A41"/>
    <w:rsid w:val="005C11A0"/>
    <w:rsid w:val="005C3D1B"/>
    <w:rsid w:val="005D7FBF"/>
    <w:rsid w:val="005F7658"/>
    <w:rsid w:val="00611BE0"/>
    <w:rsid w:val="00611FA8"/>
    <w:rsid w:val="00632C31"/>
    <w:rsid w:val="00632E31"/>
    <w:rsid w:val="00634AF8"/>
    <w:rsid w:val="00643EF7"/>
    <w:rsid w:val="00655E47"/>
    <w:rsid w:val="006A3E9D"/>
    <w:rsid w:val="006A5836"/>
    <w:rsid w:val="006B069E"/>
    <w:rsid w:val="006C26CE"/>
    <w:rsid w:val="006D2462"/>
    <w:rsid w:val="006D6BE7"/>
    <w:rsid w:val="006E3A92"/>
    <w:rsid w:val="00714094"/>
    <w:rsid w:val="00715772"/>
    <w:rsid w:val="00724A93"/>
    <w:rsid w:val="00750CF3"/>
    <w:rsid w:val="007535FD"/>
    <w:rsid w:val="00764E64"/>
    <w:rsid w:val="00776042"/>
    <w:rsid w:val="00777CD5"/>
    <w:rsid w:val="00783B52"/>
    <w:rsid w:val="007922EA"/>
    <w:rsid w:val="007B20D4"/>
    <w:rsid w:val="007C4614"/>
    <w:rsid w:val="0080082F"/>
    <w:rsid w:val="008109FF"/>
    <w:rsid w:val="0088464C"/>
    <w:rsid w:val="008B082E"/>
    <w:rsid w:val="008D224E"/>
    <w:rsid w:val="008D5186"/>
    <w:rsid w:val="008E0610"/>
    <w:rsid w:val="008E300F"/>
    <w:rsid w:val="008F57C6"/>
    <w:rsid w:val="00925D4D"/>
    <w:rsid w:val="00926D75"/>
    <w:rsid w:val="00933D34"/>
    <w:rsid w:val="00952F6F"/>
    <w:rsid w:val="009629BE"/>
    <w:rsid w:val="00977AB1"/>
    <w:rsid w:val="00981600"/>
    <w:rsid w:val="009A06F7"/>
    <w:rsid w:val="009A3D27"/>
    <w:rsid w:val="009A7A04"/>
    <w:rsid w:val="009B1CFE"/>
    <w:rsid w:val="009D4205"/>
    <w:rsid w:val="009F33D5"/>
    <w:rsid w:val="00A26416"/>
    <w:rsid w:val="00A316B8"/>
    <w:rsid w:val="00A35379"/>
    <w:rsid w:val="00A362E5"/>
    <w:rsid w:val="00A95A1A"/>
    <w:rsid w:val="00A95D10"/>
    <w:rsid w:val="00AB753F"/>
    <w:rsid w:val="00AD2036"/>
    <w:rsid w:val="00B048AA"/>
    <w:rsid w:val="00B203C3"/>
    <w:rsid w:val="00B636EC"/>
    <w:rsid w:val="00B721DC"/>
    <w:rsid w:val="00B7320E"/>
    <w:rsid w:val="00B81A52"/>
    <w:rsid w:val="00B87C18"/>
    <w:rsid w:val="00B90147"/>
    <w:rsid w:val="00BA1717"/>
    <w:rsid w:val="00BC7175"/>
    <w:rsid w:val="00BF60D0"/>
    <w:rsid w:val="00C15683"/>
    <w:rsid w:val="00C341F1"/>
    <w:rsid w:val="00C44A13"/>
    <w:rsid w:val="00C46346"/>
    <w:rsid w:val="00C74E85"/>
    <w:rsid w:val="00C75FCA"/>
    <w:rsid w:val="00C876B0"/>
    <w:rsid w:val="00C97660"/>
    <w:rsid w:val="00CA7AA6"/>
    <w:rsid w:val="00CB471D"/>
    <w:rsid w:val="00CD5087"/>
    <w:rsid w:val="00CD6527"/>
    <w:rsid w:val="00CE3E12"/>
    <w:rsid w:val="00CE6D72"/>
    <w:rsid w:val="00CE760A"/>
    <w:rsid w:val="00D1299E"/>
    <w:rsid w:val="00D21C89"/>
    <w:rsid w:val="00D406C5"/>
    <w:rsid w:val="00D55249"/>
    <w:rsid w:val="00D61FF7"/>
    <w:rsid w:val="00DB1AA8"/>
    <w:rsid w:val="00DC3852"/>
    <w:rsid w:val="00DC62A2"/>
    <w:rsid w:val="00DD4AD1"/>
    <w:rsid w:val="00DE1EB6"/>
    <w:rsid w:val="00E35118"/>
    <w:rsid w:val="00E70A99"/>
    <w:rsid w:val="00EC01CF"/>
    <w:rsid w:val="00EC5A04"/>
    <w:rsid w:val="00ED1133"/>
    <w:rsid w:val="00EF1482"/>
    <w:rsid w:val="00F14C14"/>
    <w:rsid w:val="00F248D1"/>
    <w:rsid w:val="00F36F36"/>
    <w:rsid w:val="00F40A55"/>
    <w:rsid w:val="00F54537"/>
    <w:rsid w:val="00F66DB9"/>
    <w:rsid w:val="00F6772F"/>
    <w:rsid w:val="00F70B4B"/>
    <w:rsid w:val="00F738F3"/>
    <w:rsid w:val="00FC1981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8">
      <o:colormenu v:ext="edit" fillcolor="#ffc000" strokecolor="red"/>
    </o:shapedefaults>
    <o:shapelayout v:ext="edit">
      <o:idmap v:ext="edit" data="1"/>
      <o:rules v:ext="edit">
        <o:r id="V:Rule40" type="connector" idref="#_x0000_s1306"/>
        <o:r id="V:Rule41" type="connector" idref="#_x0000_s1313"/>
        <o:r id="V:Rule42" type="connector" idref="#_x0000_s1322"/>
        <o:r id="V:Rule43" type="connector" idref="#_x0000_s1311"/>
        <o:r id="V:Rule44" type="connector" idref="#_x0000_s1294"/>
        <o:r id="V:Rule45" type="connector" idref="#_x0000_s1303"/>
        <o:r id="V:Rule46" type="connector" idref="#_x0000_s1310"/>
        <o:r id="V:Rule47" type="connector" idref="#_x0000_s1264"/>
        <o:r id="V:Rule48" type="connector" idref="#_x0000_s1320"/>
        <o:r id="V:Rule49" type="connector" idref="#_x0000_s1326"/>
        <o:r id="V:Rule50" type="connector" idref="#_x0000_s1280"/>
        <o:r id="V:Rule51" type="connector" idref="#_x0000_s1308"/>
        <o:r id="V:Rule52" type="connector" idref="#_x0000_s1307"/>
        <o:r id="V:Rule53" type="connector" idref="#_x0000_s1324"/>
        <o:r id="V:Rule54" type="connector" idref="#_x0000_s1318"/>
        <o:r id="V:Rule55" type="connector" idref="#_x0000_s1270"/>
        <o:r id="V:Rule56" type="connector" idref="#_x0000_s1323"/>
        <o:r id="V:Rule57" type="connector" idref="#_x0000_s1301"/>
        <o:r id="V:Rule58" type="connector" idref="#_x0000_s1305"/>
        <o:r id="V:Rule59" type="connector" idref="#_x0000_s1296"/>
        <o:r id="V:Rule60" type="connector" idref="#_x0000_s1316"/>
        <o:r id="V:Rule61" type="connector" idref="#_x0000_s1295"/>
        <o:r id="V:Rule62" type="connector" idref="#_x0000_s1297"/>
        <o:r id="V:Rule63" type="connector" idref="#_x0000_s1319"/>
        <o:r id="V:Rule64" type="connector" idref="#_x0000_s1300"/>
        <o:r id="V:Rule65" type="connector" idref="#_x0000_s1304"/>
        <o:r id="V:Rule66" type="connector" idref="#_x0000_s1293"/>
        <o:r id="V:Rule67" type="connector" idref="#_x0000_s1317"/>
        <o:r id="V:Rule68" type="connector" idref="#_x0000_s1298"/>
        <o:r id="V:Rule69" type="connector" idref="#_x0000_s1261"/>
        <o:r id="V:Rule70" type="connector" idref="#_x0000_s1309"/>
        <o:r id="V:Rule71" type="connector" idref="#_x0000_s1266"/>
        <o:r id="V:Rule72" type="connector" idref="#_x0000_s1315"/>
        <o:r id="V:Rule73" type="connector" idref="#_x0000_s1299"/>
        <o:r id="V:Rule74" type="connector" idref="#_x0000_s1302"/>
        <o:r id="V:Rule75" type="connector" idref="#_x0000_s1229"/>
        <o:r id="V:Rule76" type="connector" idref="#_x0000_s1312"/>
        <o:r id="V:Rule77" type="connector" idref="#_x0000_s1314"/>
        <o:r id="V:Rule78" type="connector" idref="#_x0000_s1321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0D97DB96"/>
  <w15:docId w15:val="{97F2A521-30D4-43A6-86F9-5882859CD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4C2202-66CB-4F26-ADAB-E5089E1F43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D190C3-1A33-4C42-8132-AAF63E5BA7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E5ED4BE-7109-45F7-9B85-BA19B7F03082}"/>
</file>

<file path=customXml/itemProps4.xml><?xml version="1.0" encoding="utf-8"?>
<ds:datastoreItem xmlns:ds="http://schemas.openxmlformats.org/officeDocument/2006/customXml" ds:itemID="{3763FD39-47E6-485A-B422-BFBB1954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11</cp:revision>
  <cp:lastPrinted>2020-02-03T10:33:00Z</cp:lastPrinted>
  <dcterms:created xsi:type="dcterms:W3CDTF">2020-03-17T21:05:00Z</dcterms:created>
  <dcterms:modified xsi:type="dcterms:W3CDTF">2020-03-31T18:07:00Z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