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08CF" w14:textId="5EC5AB6C" w:rsidR="00A266A7" w:rsidRPr="00FF6CC0" w:rsidRDefault="00093341" w:rsidP="00A266A7">
      <w:pPr>
        <w:rPr>
          <w:rFonts w:cstheme="minorHAnsi"/>
          <w:b/>
          <w:lang w:val="sk-SK"/>
        </w:rPr>
      </w:pPr>
      <w:r>
        <w:rPr>
          <w:rFonts w:cstheme="minorHAnsi"/>
          <w:b/>
          <w:noProof/>
          <w:lang w:eastAsia="cs-CZ"/>
        </w:rPr>
        <w:pict w14:anchorId="7D0A090C">
          <v:roundrect id="_x0000_s1190" style="position:absolute;margin-left:300.25pt;margin-top:19.9pt;width:271.65pt;height:600.45pt;z-index:251658277" arcsize="1984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9" type="#_x0000_t32" style="position:absolute;margin-left:935.65pt;margin-top:20.7pt;width:.75pt;height:599.65pt;z-index:251658279" o:connectortype="straight" strokecolor="#c00000" strokeweight="3pt"/>
        </w:pict>
      </w:r>
      <w:r>
        <w:rPr>
          <w:rFonts w:cstheme="minorHAnsi"/>
          <w:b/>
          <w:noProof/>
          <w:lang w:eastAsia="cs-CZ"/>
        </w:rPr>
        <w:pict w14:anchorId="7D0A0905">
          <v:shape id="_x0000_s1320" type="#_x0000_t32" style="position:absolute;margin-left:286.9pt;margin-top:22.2pt;width:0;height:754.2pt;z-index:251658280" o:connectortype="straight" strokecolor="#c00000" strokeweight="3pt"/>
        </w:pict>
      </w:r>
      <w:r>
        <w:rPr>
          <w:rFonts w:cstheme="minorHAnsi"/>
          <w:b/>
          <w:noProof/>
          <w:lang w:eastAsia="cs-CZ"/>
        </w:rPr>
        <w:pict w14:anchorId="7D0A090A">
          <v:roundrect id="_x0000_s1191" style="position:absolute;margin-left:952.15pt;margin-top:19.9pt;width:99.75pt;height:600.45pt;z-index:251658278" arcsize="4894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D">
          <v:roundrect id="_x0000_s1189" style="position:absolute;margin-left:598.65pt;margin-top:19.9pt;width:327pt;height:600.45pt;z-index:251658276" arcsize="1441f" filled="f" strokecolor="black [3213]" strokeweight="1.5pt"/>
        </w:pict>
      </w:r>
      <w:r>
        <w:rPr>
          <w:rFonts w:cstheme="minorHAnsi"/>
          <w:noProof/>
          <w:lang w:eastAsia="cs-CZ"/>
        </w:rPr>
        <w:pict w14:anchorId="7D0A0908">
          <v:shapetype id="_x0000_t202" coordsize="21600,21600" o:spt="202" path="m,l,21600r21600,l21600,xe">
            <v:stroke joinstyle="miter"/>
            <v:path gradientshapeok="t" o:connecttype="rect"/>
          </v:shapetype>
          <v:shape id="_x0000_s1196" type="#_x0000_t202" style="position:absolute;margin-left:3.4pt;margin-top:19.9pt;width:270.75pt;height:72.9pt;z-index:251658283" fillcolor="#9bbb59 [3206]">
            <v:textbox style="mso-next-textbox:#_x0000_s1196">
              <w:txbxContent>
                <w:p w14:paraId="7D0A096E" w14:textId="77777777" w:rsidR="0091544D" w:rsidRPr="00FF6CC0" w:rsidRDefault="0091544D" w:rsidP="00841138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FF6CC0">
                    <w:rPr>
                      <w:b/>
                      <w:lang w:val="sk-SK"/>
                    </w:rPr>
                    <w:t>OPERAČNÝ PROGRAM VZDELÁVANIE</w:t>
                  </w:r>
                </w:p>
                <w:p w14:paraId="7D0A096F" w14:textId="2DB63FB2" w:rsidR="0091544D" w:rsidRPr="00FF6CC0" w:rsidRDefault="0091544D" w:rsidP="00841138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FF6CC0">
                    <w:rPr>
                      <w:b/>
                      <w:lang w:val="sk-SK"/>
                    </w:rPr>
                    <w:t xml:space="preserve">Prioritná os </w:t>
                  </w:r>
                  <w:r w:rsidR="003559FD">
                    <w:rPr>
                      <w:b/>
                      <w:lang w:val="sk-SK"/>
                    </w:rPr>
                    <w:t>2</w:t>
                  </w:r>
                  <w:r w:rsidRPr="00FF6CC0">
                    <w:rPr>
                      <w:lang w:val="sk-SK"/>
                    </w:rPr>
                    <w:t xml:space="preserve"> </w:t>
                  </w:r>
                  <w:r w:rsidR="003559FD">
                    <w:rPr>
                      <w:lang w:val="sk-SK"/>
                    </w:rPr>
                    <w:t>Ďalšie vzdelávanie ako nástroj rozvoja ľudských zdrojov</w:t>
                  </w:r>
                </w:p>
                <w:p w14:paraId="7D0A0970" w14:textId="57600A8D" w:rsidR="0091544D" w:rsidRPr="00FF6CC0" w:rsidRDefault="0091544D" w:rsidP="00843CB0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FF6CC0">
                    <w:rPr>
                      <w:b/>
                      <w:lang w:val="sk-SK"/>
                    </w:rPr>
                    <w:t xml:space="preserve">Opatrenie </w:t>
                  </w:r>
                  <w:r w:rsidR="003C6302">
                    <w:rPr>
                      <w:b/>
                      <w:lang w:val="sk-SK"/>
                    </w:rPr>
                    <w:t>2</w:t>
                  </w:r>
                  <w:r w:rsidRPr="00FF6CC0">
                    <w:rPr>
                      <w:b/>
                      <w:lang w:val="sk-SK"/>
                    </w:rPr>
                    <w:t>.</w:t>
                  </w:r>
                  <w:r w:rsidR="00DE48DB">
                    <w:rPr>
                      <w:b/>
                      <w:lang w:val="sk-SK"/>
                    </w:rPr>
                    <w:t>1</w:t>
                  </w:r>
                  <w:r w:rsidRPr="00FF6CC0">
                    <w:rPr>
                      <w:lang w:val="sk-SK"/>
                    </w:rPr>
                    <w:t xml:space="preserve"> </w:t>
                  </w:r>
                  <w:r w:rsidR="003559FD">
                    <w:rPr>
                      <w:lang w:val="sk-SK"/>
                    </w:rPr>
                    <w:t>Podpora ďalšieho vzdelávania</w:t>
                  </w:r>
                </w:p>
              </w:txbxContent>
            </v:textbox>
          </v:shape>
        </w:pict>
      </w:r>
      <w:r w:rsidR="00725985" w:rsidRPr="00FF6CC0">
        <w:rPr>
          <w:rFonts w:cstheme="minorHAnsi"/>
          <w:b/>
          <w:noProof/>
          <w:lang w:val="sk-SK"/>
        </w:rPr>
        <w:t>Teória zmeny</w:t>
      </w:r>
      <w:r w:rsidR="00A266A7" w:rsidRPr="00FF6CC0">
        <w:rPr>
          <w:rFonts w:cstheme="minorHAnsi"/>
          <w:b/>
          <w:lang w:val="sk-SK"/>
        </w:rPr>
        <w:t xml:space="preserve"> opat</w:t>
      </w:r>
      <w:r w:rsidR="00CF2D22" w:rsidRPr="00FF6CC0">
        <w:rPr>
          <w:rFonts w:cstheme="minorHAnsi"/>
          <w:b/>
          <w:lang w:val="sk-SK"/>
        </w:rPr>
        <w:t>renia</w:t>
      </w:r>
      <w:r w:rsidR="00A266A7" w:rsidRPr="00FF6CC0">
        <w:rPr>
          <w:rFonts w:cstheme="minorHAnsi"/>
          <w:b/>
          <w:lang w:val="sk-SK"/>
        </w:rPr>
        <w:t xml:space="preserve"> </w:t>
      </w:r>
      <w:r w:rsidR="003559FD">
        <w:rPr>
          <w:rFonts w:cstheme="minorHAnsi"/>
          <w:b/>
          <w:lang w:val="sk-SK"/>
        </w:rPr>
        <w:t>2</w:t>
      </w:r>
      <w:r w:rsidR="00A266A7" w:rsidRPr="00FF6CC0">
        <w:rPr>
          <w:rFonts w:cstheme="minorHAnsi"/>
          <w:b/>
          <w:lang w:val="sk-SK"/>
        </w:rPr>
        <w:t>.</w:t>
      </w:r>
      <w:r w:rsidR="003559FD">
        <w:rPr>
          <w:rFonts w:cstheme="minorHAnsi"/>
          <w:b/>
          <w:lang w:val="sk-SK"/>
        </w:rPr>
        <w:t>1</w:t>
      </w:r>
      <w:r w:rsidR="00A266A7" w:rsidRPr="00FF6CC0">
        <w:rPr>
          <w:rFonts w:cstheme="minorHAnsi"/>
          <w:b/>
          <w:lang w:val="sk-SK"/>
        </w:rPr>
        <w:t xml:space="preserve"> OPV</w:t>
      </w:r>
    </w:p>
    <w:p w14:paraId="7D0A08D0" w14:textId="30087C59" w:rsidR="00A266A7" w:rsidRDefault="0069391A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0E">
          <v:shape id="_x0000_s1172" type="#_x0000_t202" style="position:absolute;margin-left:383.45pt;margin-top:.3pt;width:184.25pt;height:22.7pt;z-index:251658264" fillcolor="#f79646 [3209]">
            <v:textbox style="mso-next-textbox:#_x0000_s1172">
              <w:txbxContent>
                <w:p w14:paraId="7D0A0972" w14:textId="77777777" w:rsidR="0091544D" w:rsidRPr="002E6F72" w:rsidRDefault="0091544D" w:rsidP="003F4CFD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Výsledky</w:t>
                  </w:r>
                </w:p>
              </w:txbxContent>
            </v:textbox>
          </v:shape>
        </w:pict>
      </w:r>
      <w:r w:rsidR="00093341">
        <w:rPr>
          <w:rFonts w:cstheme="minorHAnsi"/>
          <w:b/>
          <w:noProof/>
          <w:lang w:eastAsia="cs-CZ"/>
        </w:rPr>
        <w:pict w14:anchorId="7D0A0907">
          <v:shape id="_x0000_s1084" type="#_x0000_t202" style="position:absolute;margin-left:311.6pt;margin-top:.3pt;width:36.85pt;height:586pt;z-index:251658241" fillcolor="#f79646 [3209]">
            <v:textbox style="layout-flow:vertical;mso-layout-flow-alt:bottom-to-top;mso-next-textbox:#_x0000_s1084">
              <w:txbxContent>
                <w:p w14:paraId="7D0A096D" w14:textId="6B9D1757" w:rsidR="0091544D" w:rsidRDefault="0091544D" w:rsidP="009F12CF">
                  <w:pPr>
                    <w:spacing w:after="0" w:line="240" w:lineRule="auto"/>
                    <w:jc w:val="center"/>
                  </w:pPr>
                  <w:r>
                    <w:rPr>
                      <w:b/>
                    </w:rPr>
                    <w:t xml:space="preserve">                                                                                                                                    </w:t>
                  </w:r>
                  <w:r w:rsidRPr="000F37C1">
                    <w:rPr>
                      <w:b/>
                      <w:lang w:val="sk-SK"/>
                    </w:rPr>
                    <w:t>Výstupy -  podpo</w:t>
                  </w:r>
                  <w:r w:rsidR="000F37C1" w:rsidRPr="000F37C1">
                    <w:rPr>
                      <w:b/>
                      <w:lang w:val="sk-SK"/>
                    </w:rPr>
                    <w:t>r</w:t>
                  </w:r>
                  <w:r w:rsidRPr="000F37C1">
                    <w:rPr>
                      <w:b/>
                      <w:lang w:val="sk-SK"/>
                    </w:rPr>
                    <w:t>ené projekt</w:t>
                  </w:r>
                  <w:r w:rsidRPr="00BE3923">
                    <w:rPr>
                      <w:b/>
                    </w:rPr>
                    <w:t>y</w:t>
                  </w:r>
                </w:p>
              </w:txbxContent>
            </v:textbox>
          </v:shape>
        </w:pict>
      </w:r>
      <w:r w:rsidR="00093341">
        <w:rPr>
          <w:rFonts w:cstheme="minorHAnsi"/>
          <w:b/>
          <w:noProof/>
          <w:lang w:eastAsia="cs-CZ"/>
        </w:rPr>
        <w:pict w14:anchorId="7D0A090F">
          <v:shape id="_x0000_s1085" type="#_x0000_t202" style="position:absolute;margin-left:598.65pt;margin-top:.3pt;width:155.9pt;height:22.7pt;z-index:251658242" fillcolor="#c4bc96 [2414]">
            <v:textbox style="mso-next-textbox:#_x0000_s1085">
              <w:txbxContent>
                <w:p w14:paraId="7D0A0973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  <w:spacing w:val="-20"/>
                    </w:rPr>
                  </w:pPr>
                  <w:r w:rsidRPr="002E6F72">
                    <w:rPr>
                      <w:b/>
                      <w:spacing w:val="-20"/>
                    </w:rPr>
                    <w:t>Krátkodobé (okamžité) dopady</w:t>
                  </w:r>
                </w:p>
              </w:txbxContent>
            </v:textbox>
          </v:shape>
        </w:pict>
      </w:r>
      <w:r w:rsidR="00093341">
        <w:rPr>
          <w:rFonts w:cstheme="minorHAnsi"/>
          <w:b/>
          <w:noProof/>
          <w:lang w:eastAsia="cs-CZ"/>
        </w:rPr>
        <w:pict w14:anchorId="7D0A0910">
          <v:shape id="_x0000_s1086" type="#_x0000_t202" style="position:absolute;margin-left:768.6pt;margin-top:.3pt;width:155.9pt;height:22.7pt;z-index:251658243" fillcolor="#95b3d7 [1940]">
            <v:textbox style="mso-next-textbox:#_x0000_s1086">
              <w:txbxContent>
                <w:p w14:paraId="7D0A0974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2E6F72">
                    <w:rPr>
                      <w:b/>
                      <w:lang w:val="sk-SK"/>
                    </w:rPr>
                    <w:t>Dlhodobé dopady</w:t>
                  </w:r>
                </w:p>
              </w:txbxContent>
            </v:textbox>
          </v:shape>
        </w:pict>
      </w:r>
      <w:r w:rsidR="00093341">
        <w:rPr>
          <w:rFonts w:cstheme="minorHAnsi"/>
          <w:noProof/>
          <w:lang w:eastAsia="cs-CZ"/>
        </w:rPr>
        <w:pict w14:anchorId="7D0A090B">
          <v:shape id="_x0000_s1167" type="#_x0000_t202" style="position:absolute;margin-left:959.85pt;margin-top:.3pt;width:85.05pt;height:22.7pt;z-index:251658259" fillcolor="#b2a1c7 [1943]">
            <v:textbox style="mso-next-textbox:#_x0000_s1167">
              <w:txbxContent>
                <w:p w14:paraId="7D0A0971" w14:textId="77777777" w:rsidR="0091544D" w:rsidRPr="00C439E1" w:rsidRDefault="0091544D" w:rsidP="00582CC8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C439E1">
                    <w:rPr>
                      <w:b/>
                      <w:lang w:val="sk-SK"/>
                    </w:rPr>
                    <w:t>Ciele opatrenia</w:t>
                  </w:r>
                </w:p>
              </w:txbxContent>
            </v:textbox>
          </v:shape>
        </w:pict>
      </w:r>
    </w:p>
    <w:p w14:paraId="7D0A08D1" w14:textId="044951E0" w:rsidR="00A266A7" w:rsidRDefault="00296181" w:rsidP="009F12CF">
      <w:pPr>
        <w:jc w:val="center"/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2E0642A5">
          <v:shape id="_x0000_s1309" type="#_x0000_t32" style="position:absolute;left:0;text-align:left;margin-left:755.45pt;margin-top:21.1pt;width:36.55pt;height:99.35pt;z-index:25165834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A">
          <v:shape id="_x0000_s1303" type="#_x0000_t202" style="position:absolute;left:0;text-align:left;margin-left:599.55pt;margin-top:7.85pt;width:155.9pt;height:31.25pt;z-index:251658338" fillcolor="#ddd8c2 [2894]">
            <v:textbox style="mso-next-textbox:#_x0000_s1303">
              <w:txbxContent>
                <w:p w14:paraId="5691C63F" w14:textId="08FAAFF6" w:rsidR="00194668" w:rsidRPr="00CC0A07" w:rsidRDefault="00194668" w:rsidP="001946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Inovovaný obsah, </w:t>
                  </w:r>
                  <w:r w:rsidR="00CA7856">
                    <w:rPr>
                      <w:sz w:val="18"/>
                      <w:szCs w:val="18"/>
                      <w:lang w:val="sk-SK"/>
                    </w:rPr>
                    <w:t>formy a metódy ďalšieho vzdelávania</w:t>
                  </w:r>
                </w:p>
              </w:txbxContent>
            </v:textbox>
          </v:shape>
        </w:pict>
      </w:r>
      <w:r w:rsidR="00562506">
        <w:rPr>
          <w:rFonts w:cstheme="minorHAnsi"/>
          <w:b/>
          <w:noProof/>
          <w:lang w:eastAsia="cs-CZ"/>
        </w:rPr>
        <w:pict w14:anchorId="7D0A0917">
          <v:shape id="_x0000_s1176" type="#_x0000_t202" style="position:absolute;left:0;text-align:left;margin-left:383.45pt;margin-top:9pt;width:184.25pt;height:41.85pt;z-index:251658268" fillcolor="#fbd4b4 [1305]">
            <v:textbox style="mso-next-textbox:#_x0000_s1176">
              <w:txbxContent>
                <w:p w14:paraId="7D0A0977" w14:textId="7B695DD7" w:rsidR="0091544D" w:rsidRPr="00240C96" w:rsidRDefault="00194668" w:rsidP="005947F9">
                  <w:pPr>
                    <w:rPr>
                      <w:sz w:val="20"/>
                      <w:szCs w:val="16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Implementácia</w:t>
                  </w:r>
                  <w:r w:rsidR="0091544D" w:rsidRPr="00240C96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 w:rsidR="00A97B3A" w:rsidRPr="00240C96">
                    <w:rPr>
                      <w:sz w:val="16"/>
                      <w:szCs w:val="16"/>
                      <w:lang w:val="sk-SK"/>
                    </w:rPr>
                    <w:t>nových foriem vzdelávania s využitím informačných technológií</w:t>
                  </w:r>
                  <w:r w:rsidR="0051052E">
                    <w:rPr>
                      <w:sz w:val="16"/>
                      <w:szCs w:val="16"/>
                      <w:lang w:val="sk-SK"/>
                    </w:rPr>
                    <w:t xml:space="preserve"> (napríklad e-learning a dištančné vzdelávanie).</w:t>
                  </w:r>
                  <w:r w:rsidR="00A97B3A" w:rsidRPr="00240C96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</w:p>
              </w:txbxContent>
            </v:textbox>
          </v:shape>
        </w:pict>
      </w:r>
    </w:p>
    <w:p w14:paraId="7D0A08D2" w14:textId="1986B4FA" w:rsidR="00A266A7" w:rsidRDefault="00296181" w:rsidP="00A266A7">
      <w:pPr>
        <w:rPr>
          <w:rFonts w:cstheme="minorHAnsi"/>
          <w:b/>
        </w:rPr>
      </w:pP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25">
          <v:shape id="_x0000_s1321" type="#_x0000_t32" style="position:absolute;margin-left:567.7pt;margin-top:1.7pt;width:30.95pt;height:38.95pt;flip:y;z-index:25165830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A">
          <v:shape id="_x0000_s1146" type="#_x0000_t202" style="position:absolute;margin-left:599.55pt;margin-top:13.65pt;width:155.9pt;height:31.2pt;z-index:251658256" fillcolor="#ddd8c2 [2894]">
            <v:textbox style="mso-next-textbox:#_x0000_s1146">
              <w:txbxContent>
                <w:p w14:paraId="753930C6" w14:textId="6CF13697" w:rsidR="00327279" w:rsidRPr="00327279" w:rsidRDefault="00327279" w:rsidP="00327279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Zvýšený záujem </w:t>
                  </w:r>
                  <w:r w:rsidR="00D34964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širokej verejnosti</w:t>
                  </w:r>
                  <w:r w:rsidR="00FE3453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</w:t>
                  </w:r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o programy CŽV</w:t>
                  </w:r>
                </w:p>
                <w:p w14:paraId="7D0A0978" w14:textId="3B0145E3" w:rsidR="0091544D" w:rsidRPr="00CC0A07" w:rsidRDefault="0091544D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 w:rsidR="00481889">
        <w:rPr>
          <w:rFonts w:cstheme="minorHAnsi"/>
          <w:b/>
          <w:noProof/>
          <w:lang w:eastAsia="cs-CZ"/>
        </w:rPr>
        <w:pict w14:anchorId="7D0A0913">
          <v:shape id="_x0000_s1208" type="#_x0000_t32" style="position:absolute;margin-left:348pt;margin-top:13.95pt;width:34.25pt;height:95.05pt;flip:y;z-index:251658290" o:connectortype="straight">
            <v:stroke endarrow="block"/>
          </v:shape>
        </w:pict>
      </w:r>
      <w:r w:rsidR="00562506">
        <w:rPr>
          <w:rFonts w:cstheme="minorHAnsi"/>
          <w:b/>
          <w:noProof/>
          <w:lang w:eastAsia="cs-CZ"/>
        </w:rPr>
        <w:pict w14:anchorId="7D0A091E">
          <v:shape id="_x0000_s1175" type="#_x0000_t202" style="position:absolute;margin-left:383.45pt;margin-top:25.4pt;width:184.25pt;height:43.45pt;z-index:251658267" fillcolor="#fbd4b4 [1305]">
            <v:textbox style="mso-next-textbox:#_x0000_s1175">
              <w:txbxContent>
                <w:p w14:paraId="7D0A097B" w14:textId="5F3929B6" w:rsidR="0091544D" w:rsidRPr="00240C96" w:rsidRDefault="0051052E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Zavedenie inovovaných programov </w:t>
                  </w:r>
                  <w:r w:rsidR="00CE666A">
                    <w:rPr>
                      <w:sz w:val="16"/>
                      <w:szCs w:val="16"/>
                      <w:lang w:val="sk-SK"/>
                    </w:rPr>
                    <w:t>ďalšieho vzdelávania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vrátane otvoreného modulárneho </w:t>
                  </w:r>
                  <w:r w:rsidR="00C72F10">
                    <w:rPr>
                      <w:sz w:val="16"/>
                      <w:szCs w:val="16"/>
                      <w:lang w:val="sk-SK"/>
                    </w:rPr>
                    <w:t xml:space="preserve">systému ďalšieho </w:t>
                  </w:r>
                  <w:r>
                    <w:rPr>
                      <w:sz w:val="16"/>
                      <w:szCs w:val="16"/>
                      <w:lang w:val="sk-SK"/>
                    </w:rPr>
                    <w:t>vzdelávania</w:t>
                  </w:r>
                </w:p>
              </w:txbxContent>
            </v:textbox>
          </v:shape>
        </w:pict>
      </w:r>
      <w:r w:rsidR="00093341">
        <w:rPr>
          <w:rFonts w:cstheme="minorHAnsi"/>
          <w:b/>
          <w:noProof/>
          <w:lang w:eastAsia="cs-CZ"/>
        </w:rPr>
        <w:pict w14:anchorId="7D0A0925">
          <v:shape id="_x0000_s1257" type="#_x0000_t32" style="position:absolute;margin-left:567.25pt;margin-top:1.7pt;width:31.4pt;height:0;z-index:251658308" o:connectortype="straight">
            <v:stroke endarrow="block"/>
          </v:shape>
        </w:pict>
      </w:r>
    </w:p>
    <w:p w14:paraId="7D0A08D3" w14:textId="75A097F4" w:rsidR="00A266A7" w:rsidRPr="002003E6" w:rsidRDefault="00093341" w:rsidP="00A266A7">
      <w:pPr>
        <w:rPr>
          <w:rFonts w:cstheme="minorHAnsi"/>
          <w:b/>
        </w:rPr>
      </w:pPr>
      <w:r>
        <w:rPr>
          <w:rFonts w:cstheme="minorHAnsi"/>
          <w:noProof/>
        </w:rPr>
        <w:pict w14:anchorId="7D0A0925">
          <v:shape id="_x0000_s1265" type="#_x0000_t32" style="position:absolute;margin-left:755.45pt;margin-top:6.7pt;width:36.55pt;height:62.9pt;z-index:251658314" o:connectortype="straight">
            <v:stroke endarrow="block"/>
          </v:shape>
        </w:pict>
      </w:r>
      <w:r w:rsidR="00296181">
        <w:rPr>
          <w:rFonts w:cstheme="minorHAnsi"/>
          <w:b/>
          <w:noProof/>
          <w:lang w:eastAsia="cs-CZ"/>
        </w:rPr>
        <w:pict w14:anchorId="7D0A0925">
          <v:shape id="_x0000_s1259" type="#_x0000_t32" style="position:absolute;margin-left:567.7pt;margin-top:15.25pt;width:31.8pt;height:0;z-index:25165831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D">
          <v:roundrect id="_x0000_s1194" style="position:absolute;margin-left:3.4pt;margin-top:3.85pt;width:274.2pt;height:511.9pt;z-index:251658281" arcsize="1802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1B">
          <v:shape id="_x0000_s1083" type="#_x0000_t202" style="position:absolute;margin-left:175.1pt;margin-top:13.75pt;width:85.05pt;height:34pt;z-index:251658240;mso-width-relative:margin;mso-height-relative:margin" fillcolor="#9bbb59 [3206]">
            <v:textbox style="mso-next-textbox:#_x0000_s1083">
              <w:txbxContent>
                <w:p w14:paraId="7D0A0979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Podporované aktivity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7D0A0915">
          <v:shape id="_x0000_s1168" type="#_x0000_t202" style="position:absolute;margin-left:959.85pt;margin-top:3.85pt;width:85.05pt;height:96.4pt;z-index:251658260" fillcolor="#e5dfec [663]">
            <v:textbox style="mso-next-textbox:#_x0000_s1168">
              <w:txbxContent>
                <w:p w14:paraId="7D0A0975" w14:textId="6C9DCC71" w:rsidR="0091544D" w:rsidRPr="00327279" w:rsidRDefault="00240A34" w:rsidP="00982AB5">
                  <w:pPr>
                    <w:spacing w:after="0" w:line="240" w:lineRule="auto"/>
                    <w:rPr>
                      <w:sz w:val="20"/>
                      <w:szCs w:val="16"/>
                    </w:rPr>
                  </w:pPr>
                  <w:r w:rsidRPr="00327279">
                    <w:rPr>
                      <w:sz w:val="16"/>
                      <w:szCs w:val="16"/>
                      <w:lang w:val="sk-SK"/>
                    </w:rPr>
                    <w:t>Zvyšovať kvalitu programov a inštitúcií ďalšieho vzdelávania a posilniť systém kontroly kvality, podporovať inovácie v obsahu, formách a metódach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C">
          <v:shape id="_x0000_s1195" type="#_x0000_t202" style="position:absolute;margin-left:13.25pt;margin-top:13.75pt;width:152.9pt;height:34pt;z-index:251658282;mso-width-relative:margin;mso-height-relative:margin" fillcolor="#9bbb59 [3206]">
            <v:textbox style="mso-next-textbox:#_x0000_s1195">
              <w:txbxContent>
                <w:p w14:paraId="7D0A097A" w14:textId="77777777" w:rsidR="0091544D" w:rsidRPr="002E6F72" w:rsidRDefault="0091544D" w:rsidP="002E6F72">
                  <w:pPr>
                    <w:spacing w:before="120"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Kontext podpory</w:t>
                  </w:r>
                </w:p>
              </w:txbxContent>
            </v:textbox>
          </v:shape>
        </w:pict>
      </w:r>
    </w:p>
    <w:p w14:paraId="7D0A08D4" w14:textId="366ADE07" w:rsidR="001E2B01" w:rsidRDefault="00093341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207" type="#_x0000_t32" style="position:absolute;margin-left:348.45pt;margin-top:5.95pt;width:34.55pt;height:51.25pt;flip:y;z-index:25165828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2">
          <v:shape id="_x0000_s1314" type="#_x0000_t202" style="position:absolute;margin-left:599.55pt;margin-top:1.85pt;width:155.9pt;height:62.85pt;z-index:251658257" fillcolor="#ddd8c2 [2894]">
            <v:textbox style="mso-next-textbox:#_x0000_s1314">
              <w:txbxContent>
                <w:p w14:paraId="539494EF" w14:textId="438981D3" w:rsidR="00327279" w:rsidRPr="00327279" w:rsidRDefault="00CA7856" w:rsidP="00327279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C</w:t>
                  </w:r>
                  <w:r w:rsid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ertifikovaní </w:t>
                  </w:r>
                  <w:r w:rsidR="00327279"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lektori, tútori a organizační pracovníci poskytujú kvalitné služby</w:t>
                  </w:r>
                  <w:r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prostredníctvom certifikovaných vzdelávacích programov</w:t>
                  </w:r>
                </w:p>
                <w:p w14:paraId="3E931093" w14:textId="77777777" w:rsidR="00CC0A07" w:rsidRDefault="00CC0A07" w:rsidP="00CC0A07">
                  <w:pPr>
                    <w:rPr>
                      <w:sz w:val="18"/>
                      <w:szCs w:val="18"/>
                    </w:rPr>
                  </w:pPr>
                </w:p>
                <w:p w14:paraId="7D0A097D" w14:textId="77777777" w:rsidR="0091544D" w:rsidRPr="00CC3660" w:rsidRDefault="0091544D" w:rsidP="00AD79E4"/>
              </w:txbxContent>
            </v:textbox>
          </v:shape>
        </w:pict>
      </w:r>
    </w:p>
    <w:p w14:paraId="7D0A08D5" w14:textId="47258F65" w:rsidR="001E2B01" w:rsidRDefault="009022BC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D">
          <v:shape id="_x0000_s1173" type="#_x0000_t202" style="position:absolute;margin-left:383.45pt;margin-top:11.7pt;width:184.25pt;height:42.5pt;z-index:251658265" fillcolor="#fbd4b4 [1305]">
            <v:textbox style="mso-next-textbox:#_x0000_s1173">
              <w:txbxContent>
                <w:p w14:paraId="7D0A0987" w14:textId="7BEF57E3" w:rsidR="0091544D" w:rsidRPr="00240C96" w:rsidRDefault="00C72F10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Zavedenie</w:t>
                  </w:r>
                  <w:r w:rsidR="00CE666A">
                    <w:rPr>
                      <w:sz w:val="16"/>
                      <w:szCs w:val="16"/>
                      <w:lang w:val="sk-SK"/>
                    </w:rPr>
                    <w:t xml:space="preserve"> systém</w:t>
                  </w:r>
                  <w:r w:rsidR="000D5282">
                    <w:rPr>
                      <w:sz w:val="16"/>
                      <w:szCs w:val="16"/>
                      <w:lang w:val="sk-SK"/>
                    </w:rPr>
                    <w:t>u</w:t>
                  </w:r>
                  <w:r w:rsidR="00CE666A">
                    <w:rPr>
                      <w:sz w:val="16"/>
                      <w:szCs w:val="16"/>
                      <w:lang w:val="sk-SK"/>
                    </w:rPr>
                    <w:t xml:space="preserve"> certifikácie vzdelávacích programov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ďalšieho vzdelávania</w:t>
                  </w:r>
                  <w:r w:rsidR="00CE666A">
                    <w:rPr>
                      <w:sz w:val="16"/>
                      <w:szCs w:val="16"/>
                      <w:lang w:val="sk-SK"/>
                    </w:rPr>
                    <w:t>, lektorov, tútorov a organizačných zamestnancov</w:t>
                  </w:r>
                </w:p>
              </w:txbxContent>
            </v:textbox>
          </v:shape>
        </w:pict>
      </w:r>
    </w:p>
    <w:p w14:paraId="7D0A08D6" w14:textId="097EE5C9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4434AFB6">
          <v:shape id="_x0000_s1327" type="#_x0000_t202" style="position:absolute;margin-left:261.75pt;margin-top:5.1pt;width:47pt;height:25.5pt;z-index:251659370" stroked="f">
            <v:textbox style="mso-next-textbox:#_x0000_s1327">
              <w:txbxContent>
                <w:p w14:paraId="6E966DB4" w14:textId="1200B179" w:rsidR="00700A49" w:rsidRPr="00572160" w:rsidRDefault="00572160">
                  <w:pPr>
                    <w:rPr>
                      <w:b/>
                      <w:bCs/>
                    </w:rPr>
                  </w:pPr>
                  <w:r w:rsidRPr="00572160">
                    <w:rPr>
                      <w:rFonts w:cstheme="minorHAnsi"/>
                      <w:b/>
                      <w:bCs/>
                    </w:rPr>
                    <w:t>③</w:t>
                  </w:r>
                  <w:r w:rsidR="00481889">
                    <w:rPr>
                      <w:rFonts w:cstheme="minorHAnsi"/>
                      <w:b/>
                      <w:bCs/>
                    </w:rPr>
                    <w:t>④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8">
          <v:shape id="_x0000_s1117" type="#_x0000_t202" style="position:absolute;margin-left:175.1pt;margin-top:2.95pt;width:85.05pt;height:28.35pt;z-index:251658245;mso-width-relative:margin;mso-height-relative:margin" fillcolor="#d6e3bc [1302]">
            <v:textbox style="mso-next-textbox:#_x0000_s1117">
              <w:txbxContent>
                <w:p w14:paraId="4EE27D45" w14:textId="77777777" w:rsidR="00555626" w:rsidRPr="00555626" w:rsidRDefault="00555626" w:rsidP="00555626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  <w:r w:rsidRPr="00555626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Zvyšovanie kvality ďalšieho vzdelávania</w:t>
                  </w:r>
                </w:p>
                <w:p w14:paraId="7D0A0980" w14:textId="58C17A4F" w:rsidR="0091544D" w:rsidRPr="003A3328" w:rsidRDefault="0091544D" w:rsidP="00787684">
                  <w:pPr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  <w:lang w:eastAsia="cs-CZ"/>
        </w:rPr>
        <w:pict w14:anchorId="7D0A092C">
          <v:shape id="_x0000_s1197" type="#_x0000_t202" style="position:absolute;margin-left:13.25pt;margin-top:3.65pt;width:152.9pt;height:447.85pt;z-index:251658284" fillcolor="#d6e3bc [1302]">
            <v:textbox style="mso-next-textbox:#_x0000_s1197">
              <w:txbxContent>
                <w:p w14:paraId="7D0A0984" w14:textId="280BA032" w:rsidR="0091544D" w:rsidRPr="00FF6CC0" w:rsidRDefault="0091544D" w:rsidP="009F12CF">
                  <w:pPr>
                    <w:spacing w:after="12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FF6CC0">
                    <w:rPr>
                      <w:bCs/>
                      <w:sz w:val="20"/>
                      <w:szCs w:val="20"/>
                      <w:lang w:val="sk-SK"/>
                    </w:rPr>
                    <w:t xml:space="preserve">Cieľom prioritnej osi </w:t>
                  </w:r>
                  <w:r w:rsidR="00DE48DB">
                    <w:rPr>
                      <w:bCs/>
                      <w:sz w:val="20"/>
                      <w:szCs w:val="20"/>
                      <w:lang w:val="sk-SK"/>
                    </w:rPr>
                    <w:t>2</w:t>
                  </w:r>
                  <w:r w:rsidRPr="00FF6CC0">
                    <w:rPr>
                      <w:bCs/>
                      <w:sz w:val="20"/>
                      <w:szCs w:val="20"/>
                      <w:lang w:val="sk-SK"/>
                    </w:rPr>
                    <w:t xml:space="preserve"> </w:t>
                  </w:r>
                  <w:r w:rsidRPr="00FF6CC0">
                    <w:rPr>
                      <w:sz w:val="20"/>
                      <w:szCs w:val="20"/>
                      <w:lang w:val="sk-SK"/>
                    </w:rPr>
                    <w:t xml:space="preserve">je </w:t>
                  </w:r>
                  <w:r w:rsidRPr="00FF6CC0">
                    <w:rPr>
                      <w:b/>
                      <w:sz w:val="20"/>
                      <w:szCs w:val="20"/>
                      <w:lang w:val="sk-SK"/>
                    </w:rPr>
                    <w:t>„</w:t>
                  </w:r>
                  <w:r w:rsidR="003559FD">
                    <w:rPr>
                      <w:b/>
                      <w:sz w:val="20"/>
                      <w:szCs w:val="20"/>
                      <w:lang w:val="sk-SK"/>
                    </w:rPr>
                    <w:t>vytvoriť a rozvíjať efektívny systém celoživotného vzdelávania a celoživotného poradenstva zameran</w:t>
                  </w:r>
                  <w:r w:rsidR="0051052E">
                    <w:rPr>
                      <w:b/>
                      <w:sz w:val="20"/>
                      <w:szCs w:val="20"/>
                      <w:lang w:val="sk-SK"/>
                    </w:rPr>
                    <w:t>ého</w:t>
                  </w:r>
                  <w:r w:rsidR="003559FD">
                    <w:rPr>
                      <w:b/>
                      <w:sz w:val="20"/>
                      <w:szCs w:val="20"/>
                      <w:lang w:val="sk-SK"/>
                    </w:rPr>
                    <w:t xml:space="preserve"> na rozvíjanie kľúčových kompetencií, prehlbovanie a zvyšovanie kvalifikácií v súlade s aktuálnymi a perspektívnymi potrebami vedomostnej spoločnosti dostupné počas celého života pre všetkých občanov SR</w:t>
                  </w:r>
                  <w:r w:rsidRPr="00FF6CC0">
                    <w:rPr>
                      <w:b/>
                      <w:sz w:val="20"/>
                      <w:szCs w:val="20"/>
                      <w:lang w:val="sk-SK"/>
                    </w:rPr>
                    <w:t>“.</w:t>
                  </w:r>
                </w:p>
                <w:p w14:paraId="7D0A0985" w14:textId="684C0F80" w:rsidR="0091544D" w:rsidRPr="00FF6CC0" w:rsidRDefault="0091544D" w:rsidP="009F12CF">
                  <w:pPr>
                    <w:spacing w:after="120" w:line="240" w:lineRule="auto"/>
                    <w:rPr>
                      <w:b/>
                      <w:sz w:val="20"/>
                      <w:szCs w:val="20"/>
                      <w:lang w:val="sk-SK"/>
                    </w:rPr>
                  </w:pPr>
                  <w:r w:rsidRPr="00FF6CC0">
                    <w:rPr>
                      <w:sz w:val="20"/>
                      <w:szCs w:val="20"/>
                      <w:lang w:val="sk-SK"/>
                    </w:rPr>
                    <w:t xml:space="preserve">Cieľom opatrenia </w:t>
                  </w:r>
                  <w:r w:rsidR="00DE48DB">
                    <w:rPr>
                      <w:sz w:val="20"/>
                      <w:szCs w:val="20"/>
                      <w:lang w:val="sk-SK"/>
                    </w:rPr>
                    <w:t>2</w:t>
                  </w:r>
                  <w:r w:rsidRPr="00FF6CC0">
                    <w:rPr>
                      <w:sz w:val="20"/>
                      <w:szCs w:val="20"/>
                      <w:lang w:val="sk-SK"/>
                    </w:rPr>
                    <w:t>.</w:t>
                  </w:r>
                  <w:r w:rsidR="00DE48DB">
                    <w:rPr>
                      <w:sz w:val="20"/>
                      <w:szCs w:val="20"/>
                      <w:lang w:val="sk-SK"/>
                    </w:rPr>
                    <w:t>1</w:t>
                  </w:r>
                  <w:r w:rsidRPr="00FF6CC0">
                    <w:rPr>
                      <w:sz w:val="20"/>
                      <w:szCs w:val="20"/>
                      <w:lang w:val="sk-SK"/>
                    </w:rPr>
                    <w:t xml:space="preserve"> je </w:t>
                  </w:r>
                  <w:r w:rsidRPr="00FF6CC0">
                    <w:rPr>
                      <w:b/>
                      <w:sz w:val="20"/>
                      <w:szCs w:val="20"/>
                      <w:lang w:val="sk-SK"/>
                    </w:rPr>
                    <w:t>„</w:t>
                  </w:r>
                  <w:r w:rsidR="003559FD">
                    <w:rPr>
                      <w:b/>
                      <w:sz w:val="20"/>
                      <w:szCs w:val="20"/>
                      <w:lang w:val="sk-SK"/>
                    </w:rPr>
                    <w:t>podporiť zvyšovanie kvality ďalšieho vzdelávania s dôrazom na rozvoj kľúčových kompetencií, prehlbovanie a zvyšovanie kvalifikácií zamestnancov</w:t>
                  </w:r>
                  <w:r w:rsidRPr="00FF6CC0">
                    <w:rPr>
                      <w:b/>
                      <w:sz w:val="20"/>
                      <w:szCs w:val="20"/>
                      <w:lang w:val="sk-SK"/>
                    </w:rPr>
                    <w:t xml:space="preserve">“. </w:t>
                  </w:r>
                </w:p>
                <w:p w14:paraId="7D0A0986" w14:textId="61231058" w:rsidR="0091544D" w:rsidRPr="00FF6CC0" w:rsidRDefault="00843CB0" w:rsidP="009F12CF">
                  <w:pPr>
                    <w:spacing w:after="120" w:line="240" w:lineRule="auto"/>
                    <w:rPr>
                      <w:b/>
                      <w:i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i/>
                      <w:sz w:val="20"/>
                      <w:szCs w:val="20"/>
                      <w:lang w:val="sk-SK"/>
                    </w:rPr>
                    <w:t xml:space="preserve">Strategický cieľ sa bude napĺňať prostredníctvom </w:t>
                  </w:r>
                  <w:r w:rsidR="00950AB6">
                    <w:rPr>
                      <w:b/>
                      <w:i/>
                      <w:sz w:val="20"/>
                      <w:szCs w:val="20"/>
                      <w:lang w:val="sk-SK"/>
                    </w:rPr>
                    <w:t>participácie ekonomicky aktívneho obyvateľstva na programoch ďalšieho vzdelávania, rozvoj</w:t>
                  </w:r>
                  <w:r w:rsidR="003A595E">
                    <w:rPr>
                      <w:b/>
                      <w:i/>
                      <w:sz w:val="20"/>
                      <w:szCs w:val="20"/>
                      <w:lang w:val="sk-SK"/>
                    </w:rPr>
                    <w:t>a</w:t>
                  </w:r>
                  <w:r w:rsidR="00950AB6">
                    <w:rPr>
                      <w:b/>
                      <w:i/>
                      <w:sz w:val="20"/>
                      <w:szCs w:val="20"/>
                      <w:lang w:val="sk-SK"/>
                    </w:rPr>
                    <w:t xml:space="preserve"> kľúčových kompetencií, priebežné </w:t>
                  </w:r>
                  <w:r w:rsidR="00555626">
                    <w:rPr>
                      <w:b/>
                      <w:i/>
                      <w:sz w:val="20"/>
                      <w:szCs w:val="20"/>
                      <w:lang w:val="sk-SK"/>
                    </w:rPr>
                    <w:t>dopĺňanie kvalifikácií osôb na trhu práce, ako aj vytvorením systému kompatibility a priechodnosti medzi sektormi formálneho, neformálneho a informálneho vzdelávania.</w:t>
                  </w:r>
                </w:p>
              </w:txbxContent>
            </v:textbox>
          </v:shape>
        </w:pict>
      </w:r>
    </w:p>
    <w:p w14:paraId="7D0A08D7" w14:textId="0F99C132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323" type="#_x0000_t32" style="position:absolute;margin-left:925.7pt;margin-top:12.5pt;width:34.15pt;height:0;z-index:25165831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310" type="#_x0000_t32" style="position:absolute;margin-left:755.45pt;margin-top:3.85pt;width:14.35pt;height:0;z-index:251658343" o:connectortype="straight">
            <v:stroke endarrow="block"/>
          </v:shape>
        </w:pict>
      </w:r>
      <w:r w:rsidR="009022BC">
        <w:rPr>
          <w:rFonts w:cstheme="minorHAnsi"/>
          <w:b/>
          <w:noProof/>
          <w:lang w:eastAsia="cs-CZ"/>
        </w:rPr>
        <w:pict w14:anchorId="51ED693B">
          <v:shape id="_x0000_s1331" type="#_x0000_t32" style="position:absolute;margin-left:348.5pt;margin-top:6.8pt;width:34.95pt;height:50.4pt;flip:y;z-index:25166346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322" type="#_x0000_t32" style="position:absolute;margin-left:566.5pt;margin-top:1.85pt;width:33.05pt;height:0;z-index:251658345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6">
          <v:shape id="_x0000_s1198" type="#_x0000_t202" style="position:absolute;margin-left:769.8pt;margin-top:3.85pt;width:155.9pt;height:45.35pt;z-index:251658285" fillcolor="#dbe5f1 [660]">
            <v:textbox style="mso-next-textbox:#_x0000_s1198">
              <w:txbxContent>
                <w:p w14:paraId="6C6C39CD" w14:textId="2F0207BB" w:rsidR="00327279" w:rsidRPr="00327279" w:rsidRDefault="00327279" w:rsidP="00327279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Zvýšená kvalita programov a inštitúcií ďalšieho vzdelávania a posilnený systém kontroly kvality</w:t>
                  </w:r>
                </w:p>
                <w:p w14:paraId="7D0A0976" w14:textId="2682D65A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D8" w14:textId="7FD68845" w:rsidR="00EC573F" w:rsidRDefault="00637B0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3">
          <v:shape id="_x0000_s1149" type="#_x0000_t202" style="position:absolute;margin-left:599.45pt;margin-top:11pt;width:155.9pt;height:43.25pt;z-index:251658298" fillcolor="#ddd8c2 [2894]">
            <v:textbox style="mso-next-textbox:#_x0000_s1149">
              <w:txbxContent>
                <w:p w14:paraId="59D3E8E2" w14:textId="77777777" w:rsidR="00327279" w:rsidRPr="00327279" w:rsidRDefault="00327279" w:rsidP="00327279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Učiace sa regióny vytvárajú na mieru šité služby a projekty poskytovania CŽV a CŽP </w:t>
                  </w:r>
                </w:p>
                <w:p w14:paraId="7D0A097F" w14:textId="77777777" w:rsidR="0091544D" w:rsidRPr="00CC3660" w:rsidRDefault="0091544D" w:rsidP="00AD79E4"/>
              </w:txbxContent>
            </v:textbox>
          </v:shape>
        </w:pict>
      </w:r>
      <w:r w:rsidR="00093341">
        <w:rPr>
          <w:rFonts w:cstheme="minorHAnsi"/>
          <w:b/>
          <w:noProof/>
          <w:lang w:eastAsia="cs-CZ"/>
        </w:rPr>
        <w:pict w14:anchorId="7D0A0933">
          <v:shape id="_x0000_s1295" type="#_x0000_t32" style="position:absolute;margin-left:259.55pt;margin-top:4.45pt;width:88.45pt;height:0;z-index:251658332" o:connectortype="straight">
            <v:stroke endarrow="block"/>
          </v:shape>
        </w:pict>
      </w:r>
      <w:r w:rsidR="00093341">
        <w:rPr>
          <w:rFonts w:cstheme="minorHAnsi"/>
          <w:b/>
          <w:noProof/>
          <w:lang w:eastAsia="cs-CZ"/>
        </w:rPr>
        <w:pict w14:anchorId="7D0A0929">
          <v:shape id="_x0000_s1127" type="#_x0000_t202" style="position:absolute;margin-left:175.1pt;margin-top:7.25pt;width:85.05pt;height:39.7pt;z-index:251658248" fillcolor="#d6e3bc [1302]">
            <v:textbox style="mso-next-textbox:#_x0000_s1127">
              <w:txbxContent>
                <w:p w14:paraId="13B3168B" w14:textId="77777777" w:rsidR="00555626" w:rsidRPr="00555626" w:rsidRDefault="00555626" w:rsidP="00555626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  <w:r w:rsidRPr="00555626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Rozvoj ľudských zdrojov v ďalšom vzdelávaní</w:t>
                  </w:r>
                </w:p>
                <w:p w14:paraId="7D0A0981" w14:textId="117E0AB5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D9" w14:textId="6436B500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266" type="#_x0000_t32" style="position:absolute;margin-left:755.35pt;margin-top:12.65pt;width:14.45pt;height:0;z-index:251658315" o:connectortype="straight">
            <v:stroke endarrow="block"/>
          </v:shape>
        </w:pict>
      </w:r>
      <w:r w:rsidR="002D5C3D">
        <w:rPr>
          <w:rFonts w:cstheme="minorHAnsi"/>
          <w:b/>
          <w:noProof/>
          <w:lang w:eastAsia="cs-CZ"/>
        </w:rPr>
        <w:pict w14:anchorId="4434AFB6">
          <v:shape id="_x0000_s1329" type="#_x0000_t202" style="position:absolute;margin-left:262.4pt;margin-top:5.4pt;width:22.6pt;height:24.95pt;z-index:251661418" stroked="f">
            <v:textbox>
              <w:txbxContent>
                <w:p w14:paraId="12659E8C" w14:textId="77777777" w:rsidR="00572160" w:rsidRPr="00572160" w:rsidRDefault="00572160" w:rsidP="00572160">
                  <w:pPr>
                    <w:rPr>
                      <w:b/>
                      <w:bCs/>
                    </w:rPr>
                  </w:pPr>
                  <w:r w:rsidRPr="00572160">
                    <w:rPr>
                      <w:rFonts w:cstheme="minorHAnsi"/>
                      <w:b/>
                      <w:bCs/>
                    </w:rPr>
                    <w:t>③</w:t>
                  </w:r>
                </w:p>
              </w:txbxContent>
            </v:textbox>
          </v:shape>
        </w:pict>
      </w:r>
      <w:r w:rsidR="009022BC">
        <w:rPr>
          <w:rFonts w:cstheme="minorHAnsi"/>
          <w:noProof/>
          <w:lang w:eastAsia="cs-CZ"/>
        </w:rPr>
        <w:pict w14:anchorId="7D0A092F">
          <v:shape id="_x0000_s1247" type="#_x0000_t32" style="position:absolute;margin-left:348.5pt;margin-top:12.65pt;width:34.45pt;height:1in;flip:y;z-index:251658303" o:connectortype="straight">
            <v:stroke endarrow="block"/>
          </v:shape>
        </w:pict>
      </w:r>
      <w:r w:rsidR="00FB784E">
        <w:rPr>
          <w:rFonts w:cstheme="minorHAnsi"/>
          <w:b/>
          <w:noProof/>
          <w:lang w:eastAsia="cs-CZ"/>
        </w:rPr>
        <w:pict w14:anchorId="7D0A092E">
          <v:shape id="_x0000_s1177" type="#_x0000_t202" style="position:absolute;margin-left:382.95pt;margin-top:7.65pt;width:184.25pt;height:19.85pt;z-index:251658269" fillcolor="#fbd4b4 [1305]">
            <v:textbox style="mso-next-textbox:#_x0000_s1177">
              <w:txbxContent>
                <w:p w14:paraId="7D0A0988" w14:textId="610D5409" w:rsidR="0091544D" w:rsidRPr="00240C96" w:rsidRDefault="00C72F10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Vytvorené podmienky pre tzv. učiace sa regióny </w:t>
                  </w:r>
                </w:p>
              </w:txbxContent>
            </v:textbox>
          </v:shape>
        </w:pict>
      </w:r>
    </w:p>
    <w:p w14:paraId="7D0A08DA" w14:textId="4C287F2F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308" type="#_x0000_t32" style="position:absolute;margin-left:755.45pt;margin-top:8.9pt;width:36.55pt;height:35.3pt;flip:y;z-index:25165834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311" type="#_x0000_t32" style="position:absolute;margin-left:754.55pt;margin-top:8.9pt;width:37.45pt;height:69.5pt;flip:y;z-index:-25165813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61" type="#_x0000_t32" style="position:absolute;margin-left:567.2pt;margin-top:8.35pt;width:32.25pt;height:34.6pt;z-index:25165831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97" type="#_x0000_t32" style="position:absolute;margin-left:565.65pt;margin-top:6.8pt;width:33.9pt;height:1.55pt;flip:y;z-index:251658334" o:connectortype="straight">
            <v:stroke endarrow="block"/>
          </v:shape>
        </w:pict>
      </w:r>
    </w:p>
    <w:p w14:paraId="7D0A08DB" w14:textId="0344777A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30">
          <v:shape id="_x0000_s1169" type="#_x0000_t202" style="position:absolute;margin-left:959.85pt;margin-top:3.5pt;width:85.05pt;height:124.7pt;z-index:251658261" fillcolor="#e5dfec [663]">
            <v:textbox style="mso-next-textbox:#_x0000_s1169">
              <w:txbxContent>
                <w:p w14:paraId="7D0A0989" w14:textId="3DCE34C1" w:rsidR="0091544D" w:rsidRPr="00327279" w:rsidRDefault="00240A34" w:rsidP="00982AB5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327279">
                    <w:rPr>
                      <w:sz w:val="16"/>
                      <w:szCs w:val="16"/>
                      <w:lang w:val="sk-SK"/>
                    </w:rPr>
                    <w:t>Zvyšovať podiel ekonomicky ak</w:t>
                  </w:r>
                  <w:r w:rsidR="00327279" w:rsidRPr="00327279">
                    <w:rPr>
                      <w:sz w:val="16"/>
                      <w:szCs w:val="16"/>
                      <w:lang w:val="sk-SK"/>
                    </w:rPr>
                    <w:t>tívneho obyvate</w:t>
                  </w:r>
                  <w:r w:rsidR="00327279">
                    <w:rPr>
                      <w:sz w:val="16"/>
                      <w:szCs w:val="16"/>
                      <w:lang w:val="sk-SK"/>
                    </w:rPr>
                    <w:t>ľ</w:t>
                  </w:r>
                  <w:r w:rsidR="00327279" w:rsidRPr="00327279">
                    <w:rPr>
                      <w:sz w:val="16"/>
                      <w:szCs w:val="16"/>
                      <w:lang w:val="sk-SK"/>
                    </w:rPr>
                    <w:t>stva participujúceho na program</w:t>
                  </w:r>
                  <w:r w:rsidR="00327279">
                    <w:rPr>
                      <w:sz w:val="16"/>
                      <w:szCs w:val="16"/>
                      <w:lang w:val="sk-SK"/>
                    </w:rPr>
                    <w:t>oc</w:t>
                  </w:r>
                  <w:r w:rsidR="00327279" w:rsidRPr="00327279">
                    <w:rPr>
                      <w:sz w:val="16"/>
                      <w:szCs w:val="16"/>
                      <w:lang w:val="sk-SK"/>
                    </w:rPr>
                    <w:t>h ďalšieho vzdelávania a zvýšiť informovanosť o možnostiach vzdelávania sa počas celého života</w:t>
                  </w:r>
                </w:p>
              </w:txbxContent>
            </v:textbox>
          </v:shape>
        </w:pict>
      </w:r>
      <w:r w:rsidR="002D5C3D">
        <w:rPr>
          <w:rFonts w:cstheme="minorHAnsi"/>
          <w:b/>
          <w:noProof/>
          <w:lang w:eastAsia="cs-CZ"/>
        </w:rPr>
        <w:pict w14:anchorId="7D0A0933">
          <v:shape id="_x0000_s1125" type="#_x0000_t32" style="position:absolute;margin-left:259.55pt;margin-top:3.8pt;width:88.95pt;height:0;z-index:251658247" o:connectortype="straight">
            <v:stroke endarrow="block"/>
          </v:shape>
        </w:pict>
      </w:r>
      <w:r w:rsidR="009022BC">
        <w:rPr>
          <w:rFonts w:cstheme="minorHAnsi"/>
          <w:b/>
          <w:noProof/>
          <w:lang w:eastAsia="cs-CZ"/>
        </w:rPr>
        <w:pict w14:anchorId="7D0A0934">
          <v:shape id="_x0000_s1178" type="#_x0000_t202" style="position:absolute;margin-left:382.95pt;margin-top:.65pt;width:184.25pt;height:42.5pt;z-index:251658270" fillcolor="#fbd4b4 [1305]">
            <v:textbox style="mso-next-textbox:#_x0000_s1178">
              <w:txbxContent>
                <w:p w14:paraId="7D0A098B" w14:textId="06EDFA4C" w:rsidR="0091544D" w:rsidRPr="00240C96" w:rsidRDefault="00C72F10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Vytvorené podmienky pre zakladanie p</w:t>
                  </w:r>
                  <w:r w:rsidR="000D5282">
                    <w:rPr>
                      <w:sz w:val="16"/>
                      <w:szCs w:val="16"/>
                      <w:lang w:val="sk-SK"/>
                    </w:rPr>
                    <w:t>artnerst</w:t>
                  </w:r>
                  <w:r>
                    <w:rPr>
                      <w:sz w:val="16"/>
                      <w:szCs w:val="16"/>
                      <w:lang w:val="sk-SK"/>
                    </w:rPr>
                    <w:t>iev</w:t>
                  </w:r>
                  <w:r w:rsidR="000D5282">
                    <w:rPr>
                      <w:sz w:val="16"/>
                      <w:szCs w:val="16"/>
                      <w:lang w:val="sk-SK"/>
                    </w:rPr>
                    <w:t xml:space="preserve"> a </w:t>
                  </w:r>
                  <w:proofErr w:type="spellStart"/>
                  <w:r w:rsidR="000D5282">
                    <w:rPr>
                      <w:sz w:val="16"/>
                      <w:szCs w:val="16"/>
                      <w:lang w:val="sk-SK"/>
                    </w:rPr>
                    <w:t>networking</w:t>
                  </w:r>
                  <w:proofErr w:type="spellEnd"/>
                  <w:r w:rsidR="000D5282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sk-SK"/>
                    </w:rPr>
                    <w:t>medzi školami, mestami, podnikateľskou sférou a tretím sektorom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A">
          <v:shape id="_x0000_s1131" type="#_x0000_t202" style="position:absolute;margin-left:174.5pt;margin-top:10.35pt;width:85.05pt;height:51pt;z-index:251658250" fillcolor="#d6e3bc [1302]">
            <v:textbox style="mso-next-textbox:#_x0000_s1131">
              <w:txbxContent>
                <w:p w14:paraId="0355FB25" w14:textId="4364502A" w:rsidR="00555626" w:rsidRPr="00555626" w:rsidRDefault="00555626" w:rsidP="00555626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555626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 xml:space="preserve">Podpora učiacich sa regiónov a vytvárania sietí v ďalšom </w:t>
                  </w:r>
                  <w:r w:rsidR="00035E71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v</w:t>
                  </w:r>
                  <w:r w:rsidRPr="00555626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zdelávaní</w:t>
                  </w:r>
                </w:p>
                <w:p w14:paraId="14906980" w14:textId="77777777" w:rsidR="00555626" w:rsidRPr="00555626" w:rsidRDefault="00555626" w:rsidP="00555626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</w:p>
                <w:p w14:paraId="7D0A0982" w14:textId="2B6D8BB6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DC" w14:textId="36E55F55" w:rsidR="00EC573F" w:rsidRDefault="00637B0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7">
          <v:shape id="_x0000_s1150" type="#_x0000_t202" style="position:absolute;margin-left:599.55pt;margin-top:.5pt;width:155.9pt;height:33.55pt;z-index:251658258" fillcolor="#ddd8c2 [2894]">
            <v:textbox style="mso-next-textbox:#_x0000_s1150">
              <w:txbxContent>
                <w:p w14:paraId="689D2CDE" w14:textId="086D1031" w:rsidR="00327279" w:rsidRPr="00327279" w:rsidRDefault="0070102E" w:rsidP="00327279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bookmarkStart w:id="0" w:name="_Hlk30511674"/>
                  <w:r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Cielené vzdelávanie a zvýšená konkurencieschopnosť regiónu</w:t>
                  </w:r>
                </w:p>
                <w:bookmarkEnd w:id="0"/>
                <w:p w14:paraId="7D0A0995" w14:textId="2F902EAC" w:rsidR="0091544D" w:rsidRPr="003A3328" w:rsidRDefault="0091544D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 w:rsidR="00093341">
        <w:rPr>
          <w:rFonts w:cstheme="minorHAnsi"/>
          <w:b/>
          <w:noProof/>
          <w:lang w:eastAsia="cs-CZ"/>
        </w:rPr>
        <w:pict w14:anchorId="7D0A092F">
          <v:shape id="_x0000_s1134" type="#_x0000_t32" style="position:absolute;margin-left:348.5pt;margin-top:10.25pt;width:34.5pt;height:34.1pt;flip:y;z-index:251658251" o:connectortype="straight">
            <v:stroke endarrow="block"/>
          </v:shape>
        </w:pict>
      </w:r>
    </w:p>
    <w:p w14:paraId="7D0A08DD" w14:textId="6687184B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4434AFB6">
          <v:shape id="_x0000_s1330" type="#_x0000_t202" style="position:absolute;margin-left:262.5pt;margin-top:5.7pt;width:47.45pt;height:24.95pt;z-index:251662442" stroked="f">
            <v:textbox>
              <w:txbxContent>
                <w:p w14:paraId="67E1709B" w14:textId="78AE4F4C" w:rsidR="00572160" w:rsidRPr="00572160" w:rsidRDefault="00572160" w:rsidP="00572160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①</w:t>
                  </w:r>
                  <w:r w:rsidR="0069391A">
                    <w:rPr>
                      <w:rFonts w:cstheme="minorHAnsi"/>
                      <w:b/>
                      <w:bCs/>
                    </w:rPr>
                    <w:t>②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25">
          <v:shape id="_x0000_s1315" type="#_x0000_t32" style="position:absolute;margin-left:567.2pt;margin-top:7.1pt;width:32.35pt;height:28.85pt;flip:y;z-index:25165834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62" type="#_x0000_t32" style="position:absolute;margin-left:565.6pt;margin-top:.55pt;width:33.85pt;height:.05pt;z-index:251658312" o:connectortype="straight">
            <v:stroke endarrow="block"/>
          </v:shape>
        </w:pict>
      </w:r>
    </w:p>
    <w:p w14:paraId="7D0A08DE" w14:textId="483D8EC1" w:rsidR="00EC573F" w:rsidRDefault="00637B0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C">
          <v:shape id="_x0000_s1151" type="#_x0000_t202" style="position:absolute;margin-left:599.5pt;margin-top:6.6pt;width:155.9pt;height:31.2pt;z-index:251658297" fillcolor="#ddd8c2 [2894]">
            <v:fill rotate="t"/>
            <v:textbox style="mso-next-textbox:#_x0000_s1151">
              <w:txbxContent>
                <w:p w14:paraId="23C464A2" w14:textId="7541465A" w:rsidR="007F2287" w:rsidRPr="007F2287" w:rsidRDefault="00CA7856" w:rsidP="007F2287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Rozvoj ľudských zdrojov </w:t>
                  </w:r>
                  <w:r w:rsidR="00FC3B5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v ďalšom vzdelávaní </w:t>
                  </w:r>
                </w:p>
                <w:p w14:paraId="7D0A0997" w14:textId="495B4BC2" w:rsidR="0091544D" w:rsidRPr="007A710D" w:rsidRDefault="0091544D" w:rsidP="008C2F23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 w:rsidR="00F408AD">
        <w:rPr>
          <w:rFonts w:cstheme="minorHAnsi"/>
          <w:b/>
          <w:noProof/>
          <w:lang w:eastAsia="cs-CZ"/>
        </w:rPr>
        <w:pict w14:anchorId="7D0A0946">
          <v:shape id="_x0000_s1180" type="#_x0000_t202" style="position:absolute;margin-left:382.95pt;margin-top:8.5pt;width:184.25pt;height:31.2pt;z-index:251658271" fillcolor="#fbd4b4 [1305]">
            <v:textbox style="mso-next-textbox:#_x0000_s1180">
              <w:txbxContent>
                <w:p w14:paraId="7D0A0994" w14:textId="6434D923" w:rsidR="0091544D" w:rsidRPr="006F4046" w:rsidRDefault="0070102E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Úspešná implementácia stratégie CŽV a CŽP v jednotlivých sektoroch </w:t>
                  </w:r>
                </w:p>
              </w:txbxContent>
            </v:textbox>
          </v:shape>
        </w:pict>
      </w:r>
    </w:p>
    <w:p w14:paraId="7D0A08DF" w14:textId="48BFCB17" w:rsidR="00EC573F" w:rsidRDefault="002D5C3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2F">
          <v:shape id="_x0000_s1296" type="#_x0000_t32" style="position:absolute;margin-left:259.55pt;margin-top:4.1pt;width:88.95pt;height:0;z-index:251658333" o:connectortype="straight">
            <v:stroke endarrow="block"/>
          </v:shape>
        </w:pict>
      </w:r>
      <w:r w:rsidR="00093341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43">
          <v:shape id="_x0000_s1249" type="#_x0000_t32" style="position:absolute;margin-left:348pt;margin-top:7.7pt;width:35pt;height:51.25pt;flip:y;z-index:251658305" o:connectortype="straight">
            <v:stroke endarrow="block"/>
          </v:shape>
        </w:pict>
      </w:r>
      <w:r w:rsidR="00093341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25">
          <v:shape id="_x0000_s1316" type="#_x0000_t32" style="position:absolute;margin-left:566.5pt;margin-top:10.55pt;width:35.15pt;height:.75pt;z-index:251658316" o:connectortype="straight">
            <v:stroke endarrow="block"/>
          </v:shape>
        </w:pict>
      </w:r>
      <w:r w:rsidR="00093341">
        <w:rPr>
          <w:rFonts w:cstheme="minorHAnsi"/>
          <w:b/>
          <w:noProof/>
          <w:lang w:eastAsia="cs-CZ"/>
        </w:rPr>
        <w:pict w14:anchorId="7D0A094D">
          <v:shape id="_x0000_s1243" type="#_x0000_t202" style="position:absolute;margin-left:769.75pt;margin-top:9.2pt;width:155.9pt;height:76.55pt;z-index:251658299" fillcolor="#dbe5f1 [660]">
            <v:textbox style="mso-next-textbox:#_x0000_s1243">
              <w:txbxContent>
                <w:p w14:paraId="3FD12155" w14:textId="77777777" w:rsidR="00327279" w:rsidRPr="00327279" w:rsidRDefault="00327279" w:rsidP="00327279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Zvýšený podiel ekonomicky aktívneho obyvateľstva participujúceho na programoch ďalšieho vzdelávania a zvýšená informovanosť o možnostiach vzdelávania sa počas celého života</w:t>
                  </w:r>
                </w:p>
                <w:p w14:paraId="3BB77D3A" w14:textId="77777777" w:rsidR="00BD7384" w:rsidRPr="003A3328" w:rsidRDefault="00BD7384" w:rsidP="00BD738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0" w14:textId="70FF3785" w:rsidR="00EC573F" w:rsidRDefault="00DA1A6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B">
          <v:shape id="_x0000_s1136" type="#_x0000_t202" style="position:absolute;margin-left:177.45pt;margin-top:5.05pt;width:85.05pt;height:48.2pt;z-index:251658253" fillcolor="#d6e3bc [1302]">
            <v:textbox style="mso-next-textbox:#_x0000_s1136">
              <w:txbxContent>
                <w:p w14:paraId="2C655875" w14:textId="77777777" w:rsidR="00555626" w:rsidRPr="00555626" w:rsidRDefault="00555626" w:rsidP="00555626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  <w:r w:rsidRPr="00555626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Podpora ďalšieho vzdelávania v jednotlivých sektoroch</w:t>
                  </w:r>
                </w:p>
                <w:p w14:paraId="46FF4763" w14:textId="77777777" w:rsidR="00555626" w:rsidRPr="00555626" w:rsidRDefault="00555626" w:rsidP="00555626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</w:p>
                <w:p w14:paraId="7D0A0983" w14:textId="2495834F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1" w14:textId="1C2650FA" w:rsidR="00EC573F" w:rsidRDefault="00B649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25">
          <v:shape id="_x0000_s1268" type="#_x0000_t32" style="position:absolute;margin-left:567.2pt;margin-top:13.25pt;width:31.45pt;height:26.6pt;z-index:251658317" o:connectortype="straight">
            <v:stroke endarrow="block"/>
          </v:shape>
        </w:pict>
      </w:r>
      <w:r w:rsidR="00DD45E6">
        <w:rPr>
          <w:rFonts w:cstheme="minorHAnsi"/>
          <w:b/>
          <w:noProof/>
          <w:lang w:eastAsia="cs-CZ"/>
        </w:rPr>
        <w:pict w14:anchorId="7D0A0943">
          <v:shape id="_x0000_s1204" type="#_x0000_t32" style="position:absolute;margin-left:348.5pt;margin-top:13.25pt;width:34.5pt;height:69.1pt;flip:y;z-index:251658287" o:connectortype="straight">
            <v:stroke endarrow="block"/>
          </v:shape>
        </w:pict>
      </w:r>
      <w:r w:rsidR="00DD45E6">
        <w:rPr>
          <w:rFonts w:cstheme="minorHAnsi"/>
          <w:b/>
          <w:noProof/>
          <w:lang w:eastAsia="cs-CZ"/>
        </w:rPr>
        <w:pict w14:anchorId="7D0A094A">
          <v:shape id="_x0000_s1185" type="#_x0000_t202" style="position:absolute;margin-left:382.95pt;margin-top:3.8pt;width:184.25pt;height:17pt;z-index:251658275" fillcolor="#fbd4b4 [1305]">
            <v:textbox style="mso-next-textbox:#_x0000_s1185">
              <w:txbxContent>
                <w:p w14:paraId="7D0A0996" w14:textId="5593CDB8" w:rsidR="0091544D" w:rsidRPr="0088735D" w:rsidRDefault="00DC7F4C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Uľahčený prístup k ďalšiemu vzdelávaniu</w:t>
                  </w:r>
                </w:p>
              </w:txbxContent>
            </v:textbox>
          </v:shape>
        </w:pict>
      </w:r>
      <w:r w:rsidR="00DA1A66">
        <w:rPr>
          <w:rFonts w:cstheme="minorHAnsi"/>
          <w:b/>
          <w:noProof/>
          <w:lang w:eastAsia="cs-CZ"/>
        </w:rPr>
        <w:pict w14:anchorId="4434AFB6">
          <v:shape id="_x0000_s1333" type="#_x0000_t202" style="position:absolute;margin-left:263.55pt;margin-top:5.9pt;width:21.85pt;height:25.5pt;z-index:251665514" stroked="f">
            <v:textbox style="mso-next-textbox:#_x0000_s1333">
              <w:txbxContent>
                <w:p w14:paraId="285DC117" w14:textId="77777777" w:rsidR="00572160" w:rsidRPr="00572160" w:rsidRDefault="00572160" w:rsidP="00572160">
                  <w:pPr>
                    <w:rPr>
                      <w:b/>
                      <w:bCs/>
                    </w:rPr>
                  </w:pPr>
                  <w:r w:rsidRPr="00572160">
                    <w:rPr>
                      <w:rFonts w:cstheme="minorHAnsi"/>
                      <w:b/>
                      <w:bCs/>
                    </w:rPr>
                    <w:t>③</w:t>
                  </w:r>
                </w:p>
              </w:txbxContent>
            </v:textbox>
          </v:shape>
        </w:pict>
      </w:r>
    </w:p>
    <w:p w14:paraId="7D0A08E2" w14:textId="79E1E67F" w:rsidR="001E2B01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325" type="#_x0000_t32" style="position:absolute;margin-left:925.65pt;margin-top:8.8pt;width:34.2pt;height:0;z-index:25165831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35">
          <v:shape id="_x0000_s1181" type="#_x0000_t202" style="position:absolute;margin-left:382.95pt;margin-top:7.35pt;width:184.25pt;height:42.5pt;z-index:251658272" fillcolor="#fbd4b4 [1305]">
            <v:textbox style="mso-next-textbox:#_x0000_s1181">
              <w:txbxContent>
                <w:p w14:paraId="7D0A098C" w14:textId="2A9C359E" w:rsidR="0091544D" w:rsidRPr="0088735D" w:rsidRDefault="00DC7F4C" w:rsidP="005947F9">
                  <w:pPr>
                    <w:rPr>
                      <w:sz w:val="16"/>
                      <w:szCs w:val="12"/>
                      <w:lang w:val="sk-SK"/>
                    </w:rPr>
                  </w:pPr>
                  <w:r>
                    <w:rPr>
                      <w:sz w:val="16"/>
                      <w:szCs w:val="12"/>
                      <w:lang w:val="sk-SK"/>
                    </w:rPr>
                    <w:t>Vybudovaná s</w:t>
                  </w:r>
                  <w:r w:rsidR="00EB1A65">
                    <w:rPr>
                      <w:sz w:val="16"/>
                      <w:szCs w:val="12"/>
                      <w:lang w:val="sk-SK"/>
                    </w:rPr>
                    <w:t xml:space="preserve">ieť regionálnych centier mládeže a  poradenských inštitúcií </w:t>
                  </w:r>
                  <w:r>
                    <w:rPr>
                      <w:sz w:val="16"/>
                      <w:szCs w:val="12"/>
                      <w:lang w:val="sk-SK"/>
                    </w:rPr>
                    <w:t xml:space="preserve">pre využitie rôznych foriem CŽV 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5D">
          <v:shape id="_x0000_s1157" type="#_x0000_t202" style="position:absolute;margin-left:599.55pt;margin-top:4pt;width:155.9pt;height:42.5pt;z-index:251658295" fillcolor="#ddd8c2 [2894]">
            <v:textbox style="mso-next-textbox:#_x0000_s1157">
              <w:txbxContent>
                <w:p w14:paraId="4FB9EF61" w14:textId="11811C0B" w:rsidR="007F2287" w:rsidRPr="007F2287" w:rsidRDefault="007F2287" w:rsidP="007F2287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7F2287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Zabezpečený prístup</w:t>
                  </w:r>
                  <w:r w:rsidR="00EB1A65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širokej verejnosti</w:t>
                  </w:r>
                  <w:r w:rsidRPr="007F2287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ku kvalitným informáciám a</w:t>
                  </w:r>
                  <w:r w:rsidR="007C6D54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 poradenstvu </w:t>
                  </w:r>
                  <w:r w:rsidRPr="007F2287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o možnostiach  </w:t>
                  </w:r>
                  <w:r w:rsidR="00EC67FB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CŽV</w:t>
                  </w:r>
                  <w:r w:rsidRPr="007F2287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7D0A099D" w14:textId="276B4876" w:rsidR="0091544D" w:rsidRPr="003A3328" w:rsidRDefault="0091544D" w:rsidP="00503B8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3" w14:textId="6A54A22D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324" type="#_x0000_t32" style="position:absolute;margin-left:754.5pt;margin-top:4.5pt;width:15.25pt;height:.05pt;z-index:-251658160" o:connectortype="straight">
            <v:stroke endarrow="block"/>
          </v:shape>
        </w:pict>
      </w:r>
      <w:r w:rsidR="00637B0A">
        <w:rPr>
          <w:rFonts w:cstheme="minorHAnsi"/>
          <w:b/>
          <w:noProof/>
          <w:lang w:eastAsia="cs-CZ"/>
        </w:rPr>
        <w:pict w14:anchorId="7D0A0925">
          <v:shape id="_x0000_s1269" type="#_x0000_t32" style="position:absolute;margin-left:567.25pt;margin-top:12.95pt;width:32.8pt;height:0;z-index:251658318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5">
          <v:shape id="_x0000_s1124" type="#_x0000_t32" style="position:absolute;margin-left:259.55pt;margin-top:5.2pt;width:88.95pt;height:0;z-index:25165824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274" type="#_x0000_t32" style="position:absolute;margin-left:566.5pt;margin-top:12.95pt;width:33.05pt;height:40.8pt;flip:y;z-index:251658321" o:connectortype="straight">
            <v:stroke endarrow="block"/>
          </v:shape>
        </w:pict>
      </w:r>
    </w:p>
    <w:p w14:paraId="7D0A08E4" w14:textId="44CF8379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251" type="#_x0000_t32" style="position:absolute;margin-left:348pt;margin-top:1.35pt;width:35.45pt;height:43.05pt;flip:y;z-index:25165830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5C">
          <v:shape id="_x0000_s1143" type="#_x0000_t202" style="position:absolute;margin-left:177.45pt;margin-top:5.1pt;width:85.05pt;height:39.7pt;z-index:251658255" fillcolor="#d6e3bc [1302]">
            <v:textbox style="mso-next-textbox:#_x0000_s1143">
              <w:txbxContent>
                <w:p w14:paraId="006073D7" w14:textId="77777777" w:rsidR="00555626" w:rsidRPr="00555626" w:rsidRDefault="00555626" w:rsidP="00555626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  <w:r w:rsidRPr="00555626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Uľahčenie prístupu k ďalšiemu vzdelávaniu</w:t>
                  </w:r>
                </w:p>
                <w:p w14:paraId="7D0A099C" w14:textId="16DB3E66" w:rsidR="0091544D" w:rsidRPr="00240A34" w:rsidRDefault="0091544D" w:rsidP="008A2468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</w:p>
    <w:p w14:paraId="7D0A08E5" w14:textId="0D54148B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31">
          <v:shape id="_x0000_s1170" type="#_x0000_t202" style="position:absolute;margin-left:959.85pt;margin-top:13.5pt;width:85.05pt;height:124.15pt;z-index:251658262" fillcolor="#e5dfec [663]">
            <v:textbox style="mso-next-textbox:#_x0000_s1170">
              <w:txbxContent>
                <w:p w14:paraId="7D0A098A" w14:textId="2C7A42CD" w:rsidR="0091544D" w:rsidRPr="00982AB5" w:rsidRDefault="00327279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27279">
                    <w:rPr>
                      <w:sz w:val="16"/>
                      <w:szCs w:val="16"/>
                      <w:lang w:val="sk-SK"/>
                    </w:rPr>
                    <w:t>Zvyšovať a obnovovať úroveň kľúčových kompetencií a priebežne dopĺňať kvalifikáciu osôb na trhu práce v súlade s aktuálnymi a perspektívnymi potrebami vedomostnej spoločnosti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C4E3AA4">
          <v:shape id="_x0000_s1305" type="#_x0000_t32" style="position:absolute;margin-left:755.35pt;margin-top:5.15pt;width:14.45pt;height:24.95pt;flip:y;z-index:25165833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4434AFB6">
          <v:shape id="_x0000_s1334" type="#_x0000_t202" style="position:absolute;margin-left:263pt;margin-top:5.15pt;width:45.75pt;height:25.8pt;z-index:251666538" stroked="f">
            <v:textbox>
              <w:txbxContent>
                <w:p w14:paraId="25BDA479" w14:textId="41894992" w:rsidR="00E95F80" w:rsidRPr="00572160" w:rsidRDefault="00E95F80" w:rsidP="00E95F80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②</w:t>
                  </w:r>
                  <w:r w:rsidR="00DA1A66">
                    <w:rPr>
                      <w:rFonts w:cstheme="minorHAnsi"/>
                      <w:b/>
                      <w:bCs/>
                    </w:rPr>
                    <w:t>④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36">
          <v:shape id="_x0000_s1183" type="#_x0000_t202" style="position:absolute;margin-left:383pt;margin-top:9.55pt;width:184.25pt;height:30.5pt;z-index:251658273" fillcolor="#fbd4b4 [1305]">
            <v:textbox style="mso-next-textbox:#_x0000_s1183">
              <w:txbxContent>
                <w:p w14:paraId="7D0A098D" w14:textId="1B8A95D5" w:rsidR="0091544D" w:rsidRPr="006F4046" w:rsidRDefault="00A02F91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Spustený </w:t>
                  </w:r>
                  <w:r w:rsidR="00EB1A65">
                    <w:rPr>
                      <w:sz w:val="16"/>
                      <w:szCs w:val="16"/>
                      <w:lang w:val="sk-SK"/>
                    </w:rPr>
                    <w:t>informačný systém o</w:t>
                  </w:r>
                  <w:r w:rsidR="00DC7F4C">
                    <w:rPr>
                      <w:sz w:val="16"/>
                      <w:szCs w:val="16"/>
                      <w:lang w:val="sk-SK"/>
                    </w:rPr>
                    <w:t> </w:t>
                  </w:r>
                  <w:r w:rsidR="00EB1A65">
                    <w:rPr>
                      <w:sz w:val="16"/>
                      <w:szCs w:val="16"/>
                      <w:lang w:val="sk-SK"/>
                    </w:rPr>
                    <w:t>možnostiach</w:t>
                  </w:r>
                  <w:r w:rsidR="00DC7F4C">
                    <w:rPr>
                      <w:sz w:val="16"/>
                      <w:szCs w:val="16"/>
                      <w:lang w:val="sk-SK"/>
                    </w:rPr>
                    <w:t xml:space="preserve"> celoživotného</w:t>
                  </w:r>
                  <w:r w:rsidR="00EB1A65">
                    <w:rPr>
                      <w:sz w:val="16"/>
                      <w:szCs w:val="16"/>
                      <w:lang w:val="sk-SK"/>
                    </w:rPr>
                    <w:t xml:space="preserve"> vzdelávania </w:t>
                  </w:r>
                </w:p>
              </w:txbxContent>
            </v:textbox>
          </v:shape>
        </w:pict>
      </w:r>
    </w:p>
    <w:p w14:paraId="7D0A08E6" w14:textId="7FAB9F03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D">
          <v:shape id="_x0000_s1317" type="#_x0000_t202" style="position:absolute;margin-left:769.75pt;margin-top:.35pt;width:155.9pt;height:82.2pt;z-index:251658286" fillcolor="#dbe5f1 [660]">
            <v:textbox style="mso-next-textbox:#_x0000_s1317">
              <w:txbxContent>
                <w:p w14:paraId="6D8AE76B" w14:textId="2EA2D390" w:rsidR="00327279" w:rsidRPr="00327279" w:rsidRDefault="00327279" w:rsidP="00327279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Zvýšená úroveň kľúčových kompetencií a priebežne dopĺňaná kvalifikácia osôb na trhu práce v súlade s aktuálnymi a perspektívnymi potrebami vedomostnej spoločnosti</w:t>
                  </w:r>
                </w:p>
                <w:p w14:paraId="7D0A0998" w14:textId="64B1A28B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205" type="#_x0000_t32" style="position:absolute;margin-left:346.95pt;margin-top:11.8pt;width:36.05pt;height:6.15pt;flip:y;z-index:251658288" o:connectortype="straight">
            <v:stroke endarrow="block"/>
          </v:shape>
        </w:pict>
      </w:r>
    </w:p>
    <w:p w14:paraId="7D0A08E7" w14:textId="4644519B" w:rsidR="00EC573F" w:rsidRDefault="00DD45E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5C">
          <v:shape id="_x0000_s1291" type="#_x0000_t202" style="position:absolute;margin-left:178pt;margin-top:13.2pt;width:85.05pt;height:48.2pt;z-index:251658329;mso-width-relative:margin;mso-height-relative:margin" fillcolor="#d6e3bc [1302]">
            <v:textbox style="mso-next-textbox:#_x0000_s1291">
              <w:txbxContent>
                <w:p w14:paraId="414A9A4F" w14:textId="77777777" w:rsidR="00240A34" w:rsidRPr="00240A34" w:rsidRDefault="00240A34" w:rsidP="00240A34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  <w:r w:rsidRPr="00240A34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Podpora diverzifikácie foriem financovania ďalšieho vzdelávania</w:t>
                  </w:r>
                </w:p>
                <w:p w14:paraId="66C65B60" w14:textId="77777777" w:rsidR="00240A34" w:rsidRPr="003A3328" w:rsidRDefault="00240A34" w:rsidP="00240A3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 w:rsidR="00093341">
        <w:rPr>
          <w:rFonts w:cstheme="minorHAnsi"/>
          <w:b/>
          <w:noProof/>
          <w:lang w:eastAsia="cs-CZ"/>
        </w:rPr>
        <w:pict w14:anchorId="7D0A0950">
          <v:shape id="_x0000_s1135" type="#_x0000_t32" style="position:absolute;margin-left:261.75pt;margin-top:4.5pt;width:86.25pt;height:.15pt;z-index:251658252" o:connectortype="straight">
            <v:stroke endarrow="block"/>
          </v:shape>
        </w:pict>
      </w:r>
      <w:r w:rsidR="00093341">
        <w:rPr>
          <w:rFonts w:cstheme="minorHAnsi"/>
          <w:noProof/>
          <w:lang w:eastAsia="cs-CZ"/>
        </w:rPr>
        <w:pict w14:anchorId="7D0A095D">
          <v:shape id="_x0000_s1244" type="#_x0000_t202" style="position:absolute;margin-left:599.55pt;margin-top:3.25pt;width:155.9pt;height:42.5pt;z-index:251658300" fillcolor="#ddd8c2 [2894]">
            <v:textbox style="mso-next-textbox:#_x0000_s1244">
              <w:txbxContent>
                <w:p w14:paraId="356DA56C" w14:textId="50FDA811" w:rsidR="007F2287" w:rsidRPr="007F2287" w:rsidRDefault="007F2287" w:rsidP="007F2287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7F2287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Rozšíren</w:t>
                  </w:r>
                  <w:r w:rsidR="00EC6B6A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á</w:t>
                  </w:r>
                  <w:r w:rsidRPr="007F2287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</w:t>
                  </w:r>
                  <w:r w:rsidR="00EC6B6A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ponuka</w:t>
                  </w:r>
                  <w:r w:rsidRPr="007F2287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programov CŽV , zvýšený počet účastníkov programov CŽV</w:t>
                  </w:r>
                </w:p>
                <w:p w14:paraId="546A0DEC" w14:textId="77777777" w:rsidR="00CC0A07" w:rsidRPr="003A3328" w:rsidRDefault="00CC0A07" w:rsidP="00CC0A0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8" w14:textId="7EDA1B7D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C4E3AA4">
          <v:shape id="_x0000_s1326" type="#_x0000_t32" style="position:absolute;margin-left:754.5pt;margin-top:10pt;width:15.3pt;height:.05pt;z-index:-251658134" o:connectortype="straight">
            <v:stroke endarrow="block"/>
          </v:shape>
        </w:pict>
      </w:r>
      <w:r w:rsidR="00B8793D">
        <w:rPr>
          <w:rFonts w:cstheme="minorHAnsi"/>
          <w:b/>
          <w:noProof/>
          <w:lang w:eastAsia="cs-CZ"/>
        </w:rPr>
        <w:pict w14:anchorId="7D0A0938">
          <v:shape id="_x0000_s1174" type="#_x0000_t202" style="position:absolute;margin-left:383pt;margin-top:9.25pt;width:184.25pt;height:42.5pt;z-index:251658266" fillcolor="#fbd4b4 [1305]">
            <v:textbox style="mso-next-textbox:#_x0000_s1174">
              <w:txbxContent>
                <w:p w14:paraId="7D0A098F" w14:textId="176D31D3" w:rsidR="0091544D" w:rsidRPr="006F4046" w:rsidRDefault="00EB1A65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Aplikácia novovytvoreného modelu financovania spojením zdrojov zamestnávateľa, verejných financií a zamestnanca</w:t>
                  </w:r>
                </w:p>
              </w:txbxContent>
            </v:textbox>
          </v:shape>
        </w:pict>
      </w:r>
      <w:r w:rsidR="00B8793D">
        <w:rPr>
          <w:rFonts w:cstheme="minorHAnsi"/>
          <w:b/>
          <w:noProof/>
          <w:lang w:eastAsia="cs-CZ"/>
        </w:rPr>
        <w:pict w14:anchorId="4434AFB6">
          <v:shape id="_x0000_s1337" type="#_x0000_t202" style="position:absolute;margin-left:263.55pt;margin-top:2.3pt;width:20.85pt;height:24.65pt;z-index:251668586" stroked="f">
            <v:textbox>
              <w:txbxContent>
                <w:p w14:paraId="57BD7BE3" w14:textId="16FE1739" w:rsidR="00E95F80" w:rsidRPr="00572160" w:rsidRDefault="00E95F80" w:rsidP="00E95F80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④</w:t>
                  </w:r>
                </w:p>
              </w:txbxContent>
            </v:textbox>
          </v:shape>
        </w:pict>
      </w:r>
    </w:p>
    <w:p w14:paraId="7D0A08E9" w14:textId="1B09EDC1" w:rsidR="00EC573F" w:rsidRDefault="0072539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275" type="#_x0000_t32" style="position:absolute;margin-left:565.6pt;margin-top:4.8pt;width:33.05pt;height:0;z-index:251658322" o:connectortype="straight">
            <v:stroke endarrow="block"/>
          </v:shape>
        </w:pict>
      </w:r>
      <w:r w:rsidR="00093341">
        <w:rPr>
          <w:rFonts w:cstheme="minorHAnsi"/>
          <w:b/>
          <w:noProof/>
          <w:lang w:eastAsia="cs-CZ"/>
        </w:rPr>
        <w:pict w14:anchorId="7D0A094F">
          <v:shape id="_x0000_s1318" type="#_x0000_t32" style="position:absolute;margin-left:924.5pt;margin-top:4.8pt;width:35.35pt;height:0;z-index:-251658153" o:connectortype="straight">
            <v:stroke endarrow="block"/>
          </v:shape>
        </w:pict>
      </w:r>
    </w:p>
    <w:p w14:paraId="7D0A08EA" w14:textId="5AA5DA1B" w:rsidR="00EC573F" w:rsidRDefault="00B8793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9">
          <v:shape id="_x0000_s1130" type="#_x0000_t32" style="position:absolute;margin-left:258.5pt;margin-top:.4pt;width:125.5pt;height:.05pt;z-index:251658249" o:connectortype="straight">
            <v:stroke endarrow="block"/>
          </v:shape>
        </w:pict>
      </w:r>
      <w:r w:rsidR="00093341">
        <w:rPr>
          <w:rFonts w:cstheme="minorHAnsi"/>
          <w:b/>
          <w:noProof/>
          <w:lang w:eastAsia="cs-CZ"/>
        </w:rPr>
        <w:pict w14:anchorId="7D0A094F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81" type="#_x0000_t34" style="position:absolute;margin-left:741.3pt;margin-top:9.4pt;width:28.45pt;height:26.65pt;flip:y;z-index:-251658154" o:connectortype="elbow" adj="379,396176,-578341">
            <v:stroke endarrow="block"/>
          </v:shape>
        </w:pict>
      </w:r>
    </w:p>
    <w:p w14:paraId="7D0A08EB" w14:textId="45BA2C8F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4434AFB6">
          <v:shape id="_x0000_s1338" type="#_x0000_t202" style="position:absolute;margin-left:263.55pt;margin-top:10pt;width:21.85pt;height:21.55pt;z-index:251669610" stroked="f">
            <v:textbox>
              <w:txbxContent>
                <w:p w14:paraId="5B5B3CA1" w14:textId="77777777" w:rsidR="00E95F80" w:rsidRPr="00572160" w:rsidRDefault="00E95F80" w:rsidP="00E95F80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②</w:t>
                  </w:r>
                </w:p>
              </w:txbxContent>
            </v:textbox>
          </v:shape>
        </w:pict>
      </w:r>
    </w:p>
    <w:p w14:paraId="7D0A08EC" w14:textId="124C527A" w:rsidR="00EC573F" w:rsidRDefault="00B8793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7">
          <v:shape id="_x0000_s1184" type="#_x0000_t202" style="position:absolute;margin-left:383.45pt;margin-top:9.15pt;width:184.25pt;height:47.9pt;z-index:251658274" fillcolor="#fbd4b4 [1305]">
            <v:textbox style="mso-next-textbox:#_x0000_s1184">
              <w:txbxContent>
                <w:p w14:paraId="7D0A09A1" w14:textId="2E257835" w:rsidR="0091544D" w:rsidRPr="005102E8" w:rsidRDefault="00EC6B6A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Zavedenie programov neformálneho vzdelávania zameraných na rozvoj kľúčových kompetencií  (najmä sociálnych, občianskych a kultúrnych) 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5C">
          <v:shape id="_x0000_s1292" type="#_x0000_t202" style="position:absolute;margin-left:177.45pt;margin-top:9.5pt;width:85.05pt;height:51pt;z-index:251658330;mso-width-relative:margin;mso-height-relative:margin" fillcolor="#d6e3bc [1302]">
            <v:textbox style="mso-next-textbox:#_x0000_s1292">
              <w:txbxContent>
                <w:p w14:paraId="703FD8DF" w14:textId="77777777" w:rsidR="00240A34" w:rsidRPr="00240A34" w:rsidRDefault="00240A34" w:rsidP="00240A34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  <w:r w:rsidRPr="00240A34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Rozvoj kľúčových kompetencií prostredníctvom ďalšieho vzdelávania</w:t>
                  </w:r>
                </w:p>
                <w:p w14:paraId="031C3D94" w14:textId="77777777" w:rsidR="00240A34" w:rsidRPr="00240A34" w:rsidRDefault="00240A34" w:rsidP="00240A34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 w:rsidR="00093341">
        <w:rPr>
          <w:rFonts w:cstheme="minorHAnsi"/>
          <w:b/>
          <w:noProof/>
          <w:lang w:eastAsia="cs-CZ"/>
        </w:rPr>
        <w:pict w14:anchorId="7D0A0956">
          <v:shape id="_x0000_s1245" type="#_x0000_t202" style="position:absolute;margin-left:682pt;margin-top:7.8pt;width:155.9pt;height:43.7pt;z-index:251658301" fillcolor="#ddd8c2">
            <v:fill color2="#dbe5f1" rotate="t" angle="-90" focus="100%" type="gradient"/>
            <v:textbox style="mso-next-textbox:#_x0000_s1245">
              <w:txbxContent>
                <w:p w14:paraId="41FF5F0B" w14:textId="77777777" w:rsidR="007F2287" w:rsidRPr="007F2287" w:rsidRDefault="007F2287" w:rsidP="007F228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7F2287">
                    <w:rPr>
                      <w:sz w:val="18"/>
                      <w:szCs w:val="18"/>
                      <w:lang w:val="sk-SK"/>
                    </w:rPr>
                    <w:t>Účastníci programov majú rozvinuté kľúčové kompetencie (najmä sociálne, občianske a kultúrne)</w:t>
                  </w:r>
                </w:p>
                <w:p w14:paraId="36F31800" w14:textId="77777777" w:rsidR="00CC0A07" w:rsidRPr="00CC0A07" w:rsidRDefault="00CC0A07" w:rsidP="00CC0A07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D0A08ED" w14:textId="63F32B22" w:rsidR="00EC573F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3">
          <v:shape id="_x0000_s1140" type="#_x0000_t32" style="position:absolute;margin-left:263pt;margin-top:5.1pt;width:120.45pt;height:0;z-index:251658254" o:connectortype="straight">
            <v:stroke endarrow="block"/>
          </v:shape>
        </w:pict>
      </w:r>
    </w:p>
    <w:p w14:paraId="7D0A08EE" w14:textId="02CA965D" w:rsidR="00EC573F" w:rsidRDefault="00B9247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277" type="#_x0000_t32" style="position:absolute;margin-left:567.7pt;margin-top:.65pt;width:114.3pt;height:0;z-index:251658323" o:connectortype="straight">
            <v:stroke endarrow="block"/>
          </v:shape>
        </w:pict>
      </w:r>
    </w:p>
    <w:p w14:paraId="7D0A08EF" w14:textId="2D4BD0F5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0" w14:textId="509C18D4" w:rsidR="00EC573F" w:rsidRDefault="00B9247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5E">
          <v:shape id="_x0000_s1171" type="#_x0000_t202" style="position:absolute;margin-left:959.85pt;margin-top:9.8pt;width:85.05pt;height:85.05pt;z-index:251658263" fillcolor="#e5dfec [663]">
            <v:textbox style="mso-next-textbox:#_x0000_s1171">
              <w:txbxContent>
                <w:p w14:paraId="7D0A099E" w14:textId="0A9F4BD4" w:rsidR="0091544D" w:rsidRPr="00327279" w:rsidRDefault="00327279" w:rsidP="00982AB5">
                  <w:pPr>
                    <w:spacing w:after="0" w:line="240" w:lineRule="auto"/>
                    <w:rPr>
                      <w:sz w:val="16"/>
                      <w:szCs w:val="16"/>
                      <w:lang w:val="sk-SK"/>
                    </w:rPr>
                  </w:pPr>
                  <w:r w:rsidRPr="00327279">
                    <w:rPr>
                      <w:sz w:val="16"/>
                      <w:szCs w:val="16"/>
                      <w:lang w:val="sk-SK"/>
                    </w:rPr>
                    <w:t>Vytvoriť systém kompatibility a priechodnosti medzi sektormi formálneho, neformálneho a informálneho vzdelávania</w:t>
                  </w:r>
                </w:p>
              </w:txbxContent>
            </v:textbox>
          </v:shape>
        </w:pict>
      </w:r>
    </w:p>
    <w:p w14:paraId="7D0A08F1" w14:textId="7276168E" w:rsidR="00EC573F" w:rsidRDefault="00FB784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C">
          <v:shape id="_x0000_s1293" type="#_x0000_t202" style="position:absolute;margin-left:178pt;margin-top:9.6pt;width:85.05pt;height:79.35pt;z-index:251658331;mso-width-relative:margin;mso-height-relative:margin" fillcolor="#d6e3bc [1302]">
            <v:textbox style="mso-next-textbox:#_x0000_s1293">
              <w:txbxContent>
                <w:p w14:paraId="2BC2933B" w14:textId="77777777" w:rsidR="00240A34" w:rsidRPr="00240A34" w:rsidRDefault="00240A34" w:rsidP="00240A34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  <w:r w:rsidRPr="00240A34"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  <w:t>Zlepšenie priechodnosti medzi sektormi a úrovňami formálneho, neformálneho a informálneho vzdelávania</w:t>
                  </w:r>
                </w:p>
                <w:p w14:paraId="62971739" w14:textId="77777777" w:rsidR="00240A34" w:rsidRPr="00240A34" w:rsidRDefault="00240A34" w:rsidP="00240A34">
                  <w:pPr>
                    <w:spacing w:after="160" w:line="259" w:lineRule="auto"/>
                    <w:rPr>
                      <w:rFonts w:ascii="Calibri" w:eastAsia="Calibri" w:hAnsi="Calibri" w:cs="Times New Roman"/>
                      <w:sz w:val="16"/>
                      <w:szCs w:val="16"/>
                      <w:lang w:val="sk-SK"/>
                    </w:rPr>
                  </w:pPr>
                </w:p>
                <w:p w14:paraId="2FBFAC53" w14:textId="77777777" w:rsidR="00240A34" w:rsidRPr="003A3328" w:rsidRDefault="00240A34" w:rsidP="00240A3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F2" w14:textId="23845201" w:rsidR="00B04C03" w:rsidRDefault="00B9247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A">
          <v:shape id="_x0000_s1200" type="#_x0000_t202" style="position:absolute;margin-left:769.75pt;margin-top:9.95pt;width:155.9pt;height:52.7pt;z-index:251658296" fillcolor="#dbe5f1 [660]">
            <v:textbox style="mso-next-textbox:#_x0000_s1200">
              <w:txbxContent>
                <w:p w14:paraId="2A631138" w14:textId="18B21D55" w:rsidR="00327279" w:rsidRPr="00327279" w:rsidRDefault="00327279" w:rsidP="00327279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Vytvorený systém kompatibility a priechodnosti medzi </w:t>
                  </w:r>
                  <w:r w:rsidR="0051052E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systémami</w:t>
                  </w:r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formálneho, neformálneho a </w:t>
                  </w:r>
                  <w:proofErr w:type="spellStart"/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informálneho</w:t>
                  </w:r>
                  <w:proofErr w:type="spellEnd"/>
                  <w:r w:rsidRPr="00327279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 xml:space="preserve"> vzdelávania</w:t>
                  </w:r>
                </w:p>
                <w:p w14:paraId="7D0A099B" w14:textId="400F84EB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4434AFB6">
          <v:shape id="_x0000_s1339" type="#_x0000_t202" style="position:absolute;margin-left:264.2pt;margin-top:12.2pt;width:20.8pt;height:24.4pt;z-index:251670634" stroked="f">
            <v:textbox style="mso-next-textbox:#_x0000_s1339">
              <w:txbxContent>
                <w:p w14:paraId="5348B32F" w14:textId="6B758133" w:rsidR="00E95F80" w:rsidRPr="00E95F80" w:rsidRDefault="00E95F80" w:rsidP="00E95F80">
                  <w:pPr>
                    <w:rPr>
                      <w:b/>
                      <w:bCs/>
                    </w:rPr>
                  </w:pPr>
                  <w:r w:rsidRPr="00E95F80">
                    <w:rPr>
                      <w:rFonts w:cstheme="minorHAnsi"/>
                      <w:b/>
                      <w:bCs/>
                    </w:rPr>
                    <w:t>②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56">
          <v:shape id="_x0000_s1246" type="#_x0000_t202" style="position:absolute;margin-left:599.55pt;margin-top:9.95pt;width:155.9pt;height:52.7pt;z-index:251658302" fillcolor="#ddd8c2 [2894]">
            <v:textbox style="mso-next-textbox:#_x0000_s1246">
              <w:txbxContent>
                <w:p w14:paraId="09A33A0C" w14:textId="77777777" w:rsidR="005634F7" w:rsidRPr="005634F7" w:rsidRDefault="005634F7" w:rsidP="005634F7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5634F7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Absolventi programov CŽV získavajú kvalifikáciu a výsledky ich formálneho a neformálneho vzdelávania sú všeobecne uznávané</w:t>
                  </w:r>
                </w:p>
                <w:p w14:paraId="416FB17C" w14:textId="77777777" w:rsidR="00C439E1" w:rsidRPr="00CC0A07" w:rsidRDefault="00C439E1" w:rsidP="00C439E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FB784E">
        <w:rPr>
          <w:rFonts w:cstheme="minorHAnsi"/>
          <w:b/>
          <w:noProof/>
          <w:lang w:eastAsia="cs-CZ"/>
        </w:rPr>
        <w:pict w14:anchorId="7D0A0967">
          <v:shape id="_x0000_s1298" type="#_x0000_t202" style="position:absolute;margin-left:381.35pt;margin-top:.95pt;width:184.25pt;height:39.7pt;z-index:251658335" fillcolor="#fbd4b4 [1305]">
            <v:textbox style="mso-next-textbox:#_x0000_s1298">
              <w:txbxContent>
                <w:p w14:paraId="34A9FA05" w14:textId="71D52324" w:rsidR="005102E8" w:rsidRPr="005102E8" w:rsidRDefault="00EC6B6A" w:rsidP="005102E8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Prijaté opatrenia na u</w:t>
                  </w:r>
                  <w:r w:rsidR="001A66AF">
                    <w:rPr>
                      <w:sz w:val="16"/>
                      <w:szCs w:val="16"/>
                      <w:lang w:val="sk-SK"/>
                    </w:rPr>
                    <w:t>znávanie</w:t>
                  </w:r>
                  <w:r w:rsidR="005102E8">
                    <w:rPr>
                      <w:sz w:val="16"/>
                      <w:szCs w:val="16"/>
                      <w:lang w:val="sk-SK"/>
                    </w:rPr>
                    <w:t xml:space="preserve"> výsledkov formálneho, neform</w:t>
                  </w:r>
                  <w:r w:rsidR="001A66AF">
                    <w:rPr>
                      <w:sz w:val="16"/>
                      <w:szCs w:val="16"/>
                      <w:lang w:val="sk-SK"/>
                    </w:rPr>
                    <w:t xml:space="preserve">álneho a informálneho vzdelávania </w:t>
                  </w:r>
                </w:p>
              </w:txbxContent>
            </v:textbox>
          </v:shape>
        </w:pict>
      </w:r>
    </w:p>
    <w:p w14:paraId="7D0A08F3" w14:textId="3F25B051" w:rsidR="00B04C03" w:rsidRDefault="00B9247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278" type="#_x0000_t32" style="position:absolute;margin-left:565.65pt;margin-top:5.55pt;width:33.85pt;height:21.7pt;z-index:251658324" o:connectortype="straight">
            <v:stroke endarrow="block"/>
          </v:shape>
        </w:pict>
      </w:r>
      <w:r w:rsidR="00944027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62">
          <v:shape id="_x0000_s1253" type="#_x0000_t32" style="position:absolute;margin-left:348.5pt;margin-top:1.35pt;width:33.8pt;height:22.65pt;flip:y;z-index:251658307" o:connectortype="straight">
            <v:stroke endarrow="block"/>
          </v:shape>
        </w:pict>
      </w:r>
    </w:p>
    <w:p w14:paraId="7D0A08F4" w14:textId="374C30CF" w:rsidR="00B04C03" w:rsidRDefault="00B9247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4F">
          <v:shape id="_x0000_s1288" type="#_x0000_t32" style="position:absolute;margin-left:924.5pt;margin-top:9.7pt;width:35.35pt;height:0;z-index:251658328" o:connectortype="straight">
            <v:stroke endarrow="block"/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16F081A7">
          <v:shape id="_x0000_s1301" type="#_x0000_t32" style="position:absolute;margin-left:755.4pt;margin-top:10pt;width:14.35pt;height:0;z-index:251658337" o:connectortype="straight">
            <v:stroke endarrow="block"/>
          </v:shape>
        </w:pict>
      </w:r>
      <w:r w:rsidR="0069391A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62">
          <v:shape id="_x0000_s1299" type="#_x0000_t32" style="position:absolute;margin-left:262.55pt;margin-top:10pt;width:85.95pt;height:.6pt;z-index:251658336" o:connectortype="straight">
            <v:stroke endarrow="block"/>
          </v:shape>
        </w:pict>
      </w:r>
      <w:r w:rsidR="00B8793D">
        <w:rPr>
          <w:rFonts w:cstheme="minorHAnsi"/>
          <w:b/>
          <w:noProof/>
          <w:lang w:eastAsia="cs-CZ"/>
        </w:rPr>
        <w:pict w14:anchorId="7D0A0962">
          <v:shape id="_x0000_s1209" type="#_x0000_t32" style="position:absolute;margin-left:348.5pt;margin-top:10.55pt;width:32.85pt;height:27.1pt;z-index:251658291" o:connectortype="straight">
            <v:stroke endarrow="block"/>
          </v:shape>
        </w:pict>
      </w:r>
    </w:p>
    <w:p w14:paraId="7D0A08F5" w14:textId="023B8637" w:rsidR="00B04C03" w:rsidRDefault="00B9247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279" type="#_x0000_t32" style="position:absolute;margin-left:565.6pt;margin-top:.4pt;width:33.05pt;height:17.6pt;flip:y;z-index:251658325" o:connectortype="straight">
            <v:stroke endarrow="block"/>
          </v:shape>
        </w:pict>
      </w:r>
      <w:r w:rsidR="00FB784E"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4A">
          <v:shape id="_x0000_s1248" type="#_x0000_t202" style="position:absolute;margin-left:381.35pt;margin-top:.4pt;width:184.25pt;height:33.25pt;z-index:251658304" fillcolor="#fbd4b4 [1305]">
            <v:textbox style="mso-next-textbox:#_x0000_s1248">
              <w:txbxContent>
                <w:p w14:paraId="54F37DFB" w14:textId="28EDEC8C" w:rsidR="00A1356D" w:rsidRPr="00A1356D" w:rsidRDefault="003D38CB" w:rsidP="00A1356D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Implementácia </w:t>
                  </w:r>
                  <w:r w:rsidR="00A1356D" w:rsidRPr="00A1356D">
                    <w:rPr>
                      <w:sz w:val="16"/>
                      <w:szCs w:val="16"/>
                      <w:lang w:val="sk-SK"/>
                    </w:rPr>
                    <w:t xml:space="preserve">efektívneho systému hodnotenia vzdelávania  a národného kvalifikačného rámca </w:t>
                  </w:r>
                </w:p>
                <w:p w14:paraId="1FEA6FA7" w14:textId="3B89E7DC" w:rsidR="006F4046" w:rsidRPr="006F4046" w:rsidRDefault="006F4046" w:rsidP="006F4046">
                  <w:p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</w:p>
    <w:p w14:paraId="7D0A08F6" w14:textId="4EB01E40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7" w14:textId="1F8A347C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8" w14:textId="0A7A29B5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9" w14:textId="0E86E306" w:rsidR="00B04C03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C">
          <v:roundrect id="_x0000_s1212" style="position:absolute;margin-left:3.4pt;margin-top:6.45pt;width:270.75pt;height:139.8pt;z-index:251658292" arcsize="3337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6A">
          <v:roundrect id="_x0000_s1214" style="position:absolute;margin-left:301.15pt;margin-top:6.45pt;width:750.75pt;height:138.25pt;z-index:251658293" arcsize="3337f" filled="f" strokecolor="black [3213]" strokeweight="1.5pt"/>
        </w:pict>
      </w:r>
    </w:p>
    <w:p w14:paraId="7D0A08FA" w14:textId="4B2E3E14" w:rsidR="00B04C03" w:rsidRDefault="0009334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8">
          <v:shape id="_x0000_s1215" type="#_x0000_t202" style="position:absolute;margin-left:311.6pt;margin-top:12.05pt;width:728.3pt;height:104.4pt;z-index:251658294" fillcolor="yellow">
            <v:textbox style="mso-next-textbox:#_x0000_s1215">
              <w:txbxContent>
                <w:p w14:paraId="7D0A09A2" w14:textId="77777777" w:rsidR="0091544D" w:rsidRPr="00093341" w:rsidRDefault="0091544D" w:rsidP="00F81E45">
                  <w:pPr>
                    <w:spacing w:after="120" w:line="240" w:lineRule="auto"/>
                    <w:jc w:val="center"/>
                    <w:rPr>
                      <w:szCs w:val="18"/>
                      <w:lang w:val="sk-SK"/>
                    </w:rPr>
                  </w:pPr>
                  <w:r w:rsidRPr="00093341">
                    <w:rPr>
                      <w:rFonts w:ascii="Calibri" w:hAnsi="Calibri" w:cs="Calibri"/>
                      <w:b/>
                      <w:bCs/>
                      <w:lang w:val="sk-SK"/>
                    </w:rPr>
                    <w:t xml:space="preserve">Externé predpoklady </w:t>
                  </w:r>
                  <w:r w:rsidRPr="00093341">
                    <w:rPr>
                      <w:rFonts w:ascii="Calibri" w:hAnsi="Calibri" w:cs="Calibri"/>
                      <w:b/>
                      <w:lang w:val="sk-SK"/>
                    </w:rPr>
                    <w:t>pre dosiahnutie výsledkov</w:t>
                  </w:r>
                </w:p>
                <w:p w14:paraId="7D0A09A3" w14:textId="68065DF1" w:rsidR="0091544D" w:rsidRPr="00093341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093341">
                    <w:rPr>
                      <w:rFonts w:ascii="Cambria" w:hAnsi="Cambria"/>
                    </w:rPr>
                    <w:sym w:font="Wingdings 2" w:char="F06A"/>
                  </w:r>
                  <w:r w:rsidRPr="0009334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093341">
                    <w:rPr>
                      <w:rFonts w:ascii="Calibri" w:hAnsi="Calibri" w:cs="Calibri"/>
                      <w:sz w:val="20"/>
                      <w:szCs w:val="20"/>
                    </w:rPr>
                    <w:tab/>
                  </w:r>
                  <w:r w:rsidR="00C10EAF"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zamestnávatelia majú záujem o vzdelávanie vlastných zamestnancov</w:t>
                  </w:r>
                </w:p>
                <w:p w14:paraId="7D0A09A4" w14:textId="12ED45FA" w:rsidR="0091544D" w:rsidRPr="00093341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libri"/>
                      <w:lang w:val="sk-SK"/>
                    </w:rPr>
                  </w:pPr>
                  <w:r w:rsidRPr="00093341">
                    <w:rPr>
                      <w:rFonts w:ascii="Cambria" w:hAnsi="Cambria" w:cs="Calibri"/>
                      <w:lang w:val="sk-SK"/>
                    </w:rPr>
                    <w:sym w:font="Wingdings 2" w:char="F06B"/>
                  </w:r>
                  <w:r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C10EAF"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záujem dospelých o ďalšie vzdelávanie</w:t>
                  </w:r>
                </w:p>
                <w:p w14:paraId="7D0A09A5" w14:textId="315882BA" w:rsidR="0091544D" w:rsidRPr="00093341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093341">
                    <w:rPr>
                      <w:rFonts w:ascii="Cambria" w:hAnsi="Cambria" w:cs="Calibri"/>
                      <w:lang w:val="sk-SK"/>
                    </w:rPr>
                    <w:sym w:font="Wingdings 2" w:char="F06C"/>
                  </w:r>
                  <w:r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bookmarkStart w:id="1" w:name="_GoBack"/>
                  <w:bookmarkEnd w:id="1"/>
                  <w:r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C10EAF"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implementácia Stratégie celoživotného vzdelávania a celoživotného poradenstva schválenej 25. apríla 2007</w:t>
                  </w:r>
                </w:p>
                <w:p w14:paraId="7D0A09A6" w14:textId="708DBA39" w:rsidR="0091544D" w:rsidRPr="00093341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093341">
                    <w:rPr>
                      <w:rFonts w:ascii="Cambria" w:hAnsi="Cambria" w:cs="Calibri"/>
                      <w:lang w:val="sk-SK"/>
                    </w:rPr>
                    <w:sym w:font="Wingdings 2" w:char="F06D"/>
                  </w:r>
                  <w:r w:rsidRPr="00093341">
                    <w:rPr>
                      <w:rFonts w:ascii="Cambria" w:hAnsi="Cambria" w:cs="Calibri"/>
                      <w:lang w:val="sk-SK"/>
                    </w:rPr>
                    <w:tab/>
                  </w:r>
                  <w:r w:rsidR="00C10EAF"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dostatočné financie vyčlenené zo štátneho rozpočtu pre formálne, neformálne a informálne učenie sa </w:t>
                  </w:r>
                </w:p>
                <w:p w14:paraId="7D0A09A7" w14:textId="050987C1" w:rsidR="0091544D" w:rsidRPr="00093341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093341">
                    <w:rPr>
                      <w:rFonts w:ascii="Cambria" w:hAnsi="Cambria" w:cs="Calibri"/>
                      <w:lang w:val="sk-SK"/>
                    </w:rPr>
                    <w:sym w:font="Wingdings 2" w:char="F06E"/>
                  </w:r>
                  <w:r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="00950AB6"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D735D3" w:rsidRPr="0009334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novela zákona o školských zariadeniach</w:t>
                  </w:r>
                </w:p>
                <w:p w14:paraId="7D0A09AA" w14:textId="72471D07" w:rsidR="0091544D" w:rsidRPr="00D735D3" w:rsidRDefault="0091544D" w:rsidP="00D735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lang w:val="sk-SK"/>
                    </w:rPr>
                  </w:pPr>
                  <w:r w:rsidRPr="00D735D3">
                    <w:rPr>
                      <w:rFonts w:ascii="Calibri" w:hAnsi="Calibri" w:cs="Calibri"/>
                      <w:lang w:val="sk-SK"/>
                    </w:rPr>
                    <w:tab/>
                  </w:r>
                </w:p>
                <w:p w14:paraId="7D0A09AB" w14:textId="4BF49687" w:rsidR="0091544D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  <w:lang w:val="sk-SK"/>
                    </w:rPr>
                  </w:pPr>
                  <w:r w:rsidRPr="00D91274">
                    <w:rPr>
                      <w:rFonts w:ascii="Calibri" w:hAnsi="Calibri" w:cs="Calibri"/>
                      <w:sz w:val="18"/>
                      <w:szCs w:val="18"/>
                      <w:lang w:val="sk-SK"/>
                    </w:rPr>
                    <w:tab/>
                  </w:r>
                </w:p>
                <w:p w14:paraId="20540243" w14:textId="77777777" w:rsidR="00950AB6" w:rsidRDefault="00950AB6"/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69">
          <v:shape id="_x0000_s1087" type="#_x0000_t202" style="position:absolute;margin-left:13.25pt;margin-top:1.25pt;width:249.3pt;height:123.3pt;z-index:251658244" fillcolor="yellow">
            <v:textbox style="mso-next-textbox:#_x0000_s1087">
              <w:txbxContent>
                <w:p w14:paraId="7D0A09AC" w14:textId="77777777" w:rsidR="0091544D" w:rsidRPr="00176818" w:rsidRDefault="0091544D" w:rsidP="004919A5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76818">
                    <w:rPr>
                      <w:b/>
                    </w:rPr>
                    <w:t>Vstupy</w:t>
                  </w:r>
                </w:p>
                <w:p w14:paraId="7D0A09AD" w14:textId="77777777" w:rsidR="0091544D" w:rsidRDefault="0091544D" w:rsidP="00A266A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7D0A09AF" w14:textId="77777777" w:rsidR="0091544D" w:rsidRPr="003A3328" w:rsidRDefault="0091544D" w:rsidP="00A266A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7D0A09B0" w14:textId="42777E15" w:rsidR="0091544D" w:rsidRPr="00093341" w:rsidRDefault="0091544D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093341">
                    <w:rPr>
                      <w:sz w:val="20"/>
                      <w:szCs w:val="20"/>
                      <w:lang w:val="sk-SK"/>
                    </w:rPr>
                    <w:t xml:space="preserve">Celkový rozpočet opatrenia </w:t>
                  </w:r>
                  <w:r w:rsidR="00A1356D" w:rsidRPr="00093341">
                    <w:rPr>
                      <w:sz w:val="20"/>
                      <w:szCs w:val="20"/>
                      <w:lang w:val="sk-SK"/>
                    </w:rPr>
                    <w:t>2</w:t>
                  </w:r>
                  <w:r w:rsidRPr="00093341">
                    <w:rPr>
                      <w:sz w:val="20"/>
                      <w:szCs w:val="20"/>
                      <w:lang w:val="sk-SK"/>
                    </w:rPr>
                    <w:t>.1:</w:t>
                  </w:r>
                  <w:r w:rsidR="00EB068B" w:rsidRPr="00093341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A1356D" w:rsidRPr="00093341">
                    <w:rPr>
                      <w:sz w:val="20"/>
                      <w:szCs w:val="20"/>
                      <w:lang w:val="sk-SK"/>
                    </w:rPr>
                    <w:t>116 342 593,68</w:t>
                  </w:r>
                  <w:r w:rsidR="000C0937" w:rsidRPr="00093341">
                    <w:rPr>
                      <w:sz w:val="20"/>
                      <w:szCs w:val="20"/>
                      <w:lang w:val="sk-SK"/>
                    </w:rPr>
                    <w:t xml:space="preserve"> EUR</w:t>
                  </w:r>
                </w:p>
                <w:p w14:paraId="6D82A0CF" w14:textId="77777777" w:rsidR="00026209" w:rsidRPr="00093341" w:rsidRDefault="00026209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77B4E51D" w14:textId="2D4471AD" w:rsidR="00846495" w:rsidRPr="00093341" w:rsidRDefault="00846495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093341">
                    <w:rPr>
                      <w:sz w:val="20"/>
                      <w:szCs w:val="20"/>
                      <w:lang w:val="sk-SK"/>
                    </w:rPr>
                    <w:t>Celková výška čerpania</w:t>
                  </w:r>
                  <w:r w:rsidR="00026209" w:rsidRPr="00093341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A1356D" w:rsidRPr="00093341">
                    <w:rPr>
                      <w:sz w:val="20"/>
                      <w:szCs w:val="20"/>
                      <w:lang w:val="sk-SK"/>
                    </w:rPr>
                    <w:t>2</w:t>
                  </w:r>
                  <w:r w:rsidR="00026209" w:rsidRPr="00093341">
                    <w:rPr>
                      <w:sz w:val="20"/>
                      <w:szCs w:val="20"/>
                      <w:lang w:val="sk-SK"/>
                    </w:rPr>
                    <w:t>.1:</w:t>
                  </w:r>
                  <w:r w:rsidR="000C0937" w:rsidRPr="00093341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A1356D" w:rsidRPr="00093341">
                    <w:rPr>
                      <w:sz w:val="20"/>
                      <w:szCs w:val="20"/>
                      <w:lang w:val="sk-SK"/>
                    </w:rPr>
                    <w:t xml:space="preserve">100 706 733,09 </w:t>
                  </w:r>
                  <w:r w:rsidR="003E5E46" w:rsidRPr="00093341">
                    <w:rPr>
                      <w:sz w:val="20"/>
                      <w:szCs w:val="20"/>
                      <w:lang w:val="sk-SK"/>
                    </w:rPr>
                    <w:t>EUR</w:t>
                  </w:r>
                </w:p>
                <w:p w14:paraId="35C9BE68" w14:textId="179A7D57" w:rsidR="00080091" w:rsidRPr="00093341" w:rsidRDefault="00080091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1CC7391E" w14:textId="3CAEB600" w:rsidR="00080091" w:rsidRPr="00093341" w:rsidRDefault="00080091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093341">
                    <w:rPr>
                      <w:sz w:val="20"/>
                      <w:szCs w:val="20"/>
                      <w:lang w:val="sk-SK"/>
                    </w:rPr>
                    <w:t>Počet vý</w:t>
                  </w:r>
                  <w:r w:rsidR="00CA2678" w:rsidRPr="00093341">
                    <w:rPr>
                      <w:sz w:val="20"/>
                      <w:szCs w:val="20"/>
                      <w:lang w:val="sk-SK"/>
                    </w:rPr>
                    <w:t>ziev pre DOP: 4</w:t>
                  </w:r>
                </w:p>
                <w:p w14:paraId="158903D5" w14:textId="25B375EA" w:rsidR="00CA2678" w:rsidRPr="00093341" w:rsidRDefault="00CA2678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093341">
                    <w:rPr>
                      <w:sz w:val="20"/>
                      <w:szCs w:val="20"/>
                      <w:lang w:val="sk-SK"/>
                    </w:rPr>
                    <w:t xml:space="preserve">Počet </w:t>
                  </w:r>
                  <w:r w:rsidR="00277B3D" w:rsidRPr="00093341">
                    <w:rPr>
                      <w:sz w:val="20"/>
                      <w:szCs w:val="20"/>
                      <w:lang w:val="sk-SK"/>
                    </w:rPr>
                    <w:t>písomných vyzvaní</w:t>
                  </w:r>
                  <w:r w:rsidRPr="00093341">
                    <w:rPr>
                      <w:sz w:val="20"/>
                      <w:szCs w:val="20"/>
                      <w:lang w:val="sk-SK"/>
                    </w:rPr>
                    <w:t xml:space="preserve"> pre NP: </w:t>
                  </w:r>
                  <w:r w:rsidR="00EF632E" w:rsidRPr="00093341">
                    <w:rPr>
                      <w:sz w:val="20"/>
                      <w:szCs w:val="20"/>
                      <w:lang w:val="sk-SK"/>
                    </w:rPr>
                    <w:t>15</w:t>
                  </w:r>
                </w:p>
                <w:p w14:paraId="7D0A09B1" w14:textId="77777777" w:rsidR="0091544D" w:rsidRPr="003A3328" w:rsidRDefault="0091544D" w:rsidP="00A266A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FB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C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D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F" w14:textId="16C4295A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0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1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2" w14:textId="77777777" w:rsidR="007E4CE8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A090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4" w14:textId="7777777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C573F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2B0"/>
    <w:rsid w:val="00000B11"/>
    <w:rsid w:val="00002C2F"/>
    <w:rsid w:val="00006DB4"/>
    <w:rsid w:val="000236E4"/>
    <w:rsid w:val="00026209"/>
    <w:rsid w:val="00032CF0"/>
    <w:rsid w:val="00035E71"/>
    <w:rsid w:val="00072587"/>
    <w:rsid w:val="000779CF"/>
    <w:rsid w:val="00080091"/>
    <w:rsid w:val="00085413"/>
    <w:rsid w:val="000913F0"/>
    <w:rsid w:val="00093341"/>
    <w:rsid w:val="000936C4"/>
    <w:rsid w:val="000C0937"/>
    <w:rsid w:val="000C5186"/>
    <w:rsid w:val="000D5282"/>
    <w:rsid w:val="000E6FB9"/>
    <w:rsid w:val="000F37C1"/>
    <w:rsid w:val="000F591F"/>
    <w:rsid w:val="00113CE8"/>
    <w:rsid w:val="00116B83"/>
    <w:rsid w:val="00122A31"/>
    <w:rsid w:val="00126329"/>
    <w:rsid w:val="001373BC"/>
    <w:rsid w:val="00147070"/>
    <w:rsid w:val="00167214"/>
    <w:rsid w:val="00176818"/>
    <w:rsid w:val="0017702E"/>
    <w:rsid w:val="00194668"/>
    <w:rsid w:val="001A66AF"/>
    <w:rsid w:val="001A6BFB"/>
    <w:rsid w:val="001E163B"/>
    <w:rsid w:val="001E2B01"/>
    <w:rsid w:val="001E6771"/>
    <w:rsid w:val="001F2A61"/>
    <w:rsid w:val="002003E6"/>
    <w:rsid w:val="00221AC6"/>
    <w:rsid w:val="00233DD8"/>
    <w:rsid w:val="00240A34"/>
    <w:rsid w:val="00240C96"/>
    <w:rsid w:val="00241FEE"/>
    <w:rsid w:val="002434C0"/>
    <w:rsid w:val="00277B3D"/>
    <w:rsid w:val="002836FD"/>
    <w:rsid w:val="00287583"/>
    <w:rsid w:val="00293727"/>
    <w:rsid w:val="00296181"/>
    <w:rsid w:val="002B6334"/>
    <w:rsid w:val="002D202B"/>
    <w:rsid w:val="002D5C3D"/>
    <w:rsid w:val="002E6F72"/>
    <w:rsid w:val="00312FD6"/>
    <w:rsid w:val="00327279"/>
    <w:rsid w:val="0033480D"/>
    <w:rsid w:val="0034511C"/>
    <w:rsid w:val="00350093"/>
    <w:rsid w:val="00352DA6"/>
    <w:rsid w:val="003559FD"/>
    <w:rsid w:val="00364987"/>
    <w:rsid w:val="00387069"/>
    <w:rsid w:val="003A3328"/>
    <w:rsid w:val="003A595E"/>
    <w:rsid w:val="003C6302"/>
    <w:rsid w:val="003D38CB"/>
    <w:rsid w:val="003D7492"/>
    <w:rsid w:val="003E05DB"/>
    <w:rsid w:val="003E5E46"/>
    <w:rsid w:val="003F4CFD"/>
    <w:rsid w:val="00404479"/>
    <w:rsid w:val="004059BF"/>
    <w:rsid w:val="00424C39"/>
    <w:rsid w:val="004260CA"/>
    <w:rsid w:val="00432BF7"/>
    <w:rsid w:val="00441911"/>
    <w:rsid w:val="00456D37"/>
    <w:rsid w:val="00481889"/>
    <w:rsid w:val="004855A0"/>
    <w:rsid w:val="004919A5"/>
    <w:rsid w:val="004F5027"/>
    <w:rsid w:val="00500470"/>
    <w:rsid w:val="00503B81"/>
    <w:rsid w:val="005102E8"/>
    <w:rsid w:val="0051052E"/>
    <w:rsid w:val="0053186F"/>
    <w:rsid w:val="00543FD1"/>
    <w:rsid w:val="00555626"/>
    <w:rsid w:val="00562506"/>
    <w:rsid w:val="005634F7"/>
    <w:rsid w:val="005675B2"/>
    <w:rsid w:val="00572160"/>
    <w:rsid w:val="00573F0A"/>
    <w:rsid w:val="00575C70"/>
    <w:rsid w:val="00582CC8"/>
    <w:rsid w:val="005947F9"/>
    <w:rsid w:val="0059631E"/>
    <w:rsid w:val="005B19F5"/>
    <w:rsid w:val="005B1B35"/>
    <w:rsid w:val="005B6180"/>
    <w:rsid w:val="005C1116"/>
    <w:rsid w:val="005F2A4A"/>
    <w:rsid w:val="00611759"/>
    <w:rsid w:val="00637B0A"/>
    <w:rsid w:val="00645A5B"/>
    <w:rsid w:val="006506AA"/>
    <w:rsid w:val="0065348D"/>
    <w:rsid w:val="00654602"/>
    <w:rsid w:val="0069391A"/>
    <w:rsid w:val="006B22B0"/>
    <w:rsid w:val="006C770C"/>
    <w:rsid w:val="006F4046"/>
    <w:rsid w:val="00700A49"/>
    <w:rsid w:val="0070102E"/>
    <w:rsid w:val="0072539E"/>
    <w:rsid w:val="00725985"/>
    <w:rsid w:val="0072652B"/>
    <w:rsid w:val="007373DA"/>
    <w:rsid w:val="00744106"/>
    <w:rsid w:val="007751F0"/>
    <w:rsid w:val="00787684"/>
    <w:rsid w:val="0079019A"/>
    <w:rsid w:val="00795878"/>
    <w:rsid w:val="007A3461"/>
    <w:rsid w:val="007A710D"/>
    <w:rsid w:val="007B3A89"/>
    <w:rsid w:val="007C6D54"/>
    <w:rsid w:val="007E28C9"/>
    <w:rsid w:val="007E4CE8"/>
    <w:rsid w:val="007F2287"/>
    <w:rsid w:val="00800CE6"/>
    <w:rsid w:val="008155E3"/>
    <w:rsid w:val="00841138"/>
    <w:rsid w:val="00843CB0"/>
    <w:rsid w:val="00846495"/>
    <w:rsid w:val="00847A9D"/>
    <w:rsid w:val="0086328C"/>
    <w:rsid w:val="00883BBB"/>
    <w:rsid w:val="0088735D"/>
    <w:rsid w:val="0089366E"/>
    <w:rsid w:val="008A2468"/>
    <w:rsid w:val="008C2F23"/>
    <w:rsid w:val="008C3D89"/>
    <w:rsid w:val="009022BC"/>
    <w:rsid w:val="0091544D"/>
    <w:rsid w:val="00927F20"/>
    <w:rsid w:val="00930004"/>
    <w:rsid w:val="00944027"/>
    <w:rsid w:val="009504B2"/>
    <w:rsid w:val="00950AB6"/>
    <w:rsid w:val="0096391B"/>
    <w:rsid w:val="00982AB5"/>
    <w:rsid w:val="009C062F"/>
    <w:rsid w:val="009C3A9E"/>
    <w:rsid w:val="009F0DA8"/>
    <w:rsid w:val="009F12CF"/>
    <w:rsid w:val="00A02F91"/>
    <w:rsid w:val="00A1356D"/>
    <w:rsid w:val="00A2496F"/>
    <w:rsid w:val="00A266A7"/>
    <w:rsid w:val="00A30E16"/>
    <w:rsid w:val="00A3727D"/>
    <w:rsid w:val="00A40101"/>
    <w:rsid w:val="00A430D5"/>
    <w:rsid w:val="00A5162C"/>
    <w:rsid w:val="00A60936"/>
    <w:rsid w:val="00A845F7"/>
    <w:rsid w:val="00A8765F"/>
    <w:rsid w:val="00A97B3A"/>
    <w:rsid w:val="00AA6B4A"/>
    <w:rsid w:val="00AC71F1"/>
    <w:rsid w:val="00AD79E4"/>
    <w:rsid w:val="00AE3FB9"/>
    <w:rsid w:val="00B0322E"/>
    <w:rsid w:val="00B04C03"/>
    <w:rsid w:val="00B35A9A"/>
    <w:rsid w:val="00B40B1F"/>
    <w:rsid w:val="00B50EC3"/>
    <w:rsid w:val="00B6493F"/>
    <w:rsid w:val="00B658AD"/>
    <w:rsid w:val="00B771F9"/>
    <w:rsid w:val="00B8793D"/>
    <w:rsid w:val="00B92470"/>
    <w:rsid w:val="00BA7F0F"/>
    <w:rsid w:val="00BB4F28"/>
    <w:rsid w:val="00BC18D7"/>
    <w:rsid w:val="00BC4510"/>
    <w:rsid w:val="00BD3AD2"/>
    <w:rsid w:val="00BD7384"/>
    <w:rsid w:val="00BE3923"/>
    <w:rsid w:val="00C0291C"/>
    <w:rsid w:val="00C050EA"/>
    <w:rsid w:val="00C10EAF"/>
    <w:rsid w:val="00C250D4"/>
    <w:rsid w:val="00C35EF3"/>
    <w:rsid w:val="00C377DC"/>
    <w:rsid w:val="00C439E1"/>
    <w:rsid w:val="00C53BD3"/>
    <w:rsid w:val="00C70C46"/>
    <w:rsid w:val="00C72F10"/>
    <w:rsid w:val="00C85AA4"/>
    <w:rsid w:val="00CA2678"/>
    <w:rsid w:val="00CA5297"/>
    <w:rsid w:val="00CA7856"/>
    <w:rsid w:val="00CC0A07"/>
    <w:rsid w:val="00CC3660"/>
    <w:rsid w:val="00CD752D"/>
    <w:rsid w:val="00CE0472"/>
    <w:rsid w:val="00CE666A"/>
    <w:rsid w:val="00CF2D22"/>
    <w:rsid w:val="00CF689C"/>
    <w:rsid w:val="00D0139F"/>
    <w:rsid w:val="00D139F9"/>
    <w:rsid w:val="00D34964"/>
    <w:rsid w:val="00D43C49"/>
    <w:rsid w:val="00D45391"/>
    <w:rsid w:val="00D735D3"/>
    <w:rsid w:val="00D87BEA"/>
    <w:rsid w:val="00D91274"/>
    <w:rsid w:val="00D917EB"/>
    <w:rsid w:val="00DA1A66"/>
    <w:rsid w:val="00DC7F4C"/>
    <w:rsid w:val="00DD45E6"/>
    <w:rsid w:val="00DE48DB"/>
    <w:rsid w:val="00DF1CA3"/>
    <w:rsid w:val="00E00AB4"/>
    <w:rsid w:val="00E05558"/>
    <w:rsid w:val="00E47D60"/>
    <w:rsid w:val="00E637A0"/>
    <w:rsid w:val="00E64DA7"/>
    <w:rsid w:val="00E85B9E"/>
    <w:rsid w:val="00E95F80"/>
    <w:rsid w:val="00EA66A5"/>
    <w:rsid w:val="00EB068B"/>
    <w:rsid w:val="00EB1A65"/>
    <w:rsid w:val="00EC573F"/>
    <w:rsid w:val="00EC67FB"/>
    <w:rsid w:val="00EC6B6A"/>
    <w:rsid w:val="00ED4521"/>
    <w:rsid w:val="00EF632E"/>
    <w:rsid w:val="00F116FD"/>
    <w:rsid w:val="00F16F59"/>
    <w:rsid w:val="00F3278D"/>
    <w:rsid w:val="00F33CF1"/>
    <w:rsid w:val="00F3527C"/>
    <w:rsid w:val="00F408AD"/>
    <w:rsid w:val="00F47374"/>
    <w:rsid w:val="00F57DAE"/>
    <w:rsid w:val="00F81E45"/>
    <w:rsid w:val="00FB784E"/>
    <w:rsid w:val="00FC2A87"/>
    <w:rsid w:val="00FC3B59"/>
    <w:rsid w:val="00FE3453"/>
    <w:rsid w:val="00FF561A"/>
    <w:rsid w:val="00FF6CC0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0">
      <o:colormru v:ext="edit" colors="#ddd8c2,#ccecff,#dbe5f1"/>
    </o:shapedefaults>
    <o:shapelayout v:ext="edit">
      <o:idmap v:ext="edit" data="1"/>
      <o:rules v:ext="edit">
        <o:r id="V:Rule1" type="connector" idref="#_x0000_s1305"/>
        <o:r id="V:Rule2" type="connector" idref="#_x0000_s1325"/>
        <o:r id="V:Rule3" type="connector" idref="#_x0000_s1326"/>
        <o:r id="V:Rule4" type="connector" idref="#_x0000_s1295"/>
        <o:r id="V:Rule5" type="connector" idref="#_x0000_s1204"/>
        <o:r id="V:Rule6" type="connector" idref="#_x0000_s1297"/>
        <o:r id="V:Rule7" type="connector" idref="#_x0000_s1277"/>
        <o:r id="V:Rule8" type="connector" idref="#_x0000_s1296"/>
        <o:r id="V:Rule9" type="connector" idref="#_x0000_s1311"/>
        <o:r id="V:Rule10" type="connector" idref="#_x0000_s1331"/>
        <o:r id="V:Rule11" type="connector" idref="#_x0000_s1288"/>
        <o:r id="V:Rule12" type="connector" idref="#_x0000_s1281"/>
        <o:r id="V:Rule13" type="connector" idref="#_x0000_s1135"/>
        <o:r id="V:Rule14" type="connector" idref="#_x0000_s1279"/>
        <o:r id="V:Rule15" type="connector" idref="#_x0000_s1205"/>
        <o:r id="V:Rule16" type="connector" idref="#_x0000_s1130"/>
        <o:r id="V:Rule17" type="connector" idref="#_x0000_s1274"/>
        <o:r id="V:Rule18" type="connector" idref="#_x0000_s1253"/>
        <o:r id="V:Rule19" type="connector" idref="#_x0000_s1324"/>
        <o:r id="V:Rule20" type="connector" idref="#_x0000_s1209"/>
        <o:r id="V:Rule21" type="connector" idref="#_x0000_s1134"/>
        <o:r id="V:Rule22" type="connector" idref="#_x0000_s1275"/>
        <o:r id="V:Rule23" type="connector" idref="#_x0000_s1323"/>
        <o:r id="V:Rule24" type="connector" idref="#_x0000_s1140"/>
        <o:r id="V:Rule25" type="connector" idref="#_x0000_s1316"/>
        <o:r id="V:Rule26" type="connector" idref="#_x0000_s1301"/>
        <o:r id="V:Rule27" type="connector" idref="#_x0000_s1125"/>
        <o:r id="V:Rule28" type="connector" idref="#_x0000_s1208"/>
        <o:r id="V:Rule29" type="connector" idref="#_x0000_s1318"/>
        <o:r id="V:Rule30" type="connector" idref="#_x0000_s1268"/>
        <o:r id="V:Rule31" type="connector" idref="#_x0000_s1257"/>
        <o:r id="V:Rule32" type="connector" idref="#_x0000_s1315"/>
        <o:r id="V:Rule33" type="connector" idref="#_x0000_s1262"/>
        <o:r id="V:Rule34" type="connector" idref="#_x0000_s1308"/>
        <o:r id="V:Rule35" type="connector" idref="#_x0000_s1299"/>
        <o:r id="V:Rule36" type="connector" idref="#_x0000_s1269"/>
        <o:r id="V:Rule37" type="connector" idref="#_x0000_s1124"/>
        <o:r id="V:Rule38" type="connector" idref="#_x0000_s1309"/>
        <o:r id="V:Rule39" type="connector" idref="#_x0000_s1320"/>
        <o:r id="V:Rule40" type="connector" idref="#_x0000_s1278"/>
        <o:r id="V:Rule41" type="connector" idref="#_x0000_s1249"/>
        <o:r id="V:Rule42" type="connector" idref="#_x0000_s1259"/>
        <o:r id="V:Rule43" type="connector" idref="#_x0000_s1319"/>
        <o:r id="V:Rule44" type="connector" idref="#_x0000_s1251"/>
        <o:r id="V:Rule45" type="connector" idref="#_x0000_s1310"/>
        <o:r id="V:Rule46" type="connector" idref="#_x0000_s1247"/>
        <o:r id="V:Rule47" type="connector" idref="#_x0000_s1321"/>
        <o:r id="V:Rule48" type="connector" idref="#_x0000_s1261"/>
        <o:r id="V:Rule49" type="connector" idref="#_x0000_s1265"/>
        <o:r id="V:Rule50" type="connector" idref="#_x0000_s1266"/>
        <o:r id="V:Rule51" type="connector" idref="#_x0000_s1207"/>
        <o:r id="V:Rule52" type="connector" idref="#_x0000_s1322"/>
      </o:rules>
    </o:shapelayout>
  </w:shapeDefaults>
  <w:decimalSymbol w:val=","/>
  <w:listSeparator w:val=";"/>
  <w14:docId w14:val="7D0A08CF"/>
  <w15:docId w15:val="{5203F1B4-D218-4A35-B8CB-CEBA4257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47077-6C20-401D-8C51-7F3A292AEF55}"/>
</file>

<file path=customXml/itemProps2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27F57-BD26-4186-AF48-E319063019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CB92B8-115E-458A-8CDC-AFC7F152A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</dc:creator>
  <cp:lastModifiedBy>Lýdia Zimániová</cp:lastModifiedBy>
  <cp:revision>90</cp:revision>
  <cp:lastPrinted>2020-01-28T15:40:00Z</cp:lastPrinted>
  <dcterms:created xsi:type="dcterms:W3CDTF">2020-01-20T10:49:00Z</dcterms:created>
  <dcterms:modified xsi:type="dcterms:W3CDTF">2020-02-03T08:42:00Z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