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4910" w14:textId="597542B0" w:rsidR="004C11B2" w:rsidRDefault="0026297B">
      <w:pPr>
        <w:spacing w:before="240" w:after="160"/>
        <w:rPr>
          <w:sz w:val="32"/>
          <w:szCs w:val="32"/>
        </w:rPr>
      </w:pPr>
      <w:r>
        <w:rPr>
          <w:sz w:val="32"/>
          <w:szCs w:val="32"/>
        </w:rPr>
        <w:t>Plán uplatňovania Štandardov dodržiavania zákazu segregácie</w:t>
      </w:r>
    </w:p>
    <w:p w14:paraId="0BBB4911" w14:textId="50169FB6" w:rsidR="004C11B2" w:rsidRDefault="0026297B" w:rsidP="0026297B">
      <w:pPr>
        <w:spacing w:after="160"/>
        <w:ind w:left="-567"/>
      </w:pPr>
      <w:r>
        <w:rPr>
          <w:rStyle w:val="Vrazn"/>
        </w:rPr>
        <w:t>Názov školy:</w:t>
      </w:r>
      <w:r>
        <w:t xml:space="preserve"> Základná škola s materskou školou XYZ</w:t>
      </w:r>
      <w:r>
        <w:br/>
      </w:r>
      <w:r>
        <w:rPr>
          <w:rStyle w:val="Vrazn"/>
        </w:rPr>
        <w:t>Obdobie plánu:</w:t>
      </w:r>
      <w:r>
        <w:t xml:space="preserve"> školský rok 202</w:t>
      </w:r>
      <w:r>
        <w:t>5</w:t>
      </w:r>
      <w:r>
        <w:t>/202</w:t>
      </w:r>
      <w:r>
        <w:t>6</w:t>
      </w:r>
      <w:r>
        <w:br/>
      </w:r>
    </w:p>
    <w:tbl>
      <w:tblPr>
        <w:tblStyle w:val="a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2520"/>
        <w:gridCol w:w="2340"/>
        <w:gridCol w:w="1800"/>
      </w:tblGrid>
      <w:tr w:rsidR="004C11B2" w14:paraId="0BBB4914" w14:textId="77777777">
        <w:trPr>
          <w:trHeight w:val="515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BB4912" w14:textId="77777777" w:rsidR="004C11B2" w:rsidRDefault="001A6C04">
            <w:pPr>
              <w:spacing w:before="240" w:after="240"/>
              <w:ind w:left="140"/>
              <w:rPr>
                <w:b/>
              </w:rPr>
            </w:pPr>
            <w:r>
              <w:rPr>
                <w:b/>
              </w:rPr>
              <w:t>I. Identifikácia a analýza aktuálneho stavu</w:t>
            </w:r>
          </w:p>
          <w:p w14:paraId="0BBB4913" w14:textId="77777777" w:rsidR="004C11B2" w:rsidRDefault="001A6C04">
            <w:pPr>
              <w:spacing w:after="160"/>
              <w:ind w:left="141"/>
              <w:rPr>
                <w:b/>
                <w:color w:val="666666"/>
              </w:rPr>
            </w:pPr>
            <w:r>
              <w:rPr>
                <w:color w:val="666666"/>
              </w:rPr>
              <w:t xml:space="preserve">Stručný popis, ako škola uplatňuje jednotlivé Štandardy dodržiavania zákazu segregácie vo výchove a vzdelávaní (s uplatňovaním, ktorých Štandardov má </w:t>
            </w:r>
            <w:proofErr w:type="spellStart"/>
            <w:r>
              <w:rPr>
                <w:color w:val="666666"/>
              </w:rPr>
              <w:t>ŠaŠZ</w:t>
            </w:r>
            <w:proofErr w:type="spellEnd"/>
            <w:r>
              <w:rPr>
                <w:color w:val="666666"/>
              </w:rPr>
              <w:t xml:space="preserve"> dobrú prax a pri uplatňovaní, ktorých Štandardov identifikuje nedostatky, a v čom sú ich príčiny)</w:t>
            </w:r>
          </w:p>
        </w:tc>
      </w:tr>
      <w:tr w:rsidR="004C11B2" w14:paraId="0BBB4919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65E4DB" w14:textId="0C6ADA5B" w:rsidR="0026297B" w:rsidRDefault="001A6C04" w:rsidP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bookmarkStart w:id="0" w:name="_GoBack"/>
            <w:bookmarkEnd w:id="0"/>
            <w:r w:rsidR="0026297B">
              <w:rPr>
                <w:i/>
              </w:rPr>
              <w:t>Sem vpisujte text</w:t>
            </w:r>
          </w:p>
          <w:p w14:paraId="6F46BF47" w14:textId="77777777" w:rsidR="004C11B2" w:rsidRDefault="004C11B2" w:rsidP="0026297B">
            <w:pPr>
              <w:spacing w:after="160"/>
            </w:pPr>
          </w:p>
          <w:p w14:paraId="0B62A63D" w14:textId="77777777" w:rsidR="0026297B" w:rsidRDefault="0026297B" w:rsidP="0026297B">
            <w:pPr>
              <w:spacing w:after="160"/>
            </w:pPr>
          </w:p>
          <w:p w14:paraId="0BBB4918" w14:textId="0824EB47" w:rsidR="0026297B" w:rsidRDefault="0026297B" w:rsidP="0026297B">
            <w:pPr>
              <w:spacing w:after="160"/>
            </w:pPr>
          </w:p>
        </w:tc>
      </w:tr>
      <w:tr w:rsidR="004C11B2" w14:paraId="0BBB491C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BB491A" w14:textId="77777777" w:rsidR="004C11B2" w:rsidRDefault="001A6C04">
            <w:pPr>
              <w:spacing w:before="240" w:after="240"/>
              <w:ind w:left="140"/>
              <w:rPr>
                <w:b/>
              </w:rPr>
            </w:pPr>
            <w:r>
              <w:rPr>
                <w:b/>
              </w:rPr>
              <w:t>II. Ciele a vízia plánu</w:t>
            </w:r>
          </w:p>
          <w:p w14:paraId="0BBB491B" w14:textId="77777777" w:rsidR="004C11B2" w:rsidRDefault="001A6C04">
            <w:pPr>
              <w:spacing w:before="240" w:after="240"/>
              <w:ind w:left="140"/>
              <w:rPr>
                <w:b/>
                <w:color w:val="666666"/>
              </w:rPr>
            </w:pPr>
            <w:r>
              <w:rPr>
                <w:color w:val="666666"/>
              </w:rPr>
              <w:t xml:space="preserve">Krátkodobé alebo dlhodobé ciele, ktoré škola chce dosiahnuť v oblasti zabezpečenia rovnakého prístupu k vzdelávaniu. </w:t>
            </w:r>
          </w:p>
        </w:tc>
      </w:tr>
      <w:tr w:rsidR="004C11B2" w14:paraId="0BBB4921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1D" w14:textId="77777777" w:rsidR="004C11B2" w:rsidRDefault="001A6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Sem vpisujte text</w:t>
            </w:r>
          </w:p>
          <w:p w14:paraId="0BBB491E" w14:textId="6290226A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851572" w14:textId="6294A78E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CD710" w14:textId="480370E8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0F43EE" w14:textId="77777777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B491F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B4920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23" w14:textId="77777777" w:rsidTr="001A6C04">
        <w:trPr>
          <w:trHeight w:val="420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D92" w14:textId="77777777" w:rsidR="001A6C04" w:rsidRDefault="001A6C04" w:rsidP="001A6C04">
            <w:pPr>
              <w:spacing w:before="240" w:after="240"/>
              <w:rPr>
                <w:b/>
              </w:rPr>
            </w:pPr>
            <w:r>
              <w:rPr>
                <w:b/>
              </w:rPr>
              <w:t>III. Kroky na zlepšenie aktuálnej situácie</w:t>
            </w:r>
          </w:p>
          <w:p w14:paraId="0BBB4922" w14:textId="4851FD2F" w:rsidR="004C11B2" w:rsidRDefault="001A6C04" w:rsidP="001A6C04">
            <w:pPr>
              <w:spacing w:before="240" w:after="240"/>
              <w:rPr>
                <w:b/>
                <w:color w:val="666666"/>
              </w:rPr>
            </w:pPr>
            <w:r>
              <w:rPr>
                <w:color w:val="666666"/>
              </w:rPr>
              <w:t xml:space="preserve">Konkrétne opatrenia (napr. </w:t>
            </w:r>
            <w:r>
              <w:rPr>
                <w:color w:val="666666"/>
              </w:rPr>
              <w:t>podľa Časti B Metodickej príručky desegregácie vo výchove a </w:t>
            </w:r>
            <w:r>
              <w:rPr>
                <w:color w:val="666666"/>
              </w:rPr>
              <w:t>vzdelávaní)</w:t>
            </w:r>
            <w:r>
              <w:rPr>
                <w:color w:val="666666"/>
                <w:sz w:val="23"/>
                <w:szCs w:val="23"/>
              </w:rPr>
              <w:t xml:space="preserve"> a </w:t>
            </w:r>
            <w:r>
              <w:rPr>
                <w:color w:val="666666"/>
              </w:rPr>
              <w:t>časový harmonogram rozvrhnutia aktivít a určenie zodpovedností za ich plnenie:</w:t>
            </w:r>
          </w:p>
        </w:tc>
      </w:tr>
      <w:tr w:rsidR="004C11B2" w14:paraId="0BBB4929" w14:textId="77777777" w:rsidTr="001A6C04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4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Oblasť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5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Opatrenie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6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aktivít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7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Zodpovednosť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8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</w:t>
            </w:r>
          </w:p>
        </w:tc>
      </w:tr>
      <w:tr w:rsidR="004C11B2" w14:paraId="0BBB492F" w14:textId="77777777" w:rsidTr="001A6C04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A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B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C" w14:textId="72DFC444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D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E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35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0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1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2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3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4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3B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6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7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8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9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A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41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C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D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E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F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0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47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2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3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4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5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6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4D" w14:textId="77777777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8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9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A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B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C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50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E" w14:textId="77777777" w:rsidR="004C11B2" w:rsidRDefault="001A6C04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IV. Podpora a spolupráca</w:t>
            </w:r>
          </w:p>
          <w:p w14:paraId="0BBB494F" w14:textId="77777777" w:rsidR="004C11B2" w:rsidRDefault="001A6C04">
            <w:pPr>
              <w:spacing w:after="160"/>
              <w:rPr>
                <w:b/>
              </w:rPr>
            </w:pPr>
            <w:r>
              <w:t>Identifikácia partnerov, ktorí môžu škole pomôcť (napr. NIVAM, neziskové organizácie,) a zapojenie rodičov a komunity (napr. informačné stretnutia).</w:t>
            </w:r>
          </w:p>
        </w:tc>
      </w:tr>
      <w:tr w:rsidR="004C11B2" w14:paraId="0BBB4952" w14:textId="77777777" w:rsidTr="0026297B">
        <w:trPr>
          <w:trHeight w:val="1398"/>
          <w:jc w:val="center"/>
        </w:trPr>
        <w:tc>
          <w:tcPr>
            <w:tcW w:w="10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51" w14:textId="77777777" w:rsidR="004C11B2" w:rsidRDefault="001A6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Sem vpisujte text</w:t>
            </w:r>
          </w:p>
        </w:tc>
      </w:tr>
    </w:tbl>
    <w:p w14:paraId="4197A651" w14:textId="77777777" w:rsidR="0026297B" w:rsidRDefault="0026297B" w:rsidP="0026297B">
      <w:pPr>
        <w:spacing w:after="160"/>
        <w:rPr>
          <w:b/>
        </w:rPr>
      </w:pPr>
    </w:p>
    <w:p w14:paraId="1FB5DB00" w14:textId="1C4C9909" w:rsidR="0026297B" w:rsidRPr="0026297B" w:rsidRDefault="001A6C04" w:rsidP="0026297B">
      <w:pPr>
        <w:spacing w:after="160"/>
        <w:ind w:left="-567"/>
        <w:rPr>
          <w:b/>
          <w:bCs/>
          <w:lang w:val="sk-SK"/>
        </w:rPr>
      </w:pPr>
      <w:r>
        <w:rPr>
          <w:b/>
          <w:u w:val="single"/>
        </w:rPr>
        <w:t>Užitočné odkazy</w:t>
      </w:r>
      <w:r w:rsidR="0026297B">
        <w:rPr>
          <w:b/>
          <w:u w:val="single"/>
        </w:rPr>
        <w:t xml:space="preserve"> </w:t>
      </w:r>
      <w:r w:rsidR="0026297B" w:rsidRPr="0026297B">
        <w:rPr>
          <w:b/>
          <w:u w:val="single"/>
        </w:rPr>
        <w:t xml:space="preserve">na </w:t>
      </w:r>
      <w:r w:rsidR="0026297B">
        <w:rPr>
          <w:b/>
          <w:bCs/>
          <w:u w:val="single"/>
          <w:lang w:val="sk-SK"/>
        </w:rPr>
        <w:t>o</w:t>
      </w:r>
      <w:r w:rsidR="0026297B" w:rsidRPr="0026297B">
        <w:rPr>
          <w:b/>
          <w:bCs/>
          <w:u w:val="single"/>
          <w:lang w:val="sk-SK"/>
        </w:rPr>
        <w:t>dborné materiály pre školy a zriaďovateľov k desegregácii</w:t>
      </w:r>
      <w:r w:rsidR="0026297B">
        <w:rPr>
          <w:b/>
          <w:bCs/>
          <w:lang w:val="sk-SK"/>
        </w:rPr>
        <w:t xml:space="preserve"> - </w:t>
      </w:r>
      <w:hyperlink r:id="rId5">
        <w:r w:rsidR="0026297B">
          <w:rPr>
            <w:color w:val="1155CC"/>
            <w:u w:val="single"/>
          </w:rPr>
          <w:t>https://www.minedu.sk/odborne-materialy-pre-skoly-azriadovatelov-kdesegregacii/</w:t>
        </w:r>
      </w:hyperlink>
    </w:p>
    <w:p w14:paraId="1E9F4926" w14:textId="29E64CC7" w:rsidR="0026297B" w:rsidRPr="0026297B" w:rsidRDefault="0026297B" w:rsidP="0026297B">
      <w:pPr>
        <w:spacing w:after="160"/>
        <w:ind w:left="-567"/>
        <w:rPr>
          <w:lang w:val="sk-SK"/>
        </w:rPr>
      </w:pPr>
      <w:r w:rsidRPr="0026297B">
        <w:rPr>
          <w:lang w:val="sk-SK"/>
        </w:rPr>
        <w:t>Nižšie uvedené metodické materiály môžu pri aktívnej činnosti školy, školského zariadenia a jeho zriaďovateľa prispieť k prevencii a odbúraniu segregovaného vzdelávania</w:t>
      </w:r>
      <w:r w:rsidR="001A6C04">
        <w:rPr>
          <w:lang w:val="sk-SK"/>
        </w:rPr>
        <w:t xml:space="preserve"> a k </w:t>
      </w:r>
      <w:r w:rsidR="001A6C04" w:rsidRPr="001A6C04">
        <w:t>zabezpečeni</w:t>
      </w:r>
      <w:r w:rsidR="001A6C04">
        <w:t>u</w:t>
      </w:r>
      <w:r w:rsidR="001A6C04" w:rsidRPr="001A6C04">
        <w:t xml:space="preserve"> rovnakého prístupu k vzdelávaniu.</w:t>
      </w:r>
    </w:p>
    <w:p w14:paraId="5FC5E87B" w14:textId="77777777" w:rsidR="0026297B" w:rsidRPr="0026297B" w:rsidRDefault="0026297B" w:rsidP="0026297B">
      <w:pPr>
        <w:ind w:left="-567"/>
        <w:rPr>
          <w:lang w:val="sk-SK"/>
        </w:rPr>
      </w:pPr>
      <w:r w:rsidRPr="0026297B">
        <w:rPr>
          <w:b/>
          <w:bCs/>
          <w:lang w:val="sk-SK"/>
        </w:rPr>
        <w:t xml:space="preserve">Metodické a strategické materiály </w:t>
      </w:r>
      <w:proofErr w:type="spellStart"/>
      <w:r w:rsidRPr="0026297B">
        <w:rPr>
          <w:b/>
          <w:bCs/>
          <w:lang w:val="sk-SK"/>
        </w:rPr>
        <w:t>MŠVVaM</w:t>
      </w:r>
      <w:proofErr w:type="spellEnd"/>
      <w:r w:rsidRPr="0026297B">
        <w:rPr>
          <w:b/>
          <w:bCs/>
          <w:lang w:val="sk-SK"/>
        </w:rPr>
        <w:t xml:space="preserve"> SR a jeho priamo riadených organizácií:</w:t>
      </w:r>
    </w:p>
    <w:p w14:paraId="4674A0EF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6" w:tgtFrame="_blank" w:history="1">
        <w:r w:rsidRPr="0026297B">
          <w:rPr>
            <w:rStyle w:val="Hypertextovprepojenie"/>
            <w:lang w:val="sk-SK"/>
          </w:rPr>
          <w:t>Metodická príručka desegregácie - 2. aktualizované vydanie platné od 1.1.2025</w:t>
        </w:r>
      </w:hyperlink>
      <w:r w:rsidRPr="0026297B">
        <w:rPr>
          <w:lang w:val="sk-SK"/>
        </w:rPr>
        <w:t> (</w:t>
      </w:r>
      <w:proofErr w:type="spellStart"/>
      <w:r w:rsidRPr="0026297B">
        <w:rPr>
          <w:lang w:val="sk-SK"/>
        </w:rPr>
        <w:t>MŠVVaM</w:t>
      </w:r>
      <w:proofErr w:type="spellEnd"/>
      <w:r w:rsidRPr="0026297B">
        <w:rPr>
          <w:lang w:val="sk-SK"/>
        </w:rPr>
        <w:t xml:space="preserve"> SR, 2024)</w:t>
      </w:r>
    </w:p>
    <w:p w14:paraId="034EBA08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7" w:history="1">
        <w:r w:rsidRPr="0026297B">
          <w:rPr>
            <w:rStyle w:val="Hypertextovprepojenie"/>
            <w:lang w:val="sk-SK"/>
          </w:rPr>
          <w:t>Metodická príručka desegregácie - 2. aktualizované vydanie v maďarskom jazyku</w:t>
        </w:r>
      </w:hyperlink>
      <w:r w:rsidRPr="0026297B">
        <w:rPr>
          <w:lang w:val="sk-SK"/>
        </w:rPr>
        <w:t> (</w:t>
      </w:r>
      <w:proofErr w:type="spellStart"/>
      <w:r w:rsidRPr="0026297B">
        <w:rPr>
          <w:lang w:val="sk-SK"/>
        </w:rPr>
        <w:t>MŠVVaM</w:t>
      </w:r>
      <w:proofErr w:type="spellEnd"/>
      <w:r w:rsidRPr="0026297B">
        <w:rPr>
          <w:lang w:val="sk-SK"/>
        </w:rPr>
        <w:t xml:space="preserve"> SR, 2024)</w:t>
      </w:r>
    </w:p>
    <w:p w14:paraId="6569DDDE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8" w:tgtFrame="_blank" w:history="1">
        <w:r w:rsidRPr="0026297B">
          <w:rPr>
            <w:rStyle w:val="Hypertextovprepojenie"/>
            <w:lang w:val="sk-SK"/>
          </w:rPr>
          <w:t>Spolu v jednej lavici</w:t>
        </w:r>
      </w:hyperlink>
      <w:r w:rsidRPr="0026297B">
        <w:rPr>
          <w:lang w:val="sk-SK"/>
        </w:rPr>
        <w:t> (MŠVVaŠ SR, 2022)</w:t>
      </w:r>
    </w:p>
    <w:p w14:paraId="2971713B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9" w:tgtFrame="_blank" w:history="1">
        <w:r w:rsidRPr="0026297B">
          <w:rPr>
            <w:rStyle w:val="Hypertextovprepojenie"/>
            <w:lang w:val="sk-SK"/>
          </w:rPr>
          <w:t>Metodika podporujúca inkluzívne vzdelávanie v školách</w:t>
        </w:r>
      </w:hyperlink>
      <w:r w:rsidRPr="0026297B">
        <w:rPr>
          <w:lang w:val="sk-SK"/>
        </w:rPr>
        <w:t> (ŠPÚ, 2015)</w:t>
      </w:r>
    </w:p>
    <w:p w14:paraId="404ADCCE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10" w:tgtFrame="_blank" w:history="1">
        <w:r w:rsidRPr="0026297B">
          <w:rPr>
            <w:rStyle w:val="Hypertextovprepojenie"/>
            <w:lang w:val="sk-SK"/>
          </w:rPr>
          <w:t>Multikultúrna výchova v predprimárnom vzdelávaní</w:t>
        </w:r>
      </w:hyperlink>
      <w:r w:rsidRPr="0026297B">
        <w:rPr>
          <w:lang w:val="sk-SK"/>
        </w:rPr>
        <w:t> (MPC, 2014)</w:t>
      </w:r>
    </w:p>
    <w:p w14:paraId="1305A368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11" w:tgtFrame="_blank" w:history="1">
        <w:r w:rsidRPr="0026297B">
          <w:rPr>
            <w:rStyle w:val="Hypertextovprepojenie"/>
            <w:lang w:val="sk-SK"/>
          </w:rPr>
          <w:t>Učíme sa žiť v pestrom svete</w:t>
        </w:r>
      </w:hyperlink>
      <w:r w:rsidRPr="0026297B">
        <w:rPr>
          <w:lang w:val="sk-SK"/>
        </w:rPr>
        <w:t> (MPC, 2008)</w:t>
      </w:r>
    </w:p>
    <w:p w14:paraId="5A5A825B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12" w:tgtFrame="_blank" w:history="1">
        <w:r w:rsidRPr="0026297B">
          <w:rPr>
            <w:rStyle w:val="Hypertextovprepojenie"/>
            <w:lang w:val="sk-SK"/>
          </w:rPr>
          <w:t>Referenčný rámec kompetencií pre demokratickú kultúru</w:t>
        </w:r>
      </w:hyperlink>
      <w:r w:rsidRPr="0026297B">
        <w:rPr>
          <w:lang w:val="sk-SK"/>
        </w:rPr>
        <w:t> (ŠPÚ)</w:t>
      </w:r>
    </w:p>
    <w:p w14:paraId="5D47B207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r w:rsidRPr="0026297B">
        <w:rPr>
          <w:lang w:val="sk-SK"/>
        </w:rPr>
        <w:t>Vzdelávací a metodologický portál:  </w:t>
      </w:r>
      <w:hyperlink r:id="rId13" w:tgtFrame="_blank" w:history="1">
        <w:r w:rsidRPr="0026297B">
          <w:rPr>
            <w:rStyle w:val="Hypertextovprepojenie"/>
            <w:lang w:val="sk-SK"/>
          </w:rPr>
          <w:t xml:space="preserve">Spolu • </w:t>
        </w:r>
        <w:proofErr w:type="spellStart"/>
        <w:r w:rsidRPr="0026297B">
          <w:rPr>
            <w:rStyle w:val="Hypertextovprepojenie"/>
            <w:lang w:val="sk-SK"/>
          </w:rPr>
          <w:t>Together</w:t>
        </w:r>
        <w:proofErr w:type="spellEnd"/>
        <w:r w:rsidRPr="0026297B">
          <w:rPr>
            <w:rStyle w:val="Hypertextovprepojenie"/>
            <w:lang w:val="sk-SK"/>
          </w:rPr>
          <w:t xml:space="preserve"> • </w:t>
        </w:r>
        <w:proofErr w:type="spellStart"/>
        <w:r w:rsidRPr="0026297B">
          <w:rPr>
            <w:rStyle w:val="Hypertextovprepojenie"/>
            <w:lang w:val="sk-SK"/>
          </w:rPr>
          <w:t>Jekhetane</w:t>
        </w:r>
        <w:proofErr w:type="spellEnd"/>
      </w:hyperlink>
      <w:r w:rsidRPr="0026297B">
        <w:rPr>
          <w:lang w:val="sk-SK"/>
        </w:rPr>
        <w:t> (ŠPÚ)</w:t>
      </w:r>
    </w:p>
    <w:p w14:paraId="22858FA3" w14:textId="77777777" w:rsidR="0026297B" w:rsidRPr="0026297B" w:rsidRDefault="0026297B" w:rsidP="0026297B">
      <w:pPr>
        <w:numPr>
          <w:ilvl w:val="0"/>
          <w:numId w:val="3"/>
        </w:numPr>
        <w:tabs>
          <w:tab w:val="clear" w:pos="720"/>
        </w:tabs>
        <w:ind w:left="0" w:hanging="284"/>
        <w:rPr>
          <w:lang w:val="sk-SK"/>
        </w:rPr>
      </w:pPr>
      <w:hyperlink r:id="rId14" w:tgtFrame="_blank" w:history="1">
        <w:r w:rsidRPr="0026297B">
          <w:rPr>
            <w:rStyle w:val="Hypertextovprepojenie"/>
            <w:lang w:val="sk-SK"/>
          </w:rPr>
          <w:t>Internetový portál: Vzdelávanie 21. storočia</w:t>
        </w:r>
      </w:hyperlink>
      <w:r w:rsidRPr="0026297B">
        <w:rPr>
          <w:lang w:val="sk-SK"/>
        </w:rPr>
        <w:t> (</w:t>
      </w:r>
      <w:proofErr w:type="spellStart"/>
      <w:r w:rsidRPr="0026297B">
        <w:rPr>
          <w:lang w:val="sk-SK"/>
        </w:rPr>
        <w:t>NIVaM</w:t>
      </w:r>
      <w:proofErr w:type="spellEnd"/>
      <w:r w:rsidRPr="0026297B">
        <w:rPr>
          <w:lang w:val="sk-SK"/>
        </w:rPr>
        <w:t>)</w:t>
      </w:r>
    </w:p>
    <w:p w14:paraId="3DBA4056" w14:textId="77777777" w:rsidR="0026297B" w:rsidRDefault="0026297B" w:rsidP="0026297B">
      <w:pPr>
        <w:spacing w:after="160"/>
        <w:rPr>
          <w:b/>
          <w:bCs/>
          <w:lang w:val="sk-SK"/>
        </w:rPr>
      </w:pPr>
    </w:p>
    <w:p w14:paraId="78E41290" w14:textId="6FE4F5E5" w:rsidR="0026297B" w:rsidRPr="0026297B" w:rsidRDefault="0026297B" w:rsidP="0026297B">
      <w:pPr>
        <w:ind w:left="-567"/>
        <w:rPr>
          <w:lang w:val="sk-SK"/>
        </w:rPr>
      </w:pPr>
      <w:r w:rsidRPr="0026297B">
        <w:rPr>
          <w:b/>
          <w:bCs/>
          <w:lang w:val="sk-SK"/>
        </w:rPr>
        <w:t>Inšpiratívne materiály na podporu tolerancie, inklúzie a rozmanitosti</w:t>
      </w:r>
    </w:p>
    <w:p w14:paraId="60A920E9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15" w:tgtFrame="_blank" w:history="1">
        <w:r w:rsidRPr="0026297B">
          <w:rPr>
            <w:rStyle w:val="Hypertextovprepojenie"/>
            <w:lang w:val="sk-SK"/>
          </w:rPr>
          <w:t xml:space="preserve">Sprievodca </w:t>
        </w:r>
        <w:proofErr w:type="spellStart"/>
        <w:r w:rsidRPr="0026297B">
          <w:rPr>
            <w:rStyle w:val="Hypertextovprepojenie"/>
            <w:lang w:val="sk-SK"/>
          </w:rPr>
          <w:t>wellbeingom</w:t>
        </w:r>
        <w:proofErr w:type="spellEnd"/>
        <w:r w:rsidRPr="0026297B">
          <w:rPr>
            <w:rStyle w:val="Hypertextovprepojenie"/>
            <w:lang w:val="sk-SK"/>
          </w:rPr>
          <w:t xml:space="preserve"> v školskom prostredí</w:t>
        </w:r>
      </w:hyperlink>
      <w:r w:rsidRPr="0026297B">
        <w:rPr>
          <w:lang w:val="sk-SK"/>
        </w:rPr>
        <w:t> (ŠŠI, 2023)</w:t>
      </w:r>
    </w:p>
    <w:p w14:paraId="53607B90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16" w:tgtFrame="_blank" w:history="1">
        <w:r w:rsidRPr="0026297B">
          <w:rPr>
            <w:rStyle w:val="Hypertextovprepojenie"/>
            <w:lang w:val="sk-SK"/>
          </w:rPr>
          <w:t>Index inklúzie</w:t>
        </w:r>
      </w:hyperlink>
      <w:r w:rsidRPr="0026297B">
        <w:rPr>
          <w:lang w:val="sk-SK"/>
        </w:rPr>
        <w:t> (NDS, 2019)</w:t>
      </w:r>
    </w:p>
    <w:p w14:paraId="377112E3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17" w:tgtFrame="_blank" w:history="1">
        <w:r w:rsidRPr="0026297B">
          <w:rPr>
            <w:rStyle w:val="Hypertextovprepojenie"/>
            <w:lang w:val="sk-SK"/>
          </w:rPr>
          <w:t>Mýty a fakty o Rómoch</w:t>
        </w:r>
      </w:hyperlink>
      <w:r w:rsidRPr="0026297B">
        <w:rPr>
          <w:lang w:val="sk-SK"/>
        </w:rPr>
        <w:t> (Človek v ohrození, 2018)</w:t>
      </w:r>
    </w:p>
    <w:p w14:paraId="07EE6490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18" w:history="1">
        <w:r w:rsidRPr="0026297B">
          <w:rPr>
            <w:rStyle w:val="Hypertextovprepojenie"/>
            <w:lang w:val="sk-SK"/>
          </w:rPr>
          <w:t>Referenčný rámec kompetencií pre demokratickú kultúru</w:t>
        </w:r>
      </w:hyperlink>
      <w:r w:rsidRPr="0026297B">
        <w:rPr>
          <w:lang w:val="sk-SK"/>
        </w:rPr>
        <w:t> (Rada Európy, 2018)</w:t>
      </w:r>
    </w:p>
    <w:p w14:paraId="5F949079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19" w:tgtFrame="_blank" w:history="1">
        <w:r w:rsidRPr="0026297B">
          <w:rPr>
            <w:rStyle w:val="Hypertextovprepojenie"/>
            <w:lang w:val="sk-SK"/>
          </w:rPr>
          <w:t xml:space="preserve">Metodický výklad pre efektívne uplatňovanie princípov desegregácie, </w:t>
        </w:r>
        <w:proofErr w:type="spellStart"/>
        <w:r w:rsidRPr="0026297B">
          <w:rPr>
            <w:rStyle w:val="Hypertextovprepojenie"/>
            <w:lang w:val="sk-SK"/>
          </w:rPr>
          <w:t>degetoizácie</w:t>
        </w:r>
        <w:proofErr w:type="spellEnd"/>
        <w:r w:rsidRPr="0026297B">
          <w:rPr>
            <w:rStyle w:val="Hypertextovprepojenie"/>
            <w:lang w:val="sk-SK"/>
          </w:rPr>
          <w:t xml:space="preserve"> a </w:t>
        </w:r>
        <w:proofErr w:type="spellStart"/>
        <w:r w:rsidRPr="0026297B">
          <w:rPr>
            <w:rStyle w:val="Hypertextovprepojenie"/>
            <w:lang w:val="sk-SK"/>
          </w:rPr>
          <w:t>destigmatizácie</w:t>
        </w:r>
        <w:proofErr w:type="spellEnd"/>
        <w:r w:rsidRPr="0026297B">
          <w:rPr>
            <w:rStyle w:val="Hypertextovprepojenie"/>
            <w:lang w:val="sk-SK"/>
          </w:rPr>
          <w:t xml:space="preserve"> (3D)</w:t>
        </w:r>
      </w:hyperlink>
      <w:r w:rsidRPr="0026297B">
        <w:rPr>
          <w:lang w:val="sk-SK"/>
        </w:rPr>
        <w:t> (ÚSVRK, 2018)</w:t>
      </w:r>
    </w:p>
    <w:p w14:paraId="61775995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0" w:tgtFrame="_blank" w:history="1">
        <w:r w:rsidRPr="0026297B">
          <w:rPr>
            <w:rStyle w:val="Hypertextovprepojenie"/>
            <w:lang w:val="sk-SK"/>
          </w:rPr>
          <w:t>Desegregace.cz</w:t>
        </w:r>
      </w:hyperlink>
      <w:r w:rsidRPr="0026297B">
        <w:rPr>
          <w:lang w:val="sk-SK"/>
        </w:rPr>
        <w:t xml:space="preserve"> (PAQ </w:t>
      </w:r>
      <w:proofErr w:type="spellStart"/>
      <w:r w:rsidRPr="0026297B">
        <w:rPr>
          <w:lang w:val="sk-SK"/>
        </w:rPr>
        <w:t>Research</w:t>
      </w:r>
      <w:proofErr w:type="spellEnd"/>
      <w:r w:rsidRPr="0026297B">
        <w:rPr>
          <w:lang w:val="sk-SK"/>
        </w:rPr>
        <w:t>)</w:t>
      </w:r>
    </w:p>
    <w:p w14:paraId="3AB48AFC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1" w:tgtFrame="_blank" w:history="1">
        <w:r w:rsidRPr="0026297B">
          <w:rPr>
            <w:rStyle w:val="Hypertextovprepojenie"/>
            <w:lang w:val="sk-SK"/>
          </w:rPr>
          <w:t>Príručky: Školy, ktoré menia svet</w:t>
        </w:r>
      </w:hyperlink>
      <w:r w:rsidRPr="0026297B">
        <w:rPr>
          <w:lang w:val="sk-SK"/>
        </w:rPr>
        <w:t> (IPAO, 2017 – 2023)</w:t>
      </w:r>
    </w:p>
    <w:p w14:paraId="3B44C7EE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2" w:tgtFrame="_blank" w:history="1">
        <w:proofErr w:type="spellStart"/>
        <w:r w:rsidRPr="0026297B">
          <w:rPr>
            <w:rStyle w:val="Hypertextovprepojenie"/>
            <w:lang w:val="sk-SK"/>
          </w:rPr>
          <w:t>Fighting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school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segregation</w:t>
        </w:r>
        <w:proofErr w:type="spellEnd"/>
        <w:r w:rsidRPr="0026297B">
          <w:rPr>
            <w:rStyle w:val="Hypertextovprepojenie"/>
            <w:lang w:val="sk-SK"/>
          </w:rPr>
          <w:t xml:space="preserve"> in </w:t>
        </w:r>
        <w:proofErr w:type="spellStart"/>
        <w:r w:rsidRPr="0026297B">
          <w:rPr>
            <w:rStyle w:val="Hypertextovprepojenie"/>
            <w:lang w:val="sk-SK"/>
          </w:rPr>
          <w:t>Europe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through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inclusive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education</w:t>
        </w:r>
        <w:proofErr w:type="spellEnd"/>
      </w:hyperlink>
      <w:r w:rsidRPr="0026297B">
        <w:rPr>
          <w:lang w:val="sk-SK"/>
        </w:rPr>
        <w:t> (</w:t>
      </w:r>
      <w:proofErr w:type="spellStart"/>
      <w:r w:rsidRPr="0026297B">
        <w:rPr>
          <w:lang w:val="sk-SK"/>
        </w:rPr>
        <w:t>Council</w:t>
      </w:r>
      <w:proofErr w:type="spellEnd"/>
      <w:r w:rsidRPr="0026297B">
        <w:rPr>
          <w:lang w:val="sk-SK"/>
        </w:rPr>
        <w:t xml:space="preserve"> of </w:t>
      </w:r>
      <w:proofErr w:type="spellStart"/>
      <w:r w:rsidRPr="0026297B">
        <w:rPr>
          <w:lang w:val="sk-SK"/>
        </w:rPr>
        <w:t>Europe</w:t>
      </w:r>
      <w:proofErr w:type="spellEnd"/>
      <w:r w:rsidRPr="0026297B">
        <w:rPr>
          <w:lang w:val="sk-SK"/>
        </w:rPr>
        <w:t>, 2017)</w:t>
      </w:r>
    </w:p>
    <w:p w14:paraId="58B6BBE4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3" w:tgtFrame="_blank" w:history="1">
        <w:r w:rsidRPr="0026297B">
          <w:rPr>
            <w:rStyle w:val="Hypertextovprepojenie"/>
            <w:lang w:val="sk-SK"/>
          </w:rPr>
          <w:t>My s nimi a oni s nami</w:t>
        </w:r>
      </w:hyperlink>
      <w:r w:rsidRPr="0026297B">
        <w:rPr>
          <w:lang w:val="sk-SK"/>
        </w:rPr>
        <w:t> (Človek v ohrození, 2015)</w:t>
      </w:r>
    </w:p>
    <w:p w14:paraId="75531023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4" w:tgtFrame="_blank" w:history="1">
        <w:proofErr w:type="spellStart"/>
        <w:r w:rsidRPr="0026297B">
          <w:rPr>
            <w:rStyle w:val="Hypertextovprepojenie"/>
            <w:lang w:val="sk-SK"/>
          </w:rPr>
          <w:t>Chance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for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Children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Foundation</w:t>
        </w:r>
        <w:proofErr w:type="spellEnd"/>
        <w:r w:rsidRPr="0026297B">
          <w:rPr>
            <w:rStyle w:val="Hypertextovprepojenie"/>
            <w:lang w:val="sk-SK"/>
          </w:rPr>
          <w:t xml:space="preserve">: Manuál boje proti </w:t>
        </w:r>
        <w:proofErr w:type="spellStart"/>
        <w:r w:rsidRPr="0026297B">
          <w:rPr>
            <w:rStyle w:val="Hypertextovprepojenie"/>
            <w:lang w:val="sk-SK"/>
          </w:rPr>
          <w:t>segregaci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romských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dětí</w:t>
        </w:r>
        <w:proofErr w:type="spellEnd"/>
        <w:r w:rsidRPr="0026297B">
          <w:rPr>
            <w:rStyle w:val="Hypertextovprepojenie"/>
            <w:lang w:val="sk-SK"/>
          </w:rPr>
          <w:t xml:space="preserve"> v </w:t>
        </w:r>
        <w:proofErr w:type="spellStart"/>
        <w:r w:rsidRPr="0026297B">
          <w:rPr>
            <w:rStyle w:val="Hypertextovprepojenie"/>
            <w:lang w:val="sk-SK"/>
          </w:rPr>
          <w:t>předškolním</w:t>
        </w:r>
        <w:proofErr w:type="spellEnd"/>
        <w:r w:rsidRPr="0026297B">
          <w:rPr>
            <w:rStyle w:val="Hypertextovprepojenie"/>
            <w:lang w:val="sk-SK"/>
          </w:rPr>
          <w:t xml:space="preserve"> a </w:t>
        </w:r>
        <w:proofErr w:type="spellStart"/>
        <w:r w:rsidRPr="0026297B">
          <w:rPr>
            <w:rStyle w:val="Hypertextovprepojenie"/>
            <w:lang w:val="sk-SK"/>
          </w:rPr>
          <w:t>základním</w:t>
        </w:r>
        <w:proofErr w:type="spellEnd"/>
        <w:r w:rsidRPr="0026297B">
          <w:rPr>
            <w:rStyle w:val="Hypertextovprepojenie"/>
            <w:lang w:val="sk-SK"/>
          </w:rPr>
          <w:t xml:space="preserve"> </w:t>
        </w:r>
        <w:proofErr w:type="spellStart"/>
        <w:r w:rsidRPr="0026297B">
          <w:rPr>
            <w:rStyle w:val="Hypertextovprepojenie"/>
            <w:lang w:val="sk-SK"/>
          </w:rPr>
          <w:t>vzdělávání</w:t>
        </w:r>
        <w:proofErr w:type="spellEnd"/>
      </w:hyperlink>
      <w:r w:rsidRPr="0026297B">
        <w:rPr>
          <w:lang w:val="sk-SK"/>
        </w:rPr>
        <w:t> (</w:t>
      </w:r>
      <w:proofErr w:type="spellStart"/>
      <w:r w:rsidRPr="0026297B">
        <w:rPr>
          <w:lang w:val="sk-SK"/>
        </w:rPr>
        <w:t>Nadace</w:t>
      </w:r>
      <w:proofErr w:type="spellEnd"/>
      <w:r w:rsidRPr="0026297B">
        <w:rPr>
          <w:lang w:val="sk-SK"/>
        </w:rPr>
        <w:t xml:space="preserve"> Šance </w:t>
      </w:r>
      <w:proofErr w:type="spellStart"/>
      <w:r w:rsidRPr="0026297B">
        <w:rPr>
          <w:lang w:val="sk-SK"/>
        </w:rPr>
        <w:t>Detěm</w:t>
      </w:r>
      <w:proofErr w:type="spellEnd"/>
      <w:r w:rsidRPr="0026297B">
        <w:rPr>
          <w:lang w:val="sk-SK"/>
        </w:rPr>
        <w:t>, 2013)</w:t>
      </w:r>
    </w:p>
    <w:p w14:paraId="0E9F07A7" w14:textId="77777777" w:rsidR="0026297B" w:rsidRPr="0026297B" w:rsidRDefault="0026297B" w:rsidP="0026297B">
      <w:pPr>
        <w:numPr>
          <w:ilvl w:val="0"/>
          <w:numId w:val="4"/>
        </w:numPr>
        <w:tabs>
          <w:tab w:val="clear" w:pos="720"/>
          <w:tab w:val="num" w:pos="0"/>
        </w:tabs>
        <w:ind w:left="0" w:hanging="284"/>
        <w:rPr>
          <w:lang w:val="sk-SK"/>
        </w:rPr>
      </w:pPr>
      <w:hyperlink r:id="rId25" w:tgtFrame="_blank" w:history="1">
        <w:r w:rsidRPr="0026297B">
          <w:rPr>
            <w:rStyle w:val="Hypertextovprepojenie"/>
            <w:lang w:val="sk-SK"/>
          </w:rPr>
          <w:t>Segregácia alebo inklúzia Rómov vo vzdelávaní: Voľba pre školy?</w:t>
        </w:r>
      </w:hyperlink>
      <w:r w:rsidRPr="0026297B">
        <w:rPr>
          <w:lang w:val="sk-SK"/>
        </w:rPr>
        <w:t> (OSF, 2012)</w:t>
      </w:r>
    </w:p>
    <w:p w14:paraId="0BBB495B" w14:textId="5F2A896A" w:rsidR="004C11B2" w:rsidRDefault="0026297B" w:rsidP="000E4EA2">
      <w:pPr>
        <w:numPr>
          <w:ilvl w:val="0"/>
          <w:numId w:val="4"/>
        </w:numPr>
        <w:tabs>
          <w:tab w:val="clear" w:pos="720"/>
          <w:tab w:val="num" w:pos="0"/>
        </w:tabs>
        <w:spacing w:after="160"/>
        <w:ind w:left="0" w:hanging="284"/>
      </w:pPr>
      <w:hyperlink r:id="rId26" w:tgtFrame="_blank" w:history="1">
        <w:r w:rsidRPr="0026297B">
          <w:rPr>
            <w:rStyle w:val="Hypertextovprepojenie"/>
            <w:lang w:val="sk-SK"/>
          </w:rPr>
          <w:t>Výchova k tolerancii hrou</w:t>
        </w:r>
      </w:hyperlink>
      <w:r w:rsidRPr="0026297B">
        <w:rPr>
          <w:lang w:val="sk-SK"/>
        </w:rPr>
        <w:t> (PDCS, 2007)</w:t>
      </w:r>
    </w:p>
    <w:sectPr w:rsidR="004C11B2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6A0"/>
    <w:multiLevelType w:val="multilevel"/>
    <w:tmpl w:val="A86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A77"/>
    <w:multiLevelType w:val="multilevel"/>
    <w:tmpl w:val="598EF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E1DED"/>
    <w:multiLevelType w:val="multilevel"/>
    <w:tmpl w:val="92B01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21467A"/>
    <w:multiLevelType w:val="multilevel"/>
    <w:tmpl w:val="007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B2"/>
    <w:rsid w:val="001A6C04"/>
    <w:rsid w:val="0026297B"/>
    <w:rsid w:val="003E30D4"/>
    <w:rsid w:val="004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4910"/>
  <w15:docId w15:val="{2C3CBB3E-FF2E-46BF-B653-34570A20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629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297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26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data/att/b33/23399.9bd23f.pdf" TargetMode="External"/><Relationship Id="rId13" Type="http://schemas.openxmlformats.org/officeDocument/2006/relationships/hyperlink" Target="https://www.spolu-together-jekhetane.sk/sk" TargetMode="External"/><Relationship Id="rId18" Type="http://schemas.openxmlformats.org/officeDocument/2006/relationships/hyperlink" Target="https://www.statpedu.sk/sk/publikacna-cinnost/odborne-informacie/referencny-ramec-kompetencii-demokraticku-kulturu/" TargetMode="External"/><Relationship Id="rId26" Type="http://schemas.openxmlformats.org/officeDocument/2006/relationships/hyperlink" Target="https://www.pdcs.sk/publikacie/detail/vychova-k-tolerancii-hro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lyktoremeniasvet.sk/metodicke-prirucky-2/" TargetMode="External"/><Relationship Id="rId7" Type="http://schemas.openxmlformats.org/officeDocument/2006/relationships/hyperlink" Target="http://www.minedu.sk/data/att/a02/33336.9e57e8.pdf" TargetMode="External"/><Relationship Id="rId12" Type="http://schemas.openxmlformats.org/officeDocument/2006/relationships/hyperlink" Target="https://www.statpedu.sk/sk/publikacna-cinnost/odborne-informacie/referencny-ramec-kompetencii-demokraticku-kulturu/" TargetMode="External"/><Relationship Id="rId17" Type="http://schemas.openxmlformats.org/officeDocument/2006/relationships/hyperlink" Target="https://globalnevzdelavanie.sk/wp-content/uploads/2019/04/romovia-myty-a-fakty.pdf" TargetMode="External"/><Relationship Id="rId25" Type="http://schemas.openxmlformats.org/officeDocument/2006/relationships/hyperlink" Target="https://www.noveskolstvo.sk/upload/pdf/OSF_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tochyba.sk/webroot/video/index-inkluzie.pdf" TargetMode="External"/><Relationship Id="rId20" Type="http://schemas.openxmlformats.org/officeDocument/2006/relationships/hyperlink" Target="https://www.desegregace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edu.sk/data/att/b1e/32002.dfe3f4.pdf" TargetMode="External"/><Relationship Id="rId11" Type="http://schemas.openxmlformats.org/officeDocument/2006/relationships/hyperlink" Target="https://archiv.mpc-edu.sk/sites/default/files/rocepo-dokumenty/na-pomoc-pedagogom/40_ucime_sa_zit_v_pestrom_svete_alebo_interkulturna_vychova_v_primarnej_edukacii.pdf" TargetMode="External"/><Relationship Id="rId24" Type="http://schemas.openxmlformats.org/officeDocument/2006/relationships/hyperlink" Target="https://poradna-prava.sk/wp-content/uploads/2021/11/prirucka-boja-proti-segregacii-romskych-deti-vo-vzdelavani.pdf" TargetMode="External"/><Relationship Id="rId5" Type="http://schemas.openxmlformats.org/officeDocument/2006/relationships/hyperlink" Target="https://www.minedu.sk/odborne-materialy-pre-skoly-azriadovatelov-kdesegregacii/" TargetMode="External"/><Relationship Id="rId15" Type="http://schemas.openxmlformats.org/officeDocument/2006/relationships/hyperlink" Target="https://www.ssi.sk/wp-content/uploads/2023/04/Publikacia-WELLBeing-2023.pdf" TargetMode="External"/><Relationship Id="rId23" Type="http://schemas.openxmlformats.org/officeDocument/2006/relationships/hyperlink" Target="https://globalnevzdelavanie.sk/my-s-nimi-a-oni-s-nam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rchiv.mpc-edu.sk/sites/default/files/publikacie/multikulturna_vychova_v_predprimarnom_vzdelavani_iveta_senselova-s_isbn.pdf" TargetMode="External"/><Relationship Id="rId19" Type="http://schemas.openxmlformats.org/officeDocument/2006/relationships/hyperlink" Target="https://2b4638d1-f6c4-4116-b5ca-7413027fb834.usrfiles.com/ugd/2b4638_eb54998094e74593ab9ab424b07c1ab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pedu.sk/files/articles/nove_dokumenty/projekty/eea_grants/metodika-podporujuca-inkluzivne-vzdelavanie-skolach.pdf" TargetMode="External"/><Relationship Id="rId14" Type="http://schemas.openxmlformats.org/officeDocument/2006/relationships/hyperlink" Target="https://vzdelavanie21.sk/" TargetMode="External"/><Relationship Id="rId22" Type="http://schemas.openxmlformats.org/officeDocument/2006/relationships/hyperlink" Target="https://rm.coe.int/fighting-school-segregationin-europe-throughinclusive-education-a-posi/168073fb6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Ivicová</cp:lastModifiedBy>
  <cp:revision>3</cp:revision>
  <dcterms:created xsi:type="dcterms:W3CDTF">2025-05-27T09:36:00Z</dcterms:created>
  <dcterms:modified xsi:type="dcterms:W3CDTF">2025-05-27T10:36:00Z</dcterms:modified>
</cp:coreProperties>
</file>