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75" w:rsidRDefault="00296010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„Príloha č. 1</w:t>
      </w:r>
    </w:p>
    <w:p w:rsidR="00AD2C75" w:rsidRDefault="00296010">
      <w:pPr>
        <w:pStyle w:val="normal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 vyhláške č. 158/2021 Z. z.</w:t>
      </w:r>
    </w:p>
    <w:p w:rsidR="00AD2C75" w:rsidRDefault="00296010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TEST PROPORCIONALITY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53"/>
        <w:gridCol w:w="5103"/>
      </w:tblGrid>
      <w:tr w:rsidR="00AD2C75">
        <w:trPr>
          <w:trHeight w:val="911"/>
        </w:trPr>
        <w:tc>
          <w:tcPr>
            <w:tcW w:w="56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Subjekt, ktorý navrhuje reguláciu povolania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Ministerstvo zdravotníctva SR/Úrad verejného zdravotníctva SR</w:t>
            </w:r>
          </w:p>
        </w:tc>
      </w:tr>
      <w:tr w:rsidR="00AD2C75">
        <w:trPr>
          <w:trHeight w:val="895"/>
        </w:trPr>
        <w:tc>
          <w:tcPr>
            <w:tcW w:w="56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regulovaného povolania,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ktorého regulácia sa navrhuje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 hodnotenie zdravotných rizík z fyzikálnych faktorov, chemických faktorov alebo biologických faktorov  životného prostredia.</w:t>
            </w:r>
          </w:p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Skupina:hodnotenie zdravotných rizík z fyzikálnych  faktorov. </w:t>
            </w:r>
          </w:p>
        </w:tc>
      </w:tr>
      <w:tr w:rsidR="00AD2C75">
        <w:trPr>
          <w:trHeight w:val="3166"/>
        </w:trPr>
        <w:tc>
          <w:tcPr>
            <w:tcW w:w="56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Stručný opis vykonávaných činností v rámci regulovaného povolania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Hodnotenie zdravotných rizík z  fyzikálnych  faktorov je metodika, ktorej úlohou je s určitou pravdepodobnosťou posúdiť zaťaženie organizmu fyzikálnymi faktormi. </w:t>
            </w:r>
          </w:p>
        </w:tc>
      </w:tr>
    </w:tbl>
    <w:p w:rsidR="00AD2C75" w:rsidRDefault="00296010">
      <w:pPr>
        <w:pStyle w:val="normal"/>
      </w:pPr>
      <w:r>
        <w:br w:type="page"/>
      </w: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76"/>
        <w:gridCol w:w="2077"/>
        <w:gridCol w:w="5103"/>
      </w:tblGrid>
      <w:tr w:rsidR="00AD2C75">
        <w:trPr>
          <w:trHeight w:val="602"/>
        </w:trPr>
        <w:tc>
          <w:tcPr>
            <w:tcW w:w="9923" w:type="dxa"/>
            <w:gridSpan w:val="4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I. Právna úprava regulácie povolania</w:t>
            </w:r>
          </w:p>
        </w:tc>
      </w:tr>
      <w:tr w:rsidR="00AD2C75">
        <w:trPr>
          <w:trHeight w:val="2458"/>
        </w:trPr>
        <w:tc>
          <w:tcPr>
            <w:tcW w:w="567" w:type="dxa"/>
            <w:vMerge w:val="restart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Právna úprava regulácie povolania </w:t>
            </w:r>
          </w:p>
        </w:tc>
        <w:tc>
          <w:tcPr>
            <w:tcW w:w="2077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72" w:right="176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Navrhovaná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regulácia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povolania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zavádza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nové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regulované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povolanie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 navrhovaného predpisu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rPr>
          <w:trHeight w:val="5143"/>
        </w:trPr>
        <w:tc>
          <w:tcPr>
            <w:tcW w:w="567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Navrhovaná regulácia povolania mení, dopĺňa alebo nahrádza existujúcu reguláciu povolania 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Navrhovaná regulácia povolania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navrhovaného predpisu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ustanovenia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c § 16 c Odborná spôsobilosť na  hodnotenie zdravotných rizík z fyzikálnych faktorov, chemických faktorov alebo biologických faktorov životného prostredia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Existujúca regulácia povolania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a číslo existujúceho predpisu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/2007 Z. z.Zákon o ochrane, podpore a rozvoji verejného zdravia a o zmene a doplnení niektorých zákonov v platnom znení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označenie ustanovenia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regulované povolanie s názvom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4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na hodnotenie vplyvov na verejné zdravie alebo hod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notenie zdravotných rizík zo životného prostredia.</w:t>
            </w:r>
          </w:p>
        </w:tc>
      </w:tr>
      <w:tr w:rsidR="00AD2C75">
        <w:trPr>
          <w:trHeight w:val="1204"/>
        </w:trPr>
        <w:tc>
          <w:tcPr>
            <w:tcW w:w="56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D2C75" w:rsidRDefault="00296010">
            <w:pPr>
              <w:pStyle w:val="normal"/>
              <w:tabs>
                <w:tab w:val="left" w:pos="421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Zdôvodnenie potreby zavedenia novej regulácie povolania alebo zmeny existujúcej regulácie povolania</w:t>
            </w:r>
          </w:p>
        </w:tc>
        <w:tc>
          <w:tcPr>
            <w:tcW w:w="5103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Návrh zákona precizuje právnu úpravu odbornej spôsobilosti v oblasti verejného zdravotníctva a v súlade s optimalizáciou procesov verejného zdravotníctva spresňuje osoby, ktoré musia mať odbornú spôsobilosť na jednotlivé odborné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činnosti. V novom znení §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c §16 c sú ustanovené činnosti, na ktoré je potrebná odborná spôsobilosť. Ide o tie isté odborné spôsobilosti, ktoré boli v doterajšej právnej úprave. Ide len o úpravu v súlade s novou zavedenou terminológiou.</w:t>
            </w:r>
          </w:p>
        </w:tc>
      </w:tr>
    </w:tbl>
    <w:p w:rsidR="00AD2C75" w:rsidRDefault="00296010">
      <w:pPr>
        <w:pStyle w:val="normal"/>
      </w:pPr>
      <w:r>
        <w:lastRenderedPageBreak/>
        <w:br w:type="page"/>
      </w: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7"/>
        <w:gridCol w:w="4122"/>
        <w:gridCol w:w="5141"/>
      </w:tblGrid>
      <w:tr w:rsidR="00AD2C75">
        <w:tc>
          <w:tcPr>
            <w:tcW w:w="10060" w:type="dxa"/>
            <w:gridSpan w:val="3"/>
          </w:tcPr>
          <w:p w:rsidR="00AD2C75" w:rsidRDefault="00296010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Cieľ a spôsob regulácie povolania</w:t>
            </w:r>
          </w:p>
        </w:tc>
      </w:tr>
      <w:tr w:rsidR="00AD2C75">
        <w:tc>
          <w:tcPr>
            <w:tcW w:w="79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987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Verejný záujem na účel testu proporcionality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verejného poriadku, verejnej bezpečnosti alebo verejného zdravia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9913571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zachovanie finančnej rovnováhy systému sociálneho zabezpečenia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210397398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spotrebiteľov a príjemcov služieb, zamestnancov a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osôb oprávnených prevádzkovať živnosť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413342363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spravodlivosti a riadneho fungovania súdnictva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-52910093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poctivého obchodného styku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174938294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boj proti podvodom a prevencia nekalej súťaže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33395308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predchádzanie daňovým únikom a vyhýbaniu sa plneniu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daňových povinností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188898485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zabezpečenie daňového dozoru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36971972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bezpečnosť dopravy a cestnej premávky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47101721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životného prostredia a prostredia obce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214438257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zdravie zvierat a veterinárna politika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99540148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ochrana duševného vlastníctva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809127043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ochrana kultúrneho dedičstva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-32518537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sociálnej politiky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99572163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ciele kultúrnej politiky vrátane zabezpečenia slobody prejavu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-740501384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7" w:type="dxa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Identifikované riziká súvisiace s výkonom regulovaného povolania vo vzťahu k označenému verejnému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1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Osvedčením o odbornej spôsobilosti, ktoré vydáva príslušný orgán verejného zdravotníctva, daná osoba preukazuje, že ovláda súhrn teoretických vedomostí a ovládanie metodiky hodnotenia zdravotného rizika. V prípade, že osoba nemá osvedčenie o odbornej spôso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bilosti a nevie ju preukázať ani dokladom o odbornej spôsobilosti získanej v zahraničí, hrozí riziko, že vykonávaním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ostatných činností, kde je predpisaná odborná spôsobilosť, osobou bez odbornej spôsobilosti by mohlo dôjsť k ohrozeniu verejného zdravia z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dôvodu nedostatočných vedomostí. </w:t>
            </w:r>
          </w:p>
        </w:tc>
      </w:tr>
    </w:tbl>
    <w:p w:rsidR="00AD2C75" w:rsidRDefault="00296010">
      <w:pPr>
        <w:pStyle w:val="normal"/>
      </w:pPr>
      <w:r>
        <w:lastRenderedPageBreak/>
        <w:br w:type="page"/>
      </w: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2"/>
        <w:gridCol w:w="2115"/>
        <w:gridCol w:w="2049"/>
        <w:gridCol w:w="4962"/>
      </w:tblGrid>
      <w:tr w:rsidR="00AD2C75">
        <w:tc>
          <w:tcPr>
            <w:tcW w:w="792" w:type="dxa"/>
            <w:vMerge w:val="restart"/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right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Profesijný titul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177503168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Použitie profesijného titulu upravuje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-19475571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7"/>
                <w:id w:val="-120931460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a číslo existujúceho predpisu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ustanovenie existujúceho predpisu </w:t>
            </w:r>
          </w:p>
          <w:p w:rsidR="00AD2C75" w:rsidRDefault="00296010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AD2C75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D2C75" w:rsidRDefault="00296010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Označenie profesijného titulu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2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C75">
        <w:tc>
          <w:tcPr>
            <w:tcW w:w="792" w:type="dxa"/>
            <w:vMerge w:val="restart"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Vyhradená činnosť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Vyhradenú činnosť upravuje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navrhovaný predpis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existujúci predpis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a číslo existujúceho predpisu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ustanovenie existujúceho predpisu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§ 15 b § 16</w:t>
            </w:r>
          </w:p>
        </w:tc>
      </w:tr>
      <w:tr w:rsidR="00AD2C75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Je vyhradená činnosť čiastočne spoločná s inými regulovanými povolaniami?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iného regulovaného povolania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455/1991 Zb. o živnostenskom podnikaní (živnostenský zákon) v znení neskorších predpisov: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Kvalitatívne a kvantitatívne zisťova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nie faktorov životného prostredia a pracovného prostredia na účely posudzovania ich možného vplyvu na zdravie, Hodnotenie vplyvov na verejné zdravie,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Hodnotenie zdravotných rizík zo životného prostredia, Odber vzoriek zo životného prostredia a z pracovného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prostredia na účely kvalitatívneho a kvantitatívneho zisťovania faktorov životného prostredia a pracovného prostredia, Práca s dezinfekčnými prípravkami na profesionálne použitie a na prácu s prípravkami na reguláciu živočíšnych škodcov na profesionálne 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oužitie (www.mvsr.sk).     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dôvod, pre ktorý je vyhradená činnosť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spoločná s iným regulovaným povolaním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www.minv.sk/?kvalitativne-a-kvantitativne-zistovanie-faktorov-zivotneho-prostredia-a-pracovneho-prostredia-na-ucely-posudzovania-ich-mozneho-vplyvu-n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a-zdravie-alebo-hodnotenie-zdravotnych-rizik-zo-zivotneho-prostredia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Príslušným orgánom v SR pre uznanie kvalifikácie pre túto živnosť je Úrad verejného zdravotníctva SR. Živnosť naväzuje na odbornú spôsobilosť získanú po absolvovaní skúšky na ÚVZ SR.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D2C75">
        <w:tc>
          <w:tcPr>
            <w:tcW w:w="792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8"/>
                <w:id w:val="180901528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C75" w:rsidRDefault="00296010">
      <w:pPr>
        <w:pStyle w:val="normal"/>
      </w:pPr>
      <w:r>
        <w:br w:type="page"/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4116"/>
        <w:gridCol w:w="540"/>
        <w:gridCol w:w="1632"/>
        <w:gridCol w:w="1632"/>
        <w:gridCol w:w="1346"/>
      </w:tblGrid>
      <w:tr w:rsidR="00AD2C75">
        <w:tc>
          <w:tcPr>
            <w:tcW w:w="794" w:type="dxa"/>
            <w:vMerge w:val="restart"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22" w:right="-24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Ďalšie spôsoby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nie </w:t>
            </w:r>
          </w:p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áno, navrhovaným predpisom</w:t>
            </w:r>
            <w:r>
              <w:rPr>
                <w:rFonts w:ascii="Times New Roman" w:eastAsia="Times New Roman" w:hAnsi="Times New Roman" w:cs="Times New Roman"/>
              </w:rPr>
              <w:br/>
              <w:t>(ustanovenie)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právnym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left="-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áno, </w:t>
            </w:r>
            <w:r>
              <w:rPr>
                <w:rFonts w:ascii="Times New Roman" w:eastAsia="Times New Roman" w:hAnsi="Times New Roman" w:cs="Times New Roman"/>
              </w:rPr>
              <w:br/>
              <w:t>existujúcim vnútorným predpisom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(ustanovenie </w:t>
            </w:r>
            <w:r>
              <w:rPr>
                <w:rFonts w:ascii="Times New Roman" w:eastAsia="Times New Roman" w:hAnsi="Times New Roman" w:cs="Times New Roman"/>
              </w:rPr>
              <w:br/>
              <w:t>a číslo predpisu)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7" w:right="176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ďalšie vzdelávanie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tabs>
                <w:tab w:val="left" w:pos="813"/>
                <w:tab w:val="left" w:pos="1107"/>
              </w:tabs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62997743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177703979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pravidlá súvisiace s organizáciou regulovaného povolania, profesijnou etikou a profesijným dohľadom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188613416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41297760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povinné členstvo v profesijnej organizácii, systém registrácie alebo systém udeľovania oprávnení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127053095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59165373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678277864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kvantitatívne obmedzenia, ktorými sa ustanovuje počet oprávnení na výkon odbornej praxe, počet zamestnancov, vedúcich zamestnancov alebo iných osôb, u ktorých sa vyžaduje príslušná odborná kvalifikácia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39906763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103188076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-25490279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územné obmedzenia výkonu regulovaného povolania, ak sa uplatňujú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183767970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95558355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4510602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obmedzenia výkonu regulovaného povolania spoločne alebo v partnerstve a pravidlá nezlučiteľnosti výkonu regulovaného povolania s inou činnosťou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30957207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59089954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58095810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jazykové znalosti v rozsahu potrebnom na výkon regulovaného povolania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599459327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27074966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207455207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poistné krytie alebo iné prostriedky osobnej ochrany profesijnej zodpovednosti alebo kolektívnej ochrany profesijnej zodpovednosti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96609981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195437223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-66833813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minimálne sadzby alebo maximálne sadzby ceny za poskytnutú službu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1"/>
                <w:id w:val="1893592914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16593948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207162092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požiadavky na propagáciu a reklamu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327940784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-171060712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23843413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  <w:vMerge/>
            <w:tcBorders>
              <w:right w:val="single" w:sz="4" w:space="0" w:color="000000"/>
            </w:tcBorders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C75" w:rsidRDefault="00296010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-164920390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-160890307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u w:val="single"/>
              </w:rPr>
            </w:pPr>
            <w:sdt>
              <w:sdtPr>
                <w:tag w:val="goog_rdk_49"/>
                <w:id w:val="103454559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94" w:type="dxa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Označený verejný záujem možno dosiahnuť len navrhovaným spôsobom regulácie povolania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35332173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2C75">
        <w:tc>
          <w:tcPr>
            <w:tcW w:w="794" w:type="dxa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Účinky vzájomného pôsobenia viacerých spôsobov regulácie povolania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neuplatňuje sa</w:t>
            </w:r>
          </w:p>
        </w:tc>
      </w:tr>
      <w:tr w:rsidR="00AD2C75">
        <w:tc>
          <w:tcPr>
            <w:tcW w:w="794" w:type="dxa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vhodnosti navrhovaného spôsobu regulácie povolania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50" w:type="dxa"/>
            <w:gridSpan w:val="4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Vykonaváním činností, kde je predpisaná odborná spôsobilosť, osobou bez odbornej sposobilosti by  mohlo dôjst k ohrozeniu verejného zdravia z dôvodu nedostatočných vedomostí.  </w:t>
            </w:r>
          </w:p>
        </w:tc>
      </w:tr>
      <w:tr w:rsidR="00AD2C75">
        <w:tc>
          <w:tcPr>
            <w:tcW w:w="794" w:type="dxa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35" w:right="-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Navrhovaná regulácia povolania má vplyv na</w:t>
            </w:r>
          </w:p>
        </w:tc>
        <w:tc>
          <w:tcPr>
            <w:tcW w:w="5150" w:type="dxa"/>
            <w:gridSpan w:val="4"/>
          </w:tcPr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174022858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voľný pohyb osôb a služieb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-111418129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výber služby zo strany spotrebiteľa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346" w:hanging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kvalitu poskytovanej služby</w:t>
            </w:r>
          </w:p>
        </w:tc>
      </w:tr>
      <w:tr w:rsidR="00AD2C75">
        <w:tc>
          <w:tcPr>
            <w:tcW w:w="794" w:type="dxa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60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zvoleného spôsobu regulácie povolania vo vzťahu k menej obmedzujúcim prostriedkom na dosiahnutie verejného záujmu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50" w:type="dxa"/>
            <w:gridSpan w:val="4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</w:tbl>
    <w:p w:rsidR="00AD2C75" w:rsidRDefault="00AD2C7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</w:pPr>
      <w:r>
        <w:br w:type="page"/>
      </w: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3"/>
        <w:gridCol w:w="2067"/>
        <w:gridCol w:w="2234"/>
        <w:gridCol w:w="5016"/>
      </w:tblGrid>
      <w:tr w:rsidR="00AD2C75">
        <w:tc>
          <w:tcPr>
            <w:tcW w:w="10060" w:type="dxa"/>
            <w:gridSpan w:val="4"/>
          </w:tcPr>
          <w:p w:rsidR="00AD2C75" w:rsidRDefault="00296010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Odborná kvalifikácia na výkon regulovaného povolania</w:t>
            </w:r>
          </w:p>
        </w:tc>
      </w:tr>
      <w:tr w:rsidR="00AD2C75">
        <w:trPr>
          <w:trHeight w:val="6259"/>
        </w:trPr>
        <w:tc>
          <w:tcPr>
            <w:tcW w:w="743" w:type="dxa"/>
            <w:vMerge w:val="restart"/>
          </w:tcPr>
          <w:p w:rsidR="00AD2C75" w:rsidRDefault="00AD2C7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C75" w:rsidRDefault="00AD2C7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Kvalifikačné predpoklady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Formálne vzdelanie</w:t>
            </w:r>
          </w:p>
          <w:p w:rsidR="00AD2C75" w:rsidRDefault="00AD2C75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stupeň vzdelania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nižšie 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stredné odborné vzdelanie,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úplné stredné všeobecné vzdelanie alebo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stredné odborné vzdelanie 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vyššie odborné vzdelanie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prvého stupňa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vysokoškolské vzdelanie druhého stupňa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požadovaný odbor vzdelania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vyžaduje sa konkrétny učebný odbor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študijný odbor (názov)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  hodnotenie zdravotných rizík z  fyzikálnych  faktorov životného prostredia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ukončené vysokoškolské vzdelanie druhého stupňa v študijnom odbore biológia, biotechnológie, ekologické a en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vironmentálne vedy, farmácia, fyzika, chemické inžinierstvo a technológie, chémia, vedy o Zemi, verejné zdravotníctvo, veterinárske lekárstvo, všeobecné lekárstvo.</w:t>
            </w:r>
          </w:p>
          <w:p w:rsidR="00AD2C75" w:rsidRDefault="00AD2C75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48666293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nevyžaduje sa konkrétny učebný odbor alebo študijný odbor (všeobecná kvalifikačná požiad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avka)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spacing w:before="144" w:after="144"/>
              <w:ind w:left="377" w:hanging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c>
          <w:tcPr>
            <w:tcW w:w="74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Odborná prax 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požadovaná dĺžka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najmenej 3 roky odbornej praxe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ďalšie podmienky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AD2C75">
            <w:pPr>
              <w:pStyle w:val="normal"/>
              <w:tabs>
                <w:tab w:val="left" w:pos="347"/>
                <w:tab w:val="left" w:pos="2605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4"/>
                <w:id w:val="-121785767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2C75">
        <w:tc>
          <w:tcPr>
            <w:tcW w:w="74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D2C75" w:rsidRDefault="00296010">
            <w:pPr>
              <w:pStyle w:val="normal"/>
              <w:tabs>
                <w:tab w:val="left" w:pos="725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Ďalšie vzdelávanie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áno, požadované ďalšie vzdelávanie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c>
          <w:tcPr>
            <w:tcW w:w="74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Osvedčenie o odbornej spôsobilosti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áno, požadované osvedčenie o odbornej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spôsobilosti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Odborná spôsobilosť je podmienkou na vykonávanie týchto činností:</w:t>
            </w:r>
          </w:p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ind w:left="511" w:hanging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1q8bi9ol2l5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 hodnotenie zdravotných rizík z  fyzikálnych  faktorov životného prostredia.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-65287630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c>
          <w:tcPr>
            <w:tcW w:w="743" w:type="dxa"/>
          </w:tcPr>
          <w:p w:rsidR="00AD2C75" w:rsidRDefault="00296010">
            <w:pPr>
              <w:pStyle w:val="normal"/>
              <w:spacing w:before="144" w:after="144"/>
              <w:ind w:left="-10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01" w:type="dxa"/>
            <w:gridSpan w:val="2"/>
          </w:tcPr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Ostatné spôsoby získania odbornej kvalifikácie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</w:t>
            </w: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kvalifikačný predpoklad:</w:t>
            </w: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AD2C75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</w:tc>
      </w:tr>
      <w:tr w:rsidR="00AD2C75">
        <w:tc>
          <w:tcPr>
            <w:tcW w:w="743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rovnocennosti alternatívneho spôsobu získania odbornej kvalifikácie z hľadiska dosiahnutia označeného verejného záujmu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Všetkými spôsobmi sa dosahuje znalosť potrebných a relevantných teoretických vedomostí a praktických schopností.</w:t>
            </w:r>
          </w:p>
        </w:tc>
      </w:tr>
      <w:tr w:rsidR="00AD2C75">
        <w:tc>
          <w:tcPr>
            <w:tcW w:w="743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Overenie ovládania štátneho jazyka Slovenskej republiky</w:t>
            </w:r>
          </w:p>
        </w:tc>
        <w:tc>
          <w:tcPr>
            <w:tcW w:w="5016" w:type="dxa"/>
          </w:tcPr>
          <w:p w:rsidR="00AD2C75" w:rsidRDefault="00AD2C75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-5327923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maturitnou skúškou zo štátneho jazyka alebo z jazyka, ktorý spĺňa požiadavku základnej zrozumiteľnosti z hľadiska štátneho jazyka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AD2C75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73373993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štátnou jazykovou skúškou zo štátneho jazyka alebo z jazyka, ktorý spĺňa požiadavku základnej zrozumiteľnosti z hľadis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ka štátneho jazyka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iným dokladom o jazykovej spôsobilosti názov dokladu:</w:t>
            </w: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21"/>
              </w:tabs>
              <w:spacing w:before="72" w:after="72"/>
              <w:ind w:left="301" w:hanging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neoveruje sa formálnym spôsobom</w:t>
            </w:r>
          </w:p>
        </w:tc>
      </w:tr>
      <w:tr w:rsidR="00AD2C75">
        <w:tc>
          <w:tcPr>
            <w:tcW w:w="743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rozsahom činností regulovaného povolania alebo rozsahom vyhradených činností a odbornou kvalifikáciou požadovanou na ich výkon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  <w:tr w:rsidR="00AD2C75">
        <w:tc>
          <w:tcPr>
            <w:tcW w:w="743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Súvislosť medzi zložitosťou odbornej činnosti a požiadavkou, aby osoby, ktoré ju vykonávajú, mali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ríslušnú odbornú kvalifikáciu, najmä ak ide o úroveň, povahu a trvanie odbornej prípravy alebo o obsah a dĺžku odbornej praxe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aplikuje sa</w:t>
            </w:r>
          </w:p>
        </w:tc>
      </w:tr>
    </w:tbl>
    <w:p w:rsidR="00AD2C75" w:rsidRDefault="00AD2C7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</w:pPr>
      <w:r>
        <w:br w:type="page"/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4"/>
        <w:gridCol w:w="2063"/>
        <w:gridCol w:w="2258"/>
        <w:gridCol w:w="4985"/>
      </w:tblGrid>
      <w:tr w:rsidR="00AD2C75">
        <w:tc>
          <w:tcPr>
            <w:tcW w:w="10060" w:type="dxa"/>
            <w:gridSpan w:val="4"/>
          </w:tcPr>
          <w:p w:rsidR="00AD2C75" w:rsidRDefault="00296010">
            <w:pPr>
              <w:pStyle w:val="normal"/>
              <w:spacing w:before="144" w:after="144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Prístup k regulovanému povolaniu</w:t>
            </w:r>
          </w:p>
        </w:tc>
      </w:tr>
      <w:tr w:rsidR="00AD2C75"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 dokladu potrebný na získanie prístupu k výkonu regulovaného povolania</w:t>
            </w:r>
          </w:p>
        </w:tc>
        <w:tc>
          <w:tcPr>
            <w:tcW w:w="4985" w:type="dxa"/>
            <w:shd w:val="clear" w:color="auto" w:fill="auto"/>
          </w:tcPr>
          <w:p w:rsidR="00AD2C75" w:rsidRDefault="00AD2C75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536709147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povolenie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59"/>
                <w:id w:val="50678284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licencia</w:t>
            </w:r>
          </w:p>
          <w:p w:rsidR="00AD2C75" w:rsidRDefault="00AD2C75">
            <w:pPr>
              <w:pStyle w:val="normal"/>
              <w:tabs>
                <w:tab w:val="left" w:pos="302"/>
                <w:tab w:val="left" w:pos="287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0"/>
                <w:id w:val="41376956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autorizácia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sdt>
              <w:sdtPr>
                <w:tag w:val="goog_rdk_61"/>
                <w:id w:val="170586136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preukaz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o odbornej spôsobilosti</w:t>
            </w:r>
          </w:p>
          <w:p w:rsidR="00AD2C75" w:rsidRDefault="00AD2C75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C75" w:rsidRDefault="00296010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orgánu, ktorý príslušný doklad vydáva</w:t>
            </w:r>
          </w:p>
          <w:p w:rsidR="00AD2C75" w:rsidRDefault="00296010">
            <w:pPr>
              <w:pStyle w:val="normal"/>
              <w:tabs>
                <w:tab w:val="left" w:pos="302"/>
                <w:tab w:val="left" w:pos="3556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Úrade verejného zdravotníctva SR</w:t>
            </w:r>
          </w:p>
        </w:tc>
      </w:tr>
      <w:tr w:rsidR="00AD2C75"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Registrácia a členstvo v profesijnej organizácii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povinné členstvo v profesijnej organizácii na výkon regulovaného povolania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-198062690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6010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povinná registrácia v profesijnej organizácii na výkon regulovaného povolania</w:t>
            </w:r>
          </w:p>
          <w:p w:rsidR="00AD2C75" w:rsidRDefault="00AD2C75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666047715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áno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96010"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AD2C75"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Profesijná organizácia pre príslušné regulované povolanie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existujúca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založená alebo zriadená navrhovanou úpravou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profesijnej organizácie </w:t>
            </w:r>
          </w:p>
          <w:p w:rsidR="00AD2C75" w:rsidRDefault="00296010">
            <w:pPr>
              <w:pStyle w:val="normal"/>
              <w:tabs>
                <w:tab w:val="left" w:pos="302"/>
              </w:tabs>
              <w:spacing w:before="72" w:after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rPr>
          <w:trHeight w:val="2765"/>
        </w:trPr>
        <w:tc>
          <w:tcPr>
            <w:tcW w:w="754" w:type="dxa"/>
            <w:vMerge w:val="restart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právnej formy výkonu regulovaného povolania, riadenia právnickej osoby alebo vlastníckej štruktúry právnickej osoby</w:t>
            </w:r>
          </w:p>
        </w:tc>
        <w:tc>
          <w:tcPr>
            <w:tcW w:w="2258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Právna forma výkonu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AD2C75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(zamestnanec)</w:t>
            </w:r>
          </w:p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fyzická osoba (samostatne zárobkovo činná osoba)</w:t>
            </w:r>
          </w:p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23389100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právnická osoba</w:t>
            </w:r>
          </w:p>
          <w:p w:rsidR="00AD2C75" w:rsidRDefault="00AD2C75">
            <w:pPr>
              <w:pStyle w:val="normal"/>
              <w:tabs>
                <w:tab w:val="left" w:pos="0"/>
              </w:tabs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2C75">
        <w:trPr>
          <w:trHeight w:val="2765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8" w:type="dxa"/>
          </w:tcPr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1822619150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Riadenie právnickej osoby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rPr>
          <w:trHeight w:val="2765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210077600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Vlastnícka štruktúra právnickej osoby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rPr>
          <w:trHeight w:val="806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2"/>
          </w:tcPr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1686151827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Neexistujú požiadavky týkajúce sa právnej formy výkonu regulovaného povolania, riadenia právnickej osoby alebo vlastníckej štruktúry právnickej osoby </w:t>
            </w:r>
          </w:p>
        </w:tc>
      </w:tr>
      <w:tr w:rsidR="00AD2C75"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Vplyv dohľadu odborne spôsobilej osoby a opatrení organizačnej povahy na dosahovanie označeného verejného záujmu, ak regulované povolanie, nevykonáva fyzická osoba samostatne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Osvedčenie musí mať pracovník, ktorý je zodpovedný za odborné vykonávanie tých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činností.</w:t>
            </w:r>
          </w:p>
          <w:p w:rsidR="00AD2C75" w:rsidRDefault="00AD2C75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C75">
        <w:trPr>
          <w:trHeight w:val="416"/>
        </w:trPr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Predpokladaný vplyv vedeckého pokroku a technického pokroku na zníženie alebo zvýšenie informačnej nerovnosti medzi odborne spôsobilou osobou a spotrebiteľom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Prispeje k prehĺbeniu odborných vedomostí. </w:t>
            </w:r>
          </w:p>
        </w:tc>
      </w:tr>
      <w:tr w:rsidR="00AD2C75"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Územné obmedzenie výkonu regulovaného povolania v rámci Slovenskej republiky</w:t>
            </w:r>
          </w:p>
        </w:tc>
        <w:tc>
          <w:tcPr>
            <w:tcW w:w="4985" w:type="dxa"/>
          </w:tcPr>
          <w:p w:rsidR="00AD2C75" w:rsidRDefault="00AD2C75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1750140928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rPr>
          <w:trHeight w:val="1702"/>
        </w:trPr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Obmedzenie výkonu regulovaného povolania vo vzťahu k cudzím štátnym príslušníkom, osobám s trvalým pobytom mimo územia Slovenskej republiky alebo osobám, ktoré sa obvykle zdržiavajú mimo územia Slovenskej republiky </w:t>
            </w:r>
          </w:p>
        </w:tc>
        <w:tc>
          <w:tcPr>
            <w:tcW w:w="4985" w:type="dxa"/>
          </w:tcPr>
          <w:p w:rsidR="00AD2C75" w:rsidRDefault="00AD2C75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1599726709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spôsob a dôvody obmedzenia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rPr>
          <w:trHeight w:val="4711"/>
        </w:trPr>
        <w:tc>
          <w:tcPr>
            <w:tcW w:w="75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odbornú kvalifikáciu na výkon regulovaného povolania nadobudnutú v zahraničí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existujúcim právnym predpisom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 č. 355/2007 Z. z.Zákon o ochrane, podpore a rozvoji verejného zdravia a o zmene a doplnení niektorých zákonov v platnom znení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orým sa menia a dopĺňajú niektoré zákony</w:t>
            </w:r>
          </w:p>
        </w:tc>
      </w:tr>
      <w:tr w:rsidR="00AD2C75">
        <w:tc>
          <w:tcPr>
            <w:tcW w:w="754" w:type="dxa"/>
          </w:tcPr>
          <w:p w:rsidR="00AD2C75" w:rsidRDefault="0029601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gridSpan w:val="2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Orgán, ktorý uznáva doklad o vzdelaní na účely výkonu regulovaného povolania vydaný príslušným orgánom členského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alebo príslušným orgánom tretieho štátu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vAlign w:val="center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orgán ustanovený existujúcim právnym predpisom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názov orgánu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Zákon č. 355/2007 Z. z.Zákon o ochrane, podpore a rozvoji verejného zdravia a o zmene a doplnení niektorých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zákonov v platnom znení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orgán ustanovený navrhovaným právnym predpisom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 orgánu 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Úrad verejného zdravotníctva SR     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názov, číslo a ustanovenie právneho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verejného zdravia a o zmene a doplnení niektorých zákonov v znení neskorších predpisov a ktorým sa menia a dopĺňajú niektoré zákony</w:t>
            </w:r>
          </w:p>
        </w:tc>
      </w:tr>
      <w:tr w:rsidR="00AD2C75">
        <w:trPr>
          <w:trHeight w:val="1575"/>
        </w:trPr>
        <w:tc>
          <w:tcPr>
            <w:tcW w:w="754" w:type="dxa"/>
            <w:vMerge w:val="restart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Požiadavky týkajúce sa dočasného a príležitostného poskytovania služieb</w:t>
            </w:r>
          </w:p>
        </w:tc>
        <w:tc>
          <w:tcPr>
            <w:tcW w:w="2258" w:type="dxa"/>
          </w:tcPr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116571042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Automatická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dočasná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registrácia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alebo formálne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členstvo v profesijnej organizácii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29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 ustanovenie právneho 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2C75" w:rsidRDefault="00AD2C75">
            <w:pPr>
              <w:pStyle w:val="normal"/>
              <w:tabs>
                <w:tab w:val="left" w:pos="376"/>
              </w:tabs>
              <w:spacing w:before="144" w:after="144"/>
              <w:ind w:left="374" w:hanging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C75">
        <w:trPr>
          <w:trHeight w:val="1575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Vyhlásenie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predložené vopred príslušnému orgánu spolu s dokladmi podľa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osobitného predpisu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vládny návrh zákona z ............ 2025, ktorým sa mení a dopĺňa zákon č. 355/2007 Z. z. o ochrane, podpore a rozvoji verejnéh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zdravia a o zmene a doplnení niektorých zákonov v znení neskorších predpisov a ktorým sa menia a dopĺňajú niektoré zákony, § 16 q Uznávanie odbornej spôsobilosti získanej v zahraničí</w:t>
            </w:r>
          </w:p>
          <w:p w:rsidR="00AD2C75" w:rsidRDefault="00AD2C75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C75">
        <w:trPr>
          <w:trHeight w:val="1575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D2C75" w:rsidRDefault="00AD2C75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358911732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Úhrada členského príspevku</w:t>
            </w:r>
            <w:r w:rsidR="00296010"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>alebo správneho poplatku poskytovateľom služby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členského príspevku z hľadiska proporcionality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príslušného právneho 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odôvodnenie výšky správneho poplatku z hľadiska proporcionality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</w:tc>
      </w:tr>
      <w:tr w:rsidR="00AD2C75">
        <w:trPr>
          <w:trHeight w:val="1575"/>
        </w:trPr>
        <w:tc>
          <w:tcPr>
            <w:tcW w:w="754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AD2C75" w:rsidRDefault="00AD2C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D2C75" w:rsidRDefault="00296010">
            <w:pPr>
              <w:pStyle w:val="normal"/>
              <w:tabs>
                <w:tab w:val="left" w:pos="274"/>
              </w:tabs>
              <w:spacing w:before="144" w:after="144"/>
              <w:ind w:left="259" w:right="176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Iné požiadavky</w:t>
            </w:r>
          </w:p>
        </w:tc>
        <w:tc>
          <w:tcPr>
            <w:tcW w:w="4985" w:type="dxa"/>
          </w:tcPr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názov, číslo a ustanovenie právneho predpisu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požiadavky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určenie verejného záujmu, ktorého dosahovaním je zavedenie príslušnej požiadavky zdôvodnené</w:t>
            </w:r>
          </w:p>
          <w:p w:rsidR="00AD2C75" w:rsidRDefault="00296010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     </w:t>
            </w:r>
          </w:p>
          <w:p w:rsidR="00AD2C75" w:rsidRDefault="00AD2C75">
            <w:pPr>
              <w:pStyle w:val="normal"/>
              <w:tabs>
                <w:tab w:val="left" w:pos="376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C75" w:rsidRDefault="00AD2C7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</w:pPr>
      <w:r>
        <w:br w:type="page"/>
      </w: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4"/>
        <w:gridCol w:w="4022"/>
        <w:gridCol w:w="5274"/>
      </w:tblGrid>
      <w:tr w:rsidR="00AD2C75">
        <w:tc>
          <w:tcPr>
            <w:tcW w:w="10060" w:type="dxa"/>
            <w:gridSpan w:val="3"/>
          </w:tcPr>
          <w:p w:rsidR="00AD2C75" w:rsidRDefault="00296010">
            <w:pPr>
              <w:pStyle w:val="normal"/>
              <w:spacing w:before="144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Vyhodnotenie testu proporcionality</w:t>
            </w:r>
          </w:p>
        </w:tc>
      </w:tr>
      <w:tr w:rsidR="00AD2C75">
        <w:tc>
          <w:tcPr>
            <w:tcW w:w="10060" w:type="dxa"/>
            <w:gridSpan w:val="3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Testom proporcionality je zistené splnenie týchto podmienok:</w:t>
            </w:r>
          </w:p>
        </w:tc>
      </w:tr>
      <w:tr w:rsidR="00AD2C75">
        <w:tc>
          <w:tcPr>
            <w:tcW w:w="764" w:type="dxa"/>
            <w:tcBorders>
              <w:bottom w:val="single" w:sz="4" w:space="0" w:color="000000"/>
            </w:tcBorders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Súlad navrhovanej regulácie povolania so zásadou rovnakého zaobchádzania vrátane zákazu diskriminácie z dôvodu štátnej príslušnosti, miesta trvalého pobytu alebo miesta, kde sa fyzická osoba obvykle zdržiava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-85313943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c>
          <w:tcPr>
            <w:tcW w:w="764" w:type="dxa"/>
            <w:tcBorders>
              <w:top w:val="single" w:sz="4" w:space="0" w:color="000000"/>
            </w:tcBorders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4" w:space="0" w:color="000000"/>
            </w:tcBorders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Odôvodnenosť navrhovanej regulácie povolania verejným záujmom </w:t>
            </w:r>
          </w:p>
        </w:tc>
        <w:tc>
          <w:tcPr>
            <w:tcW w:w="5274" w:type="dxa"/>
            <w:tcBorders>
              <w:top w:val="single" w:sz="4" w:space="0" w:color="000000"/>
            </w:tcBorders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-1674112041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c>
          <w:tcPr>
            <w:tcW w:w="76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Zabezpečenie dosiahnutia sledovaného verejného záujmu prostredníctvom navrhovanej regulácie povolania</w:t>
            </w:r>
          </w:p>
        </w:tc>
        <w:tc>
          <w:tcPr>
            <w:tcW w:w="5274" w:type="dxa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-473057696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  <w:tr w:rsidR="00AD2C75">
        <w:tc>
          <w:tcPr>
            <w:tcW w:w="764" w:type="dxa"/>
          </w:tcPr>
          <w:p w:rsidR="00AD2C75" w:rsidRDefault="00AD2C7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left="447" w:right="-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AD2C75" w:rsidRDefault="00296010">
            <w:pPr>
              <w:pStyle w:val="normal"/>
              <w:spacing w:before="144" w:after="144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Nevyhnutnosť navrhovanej regulácie povolania na dosiahnutie sledovaného verejného záujmu </w:t>
            </w:r>
          </w:p>
        </w:tc>
        <w:tc>
          <w:tcPr>
            <w:tcW w:w="5274" w:type="dxa"/>
          </w:tcPr>
          <w:p w:rsidR="00AD2C75" w:rsidRDefault="00296010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áno</w:t>
            </w:r>
          </w:p>
          <w:p w:rsidR="00AD2C75" w:rsidRDefault="00AD2C75">
            <w:pPr>
              <w:pStyle w:val="normal"/>
              <w:tabs>
                <w:tab w:val="left" w:pos="347"/>
              </w:tabs>
              <w:spacing w:before="144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746232297"/>
              </w:sdtPr>
              <w:sdtContent>
                <w:r w:rsidR="00296010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0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nie</w:t>
            </w:r>
          </w:p>
        </w:tc>
      </w:tr>
    </w:tbl>
    <w:p w:rsidR="00AD2C75" w:rsidRDefault="00AD2C7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C75" w:rsidRDefault="00296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Verzia testu proporcionality:</w:t>
      </w:r>
    </w:p>
    <w:p w:rsidR="00AD2C75" w:rsidRDefault="00296010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Pôvodná verzia zverejnená subjektom, ktorý navrhuje reguláciu povolania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C75" w:rsidRDefault="00296010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zverejní vyplnený formulár spolu s návrhom regulácie povolania na svojom webovom sídle a zároveň zašle Ministerstvu školstva, vedy, výskumu a športu Slovenskej republiky na účely zverejnenia na jeho webovom síd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) </w:t>
      </w:r>
    </w:p>
    <w:p w:rsidR="00AD2C75" w:rsidRDefault="00AD2C75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76"/>
          <w:id w:val="-7731422"/>
        </w:sdtPr>
        <w:sdtContent>
          <w:r w:rsidR="00296010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☐</w:t>
          </w:r>
        </w:sdtContent>
      </w:sdt>
      <w:r w:rsidR="00296010">
        <w:rPr>
          <w:rFonts w:ascii="Times New Roman" w:eastAsia="Times New Roman" w:hAnsi="Times New Roman" w:cs="Times New Roman"/>
          <w:b/>
          <w:sz w:val="24"/>
          <w:szCs w:val="24"/>
        </w:rPr>
        <w:t xml:space="preserve"> Verzia po zohľadnení pripomienok a konzultácii s pripomienkujúcimi subjektmi</w:t>
      </w:r>
    </w:p>
    <w:p w:rsidR="00AD2C75" w:rsidRDefault="00296010">
      <w:pPr>
        <w:pStyle w:val="normal"/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(subjekt, ktorý navrhuje reguláciu povolania, posúdi proporcionalitu navrhovanej regulácie povolania na základe konzultácie s fyzickou osobou alebo s právnickou osobou, ktorá k testu proporcionality uplatnila pripomienky, a formulár upravený na základe výs</w:t>
      </w:r>
      <w:r>
        <w:rPr>
          <w:rFonts w:ascii="Times New Roman" w:eastAsia="Times New Roman" w:hAnsi="Times New Roman" w:cs="Times New Roman"/>
          <w:sz w:val="24"/>
          <w:szCs w:val="24"/>
        </w:rPr>
        <w:t>ledku konzultácie zverejní na svojom webovom sídle a zároveň zašle Ministerstvu školstva, vedy, výskumu a športu Slovenskej republiky na účely zverejnenia na jeho webovom sídle)</w:t>
      </w: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prvého zverejnenia testu proporcionality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subjektom, ktorý navrhuje regu</w:t>
      </w:r>
      <w:r>
        <w:rPr>
          <w:rFonts w:ascii="Times New Roman" w:eastAsia="Times New Roman" w:hAnsi="Times New Roman" w:cs="Times New Roman"/>
          <w:sz w:val="24"/>
          <w:szCs w:val="24"/>
        </w:rPr>
        <w:t>láciu povolania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2C75" w:rsidRDefault="00AD2C75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Dátum zverejnenia testu proporcionality po zohľadnení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pripomienok a konzultácii s pripomienkujúcim subjektom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alebo po uplynutí lehoty na vznesenie pripomienok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2C75" w:rsidRDefault="00AD2C75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C75" w:rsidRDefault="00AD2C75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AD2C75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</w:p>
    <w:p w:rsidR="00AD2C75" w:rsidRDefault="00296010">
      <w:pPr>
        <w:pStyle w:val="normal"/>
        <w:spacing w:before="144" w:after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Vysvetlivky: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egulovaným povolaním sa rozumie aj odborná činnosť alebo skupina odborných činností, na ktorých výkon sa vyžaduje splnenie kvalifikačných predpokladov ustanovených osobitnými predpismi, napríklad § 4 ods. 4 zákona Národnej rady Slovenskej republiky č. 200/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1994 Z. z. o Komore reštaurátorov a o výkone reštaurátorskej činnosti jej členov v znení zákona č. 136/2010 Z. z., § 10 zákona č. 138/2019 Z. z. o pedagogických zamestnancoch a odborných zamestnancoch a o zmene a doplnení niektorých zákonov v znení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 414/2021 Z. z.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doterajší názov regulovaného povolania, aj ak sa názov regulovaného povolania nahrádza názvom v riadku 2, aj ak sa názov regulovaného povolania nemení, ale regulované povolanie už v súčasnosti existuje s tým istým názvom na zákl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existujúceho právneho predpisu (napríklad regulované povolanie učiteľ druhého stupňa základnej školy nebolo zavedené zákonom č. 138/2019 Z. z. o pedagogických zamestnancoch a odborných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zamestnancoch a o zmene a doplnení niektorých zákonov v znení nesko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rších predpisov, ale predchádzajúcou právnou úpravou).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Vyžaduje sa označenie najmenej jedného dôvodu, inak navrhovaná regulácia povolania nie je odôvodnená.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Iný verejný záujem vyplývajúci z judikatúry Súdneho dvora Európskej únie, ktorý možno zohľadniť 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výkone testu proporcionality v oblasti regulácie povolaní. Ciele ekonomického charakteru a administratívneho charakteru nie sú verejným záujmom pre test proporcionality v oblasti regulácie povolaní.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riziká pre spotrebiteľov, príjemcov služieb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 pre vykonávateľov navrhovaného regulovaného povolania.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Možnosť „áno“ musí byť označená aspoň v jednom z riadkov 8 alebo 9. Ak je označená možnosť „áno“, vypĺňa sa aj stĺpec vpravo.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Profesijný titul sa uvádza, ak ho ustanovuje osobitný predpis (napríklad nariadenie vlády Slovenskej republiky č. 513/2011 Z. z. o používaní profesijných titulov a ich skratiek viažucich sa na odbornú spôsobilosť na výkon zdravotníckeho povolania v znení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ariadenia vlády Slovenskej republiky č. 271/2019 Z. z.).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Uvádzajú sa všetky existujúce spôsoby aj navrhované spôsoby regulácie povolania, ktorými sa obmedzuje prístup k príslušnému regulovanému povolaniu, pričom možno označiť viac možností súčasne.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Vypĺňa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sa, ak je v riadku 10 označených viac možností. Uvádza sa napríklad spôsob, akým regulácia povolania v spojení s inými požiadavkami prispieva k dosiahnutiu verejného záujmu označeného v riadku 6.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obdobná regulácia pri iných regulovaných povolania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Menej obmedzujúcim prostriedkom je napríklad úprava vzťahov poskytovateľa služby a spotrebiteľa, pôsobenie voľného trhu.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základný spôsob získania odbornej kvalifikácie vrátane všetkých jej súčastí, ktoré sa vyžadujú na výkon regulovaného povo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lania. Ostatné spôsoby uveďte v riadku 17.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názov požadovaného odboru vzdelania alebo názvy viacerých odborov vzdelania, ak je podmienka aspoň jeden z nich.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Uvádza sa znenie všeobecnej kvalifikačnej podmienky, ktorou je napríklad stupeň vzdelania, všeobecne definovaná skupina odborov alebo zameranie. Ak existuje len všeobecná kvalifikačná podmienka (napríklad „ukončené úplné stredné vzdelanie“, „vysokoškolské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vzdelanie právnického alebo ekonomického smeru“) bez ustanovenej špecifickej prípravy na povolanie (v rámci formálneho vzdelávania alebo neformálneho vzdelávania) alebo odbornej praxe, nejde o regulované povolanie a test proporcionality sa nevypĺňa.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konkrétne trvanie, napríklad „50 hodín“ alebo „3 roky“.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prax v konkrétnej oblasti, prax s cieľovou skupinou.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 ods. 1 zákona č. 568/2009 Z. z. o celoživotnom vzdelávaní a o zmene a doplnení niektorých zákonov.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Uvádza sa, ak je osvedčenie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vyhnutnou podmienkou výkonu regulovaného povolania. Napríklad autorizácia, ak ide o výkon regulovaného povolania architekt.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existuje viac spôsobov získania odbornej kvalifikácie, číslujú sa. Ku každému číslu sa uvádzajú všetky časti vzdelávania a praxe,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 vedú k získaniu odbornej kvalifikácie (formálne vzdelávanie, ďalšie vzdelávanie, požadovaná prax).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 ods. 4 zákona Národnej rady Slovenskej republiky č. 270/1995 Z. z. o štátnom jazyku Slovenskej republiky v znení neskorších predpisov.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sa na 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 regulovaného povolania vyžaduje napríklad vysokoškolské vzdelanie druhého stupňa a päť rokov praxe v odbore, uvádza sa dôvod, pre ktorý je zvolený uvedený stupeň vzdelania a uvedená dĺžka praxe a ako to súvisí so zložitosťou odbornej činnosti.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len ak je na otázku v riadku 23 aspoň jedna odpoveď „áno“.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 označiť jednu alebo viaceré možnosti foriem výkonu regulovaného povolania. 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riadenie právnickej osoby v rozsahu, v akom táto požiadavka súvisí s požiadavkami na výk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regulovaného povolania. Napríklad požiadavka podľa § 7 ods. 2 zákona č. 455/1991 Zb. o živnostenskom podnikaní (živnostenský zákon) v znení zákona č. 279/2001 Z. z..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Uvádza sa požiadavka na vlastnícku štruktúru právnickej osoby vo vzťahu k požiadavkám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výkon regulovaného povolania. Napríklad požiadavka podľa § 9 zákona Slovenskej národnej rady č. 138/1992 Zb. o autorizovaných architektoch a autorizovaných stavebných inžinieroch v znení neskorších predpisov alebo požiadavka podľa § 8 ods. 7 zákona Slove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nskej národnej rady č. 78/1992 Zb. o daňových poradcoch a Slovenskej komore daňových poradcov v znení neskorších predpisov.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Vypĺňa sa, len ak nie je regulované povolanie vykonávané samostatne. Uvádza sa odôvodnenie, prečo napriek dohľadu odborne spôsobilej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osoby je nutná osobitná regulácia uvedeného povolania.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 navrhovaní regulácie povolania je nutné zabezpečiť možné uznanie obdobnej odbornej kvalifikácie nadobudnutej v inom členskom štáte alebo v treťom štáte a právnym predpisom ustanoviť príslušný orgá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 jej uznanie.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Orgánom príslušným na uznanie dokladu o vzdelaní môže byť orgán príslušný zároveň na uznanie odbornej kvalifikácie alebo iný orgán, ak ho ustanoví právny predpis.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Registrácia alebo členstvo nesmie neprimerane obmedzovať poskytovanie služby a spôsobovať poskytovateľovi služby dodatočné náklady.</w:t>
      </w:r>
    </w:p>
    <w:p w:rsidR="00AD2C75" w:rsidRDefault="0029601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Napríklad § 30 zákona č. 578/2004 Z. z. o poskytovateľoch zdravotnej starostlivosti, zdravotníckych pracovníkoch, stavovskýc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organizáciách v zdravotníctve a o zmene a doplnení niektorých zákonov v znení neskorších predpisov, § 41 zákona č. 422/2015 Z. z. o uznávaní dokladov o vzdelaní a o uznávaní odborných kvalifikácií a o zmene a doplnení niektorých zákonov v znení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357/2020 Z. z.</w:t>
      </w:r>
    </w:p>
    <w:p w:rsidR="00AD2C75" w:rsidRDefault="00AD2C75">
      <w:pPr>
        <w:pStyle w:val="normal"/>
      </w:pPr>
    </w:p>
    <w:sectPr w:rsidR="00AD2C75" w:rsidSect="00AD2C7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1E3"/>
    <w:multiLevelType w:val="multilevel"/>
    <w:tmpl w:val="68BAFDF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A540B"/>
    <w:multiLevelType w:val="multilevel"/>
    <w:tmpl w:val="B4DA9FF4"/>
    <w:lvl w:ilvl="0">
      <w:start w:val="10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13B6"/>
    <w:multiLevelType w:val="multilevel"/>
    <w:tmpl w:val="A9D6263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680316"/>
    <w:multiLevelType w:val="multilevel"/>
    <w:tmpl w:val="0576FFAA"/>
    <w:lvl w:ilvl="0">
      <w:start w:val="18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59D6"/>
    <w:multiLevelType w:val="multilevel"/>
    <w:tmpl w:val="595EBDF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AD2C75"/>
    <w:rsid w:val="00296010"/>
    <w:rsid w:val="00AD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AD2C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AD2C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AD2C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AD2C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AD2C7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AD2C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AD2C75"/>
  </w:style>
  <w:style w:type="table" w:customStyle="1" w:styleId="TableNormal">
    <w:name w:val="TableNormal"/>
    <w:rsid w:val="00AD2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AD2C75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1B63E3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link w:val="TextpoznmkypodiarouChar"/>
    <w:uiPriority w:val="99"/>
    <w:unhideWhenUsed/>
    <w:rsid w:val="001B63E3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B63E3"/>
    <w:rPr>
      <w:rFonts w:ascii="Times New Roman" w:hAnsi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63E3"/>
    <w:rPr>
      <w:vertAlign w:val="superscript"/>
    </w:rPr>
  </w:style>
  <w:style w:type="paragraph" w:styleId="Odsekzoznamu">
    <w:name w:val="List Paragraph"/>
    <w:uiPriority w:val="34"/>
    <w:qFormat/>
    <w:rsid w:val="001B63E3"/>
    <w:pPr>
      <w:spacing w:after="0" w:line="276" w:lineRule="auto"/>
      <w:ind w:left="720" w:right="-284"/>
      <w:contextualSpacing/>
    </w:pPr>
    <w:rPr>
      <w:rFonts w:ascii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B63E3"/>
    <w:rPr>
      <w:sz w:val="16"/>
      <w:szCs w:val="16"/>
    </w:rPr>
  </w:style>
  <w:style w:type="paragraph" w:styleId="Textkomentra">
    <w:name w:val="annotation text"/>
    <w:link w:val="TextkomentraChar"/>
    <w:uiPriority w:val="99"/>
    <w:unhideWhenUsed/>
    <w:rsid w:val="001B63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3E3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3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3E3"/>
    <w:rPr>
      <w:b/>
      <w:bCs/>
      <w:sz w:val="20"/>
      <w:szCs w:val="20"/>
      <w:lang w:val="sk-SK"/>
    </w:rPr>
  </w:style>
  <w:style w:type="paragraph" w:styleId="Textbubliny">
    <w:name w:val="Balloon Text"/>
    <w:link w:val="TextbublinyChar"/>
    <w:uiPriority w:val="99"/>
    <w:semiHidden/>
    <w:unhideWhenUsed/>
    <w:rsid w:val="001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3E3"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1B63E3"/>
    <w:pPr>
      <w:spacing w:after="0" w:line="240" w:lineRule="auto"/>
    </w:pPr>
    <w:rPr>
      <w:lang w:val="sk-SK"/>
    </w:rPr>
  </w:style>
  <w:style w:type="character" w:styleId="Siln">
    <w:name w:val="Strong"/>
    <w:basedOn w:val="Predvolenpsmoodseku"/>
    <w:uiPriority w:val="22"/>
    <w:qFormat/>
    <w:rsid w:val="001B63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B63E3"/>
    <w:rPr>
      <w:color w:val="0000FF"/>
      <w:u w:val="single"/>
    </w:rPr>
  </w:style>
  <w:style w:type="paragraph" w:styleId="Hlavika">
    <w:name w:val="header"/>
    <w:link w:val="Hlavik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3E3"/>
    <w:rPr>
      <w:lang w:val="sk-SK"/>
    </w:rPr>
  </w:style>
  <w:style w:type="paragraph" w:styleId="Pta">
    <w:name w:val="footer"/>
    <w:link w:val="PtaChar"/>
    <w:uiPriority w:val="99"/>
    <w:unhideWhenUsed/>
    <w:rsid w:val="001B6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3E3"/>
    <w:rPr>
      <w:lang w:val="sk-SK"/>
    </w:rPr>
  </w:style>
  <w:style w:type="paragraph" w:styleId="Textkoncovejpoznmky">
    <w:name w:val="endnote text"/>
    <w:link w:val="TextkoncovejpoznmkyChar"/>
    <w:uiPriority w:val="99"/>
    <w:semiHidden/>
    <w:unhideWhenUsed/>
    <w:rsid w:val="001B63E3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1B63E3"/>
    <w:rPr>
      <w:sz w:val="20"/>
      <w:szCs w:val="20"/>
      <w:lang w:val="sk-SK"/>
    </w:rPr>
  </w:style>
  <w:style w:type="character" w:styleId="Odkaznakoncovpoznmku">
    <w:name w:val="endnote reference"/>
    <w:basedOn w:val="Predvolenpsmoodseku"/>
    <w:uiPriority w:val="99"/>
    <w:semiHidden/>
    <w:unhideWhenUsed/>
    <w:rsid w:val="001B63E3"/>
    <w:rPr>
      <w:vertAlign w:val="superscript"/>
    </w:rPr>
  </w:style>
  <w:style w:type="character" w:customStyle="1" w:styleId="markedcontent">
    <w:name w:val="markedcontent"/>
    <w:basedOn w:val="Predvolenpsmoodseku"/>
    <w:rsid w:val="001B63E3"/>
  </w:style>
  <w:style w:type="paragraph" w:styleId="Podtitul">
    <w:name w:val="Subtitle"/>
    <w:basedOn w:val="normal"/>
    <w:next w:val="normal"/>
    <w:rsid w:val="00AD2C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D2C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+epSVs/BvIUf2uULX+CHBeb9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zIOaC4zMXE4Ymk5b2wybDU4AHIhMVJOWmVic2p5TklHS3g1Vk9WaGVYTTBfbEpBV3dyZ2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3614</Words>
  <Characters>20604</Characters>
  <Application>Microsoft Office Word</Application>
  <DocSecurity>0</DocSecurity>
  <Lines>171</Lines>
  <Paragraphs>48</Paragraphs>
  <ScaleCrop>false</ScaleCrop>
  <Company/>
  <LinksUpToDate>false</LinksUpToDate>
  <CharactersWithSpaces>24170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Hustavova</dc:creator>
  <cp:lastModifiedBy>Martin Sojka</cp:lastModifiedBy>
  <cp:revision>2</cp:revision>
  <dcterms:created xsi:type="dcterms:W3CDTF">2025-07-01T15:07:00Z</dcterms:created>
  <dcterms:modified xsi:type="dcterms:W3CDTF">2025-07-01T15:07:00Z</dcterms:modified>
</cp:coreProperties>
</file>