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A18" w:rsidRPr="00423A44" w:rsidRDefault="00974A18">
      <w:pPr>
        <w:ind w:firstLine="360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974A18" w:rsidRPr="00423A44" w:rsidRDefault="00EC759C">
      <w:pPr>
        <w:ind w:firstLine="360"/>
        <w:jc w:val="center"/>
        <w:rPr>
          <w:rFonts w:ascii="Arial" w:eastAsia="Times New Roman" w:hAnsi="Arial" w:cs="Arial"/>
          <w:b/>
        </w:rPr>
      </w:pPr>
      <w:r w:rsidRPr="00423A44">
        <w:rPr>
          <w:rFonts w:ascii="Arial" w:eastAsia="Times New Roman" w:hAnsi="Arial" w:cs="Arial"/>
          <w:b/>
          <w:sz w:val="28"/>
          <w:szCs w:val="28"/>
        </w:rPr>
        <w:t>Merateľné ukazovatele</w:t>
      </w:r>
      <w:r w:rsidRPr="00423A44">
        <w:rPr>
          <w:rFonts w:ascii="Arial" w:eastAsia="Times New Roman" w:hAnsi="Arial" w:cs="Arial"/>
          <w:b/>
          <w:sz w:val="24"/>
          <w:szCs w:val="24"/>
          <w:vertAlign w:val="superscript"/>
        </w:rPr>
        <w:footnoteReference w:id="1"/>
      </w:r>
    </w:p>
    <w:p w:rsidR="00974A18" w:rsidRPr="00423A44" w:rsidRDefault="00974A18">
      <w:pPr>
        <w:ind w:firstLine="360"/>
        <w:jc w:val="both"/>
        <w:rPr>
          <w:rFonts w:ascii="Arial" w:eastAsia="Times New Roman" w:hAnsi="Arial" w:cs="Arial"/>
        </w:rPr>
      </w:pPr>
    </w:p>
    <w:p w:rsidR="00974A18" w:rsidRPr="00423A44" w:rsidRDefault="00EC759C">
      <w:pPr>
        <w:numPr>
          <w:ilvl w:val="0"/>
          <w:numId w:val="1"/>
        </w:numPr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423A44">
        <w:rPr>
          <w:rFonts w:ascii="Arial" w:eastAsia="Times New Roman" w:hAnsi="Arial" w:cs="Arial"/>
          <w:b/>
          <w:color w:val="000000"/>
          <w:sz w:val="28"/>
          <w:szCs w:val="28"/>
        </w:rPr>
        <w:t>Tematický okruh: Kvalitné a atraktívne vzdelávanie</w:t>
      </w:r>
      <w:bookmarkStart w:id="0" w:name="_GoBack"/>
      <w:bookmarkEnd w:id="0"/>
    </w:p>
    <w:p w:rsidR="00974A18" w:rsidRPr="00423A44" w:rsidRDefault="00974A18">
      <w:pPr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Základný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efektivita štúdia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3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študentov v dennej forme štúdia, ktorí skončili štúdium počas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  <w:lang w:val="en-GB"/>
        </w:rPr>
        <w:t>prv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ého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roku štúdia alebo po prvom roku štúdia zo všetkých novoprijatých študentov v dennej forme štúdia (</w:t>
      </w:r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>drop-</w:t>
      </w:r>
      <w:proofErr w:type="spellStart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>out</w:t>
      </w:r>
      <w:proofErr w:type="spellEnd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rate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výkonové plnenie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: zníženie o 2,5 percentuálneho bodu.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3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podiel študentov v dennej forme štúdia, ktorí skončili štúdium v štandardnej dĺžke štúdia z počtu všetkých zapísaných študentov v dennej forme štúdia z príslušnej kohorty (</w:t>
      </w:r>
      <w:proofErr w:type="spellStart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>success</w:t>
      </w:r>
      <w:proofErr w:type="spellEnd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rate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).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75-percentný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výkonové plnenie: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zvýšenie o 5 percentuálnych bodov.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15 percent (16 percent pre vysoké školy, ktoré neplnia merateľný ukazovateľ „profesijne orientované bakalárske študijné programy“)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 všetkých stupňov v dennej forme štúdia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študentov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i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spokojnosť študentov s výučbou a podporou počas štúdia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prieskum, ktorý zohľadňuje dimenzie: administratívna podpora štúdia, obsah predmetov štúdia, férovosť hodnotenia štúdia, kvalita vzdelávania vysokoškolskými učiteľmi, prístup vysokoškolských učiteľov, výučba zručnosti, administratívna podpora a služby zo strany vysokej školy; zohľadňujú sa len študenti v dennej forme štúdia a robustný priemer (20-percentný orezaný priemer) zo sumárneho skóre.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skóre 136,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výkonové plnenie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: zvýšenie o 5 percent.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skóre dimenzie spokojnosti za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odbory na úrovni fakulty, skóre úrovne spokojnosti za fakultu aj za vysokú školu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údaje z externého prieskumu Akademická štvrťhodinka 2021 od Slovenskej akreditačnej agentúry pre vysoké školstvo, prieskumy realizované Centrom vedecko-technických informácií Slovenskej republiky s rovnakými otázkami v ďalších kalendárnych rokoch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Základný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otvorenosť štúdia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4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absolventov študijných programov prvého stupňa v dennej forme štúdia inej vysokej školy novoprijatých na štúdium študijných programov druhého stupňa v dennej forme štúdia na príslušnej vysokej škole.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15-percentný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2,5 percentuálneho bodu.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4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absolventov študijných programov druhého stupňa v dennej forme štúdia a študijných programov spájajúcich prvý a druhý stupeň v dennej forme štúdia inej vysokej školy novoprijatých na štúdium študijných programov tretieho stupňa v dennej forme štúdia na príslušnej vysokej škole.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30-percentný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5 percentuálnych bodov.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15 percent (16 percent pre vysoké školy, ktoré neplnia merateľný ukazovateľ „profesijne orientované bakalárske študijné programy“)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 všetkých stupňov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študentov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  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záujem o štúdium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5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prihlášok študentov neprijatých na štúdium študijných programov v dennej forme štúdia z celkového počtu prihlášok podaných uchádzačmi o štúdium študijných programov v dennej forme štúdia (</w:t>
      </w:r>
      <w:proofErr w:type="spellStart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>selectivity</w:t>
      </w:r>
      <w:proofErr w:type="spellEnd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rate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),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60-percentný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5 percentuálnych bodov.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5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študentov zapísaných na štúdium študijných programov v dennej forme štúdia z celkového počtu prihlášok študentov prijatých na štúdium študijných programov v dennej forme štúdia (</w:t>
      </w:r>
      <w:proofErr w:type="spellStart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>attractivity</w:t>
      </w:r>
      <w:proofErr w:type="spellEnd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rate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90-percentný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2,5 percentuálneho bodu.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 všetkých stupňov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databáza Centra vedecko-technických informácií Slovenskej republiky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Základný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otvorenosť štúdia voči zahraničiu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6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novoprijatých študentov študijných programov prvého stupňa v dennej forme štúdia </w:t>
      </w:r>
      <w:r w:rsidRPr="00423A44">
        <w:rPr>
          <w:rFonts w:ascii="Arial" w:hAnsi="Arial" w:cs="Arial"/>
          <w:color w:val="000000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a študijných programov spájajúcich prvý a druhý stupeň v dennej forme štúdia s iným ako štátnym občianstvom Slovenskej republiky zo všetkých novoprijatých študentov študijných programov prvého stupňa v dennej forme štúdia a študijných programov spájajúcich prvý a druhý stupeň v dennej forme štúdia,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30-percentný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5 percentuálnych bodov.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6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novoprijatých študentov študijných programov druhého stupňa v dennej forme štúdia s iným ako štátnym občianstvom Slovenskej republiky zo všetkých novoprijatých študentov študijných programov druhého stupňa v dennej forme štúdia,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15-percentný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2,5 percentuálneho bodu.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6"/>
        </w:num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novoprijatých študentov študijných programov tretieho stupňa v dennej forme štúdia s iným ako štátnym občianstvom Slovenskej republiky zo všetkých novoprijatých študentov študijných programov tretieho stupňa v dennej forme štúdia.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20-percentný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2,5 percentuálneho bodu.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15 percent (16 percent pre vysoké školy, ktoré neplnia merateľný ukazovateľ „profesijne orientované bakalárske študijné programy“)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 všetkých stupňov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študentov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 w:line="256" w:lineRule="auto"/>
        <w:ind w:left="720"/>
        <w:rPr>
          <w:rFonts w:ascii="Arial" w:eastAsia="Times New Roman" w:hAnsi="Arial" w:cs="Arial"/>
          <w:b/>
          <w:color w:val="000000"/>
        </w:rPr>
      </w:pPr>
    </w:p>
    <w:p w:rsidR="00974A18" w:rsidRPr="00423A44" w:rsidRDefault="00EC759C">
      <w:pPr>
        <w:numPr>
          <w:ilvl w:val="0"/>
          <w:numId w:val="1"/>
        </w:numPr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423A44">
        <w:rPr>
          <w:rFonts w:ascii="Arial" w:eastAsia="Times New Roman" w:hAnsi="Arial" w:cs="Arial"/>
          <w:b/>
          <w:color w:val="000000"/>
          <w:sz w:val="28"/>
          <w:szCs w:val="28"/>
        </w:rPr>
        <w:t>Tematický okruh: Kvalitná veda, výskum a umelecká činnosť</w:t>
      </w:r>
    </w:p>
    <w:p w:rsidR="00974A18" w:rsidRPr="00423A44" w:rsidRDefault="00974A18">
      <w:pPr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lastRenderedPageBreak/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výstupy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základného a aplikovaného výskumu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a) počet publikácií v databázach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WoS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>/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Scopus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váhovaných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podľa 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kvartilov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AIS (1.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kvartil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6; 2.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kvartil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4; 3.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kvartil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2; 4.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kvartil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/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Scopus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0,5) a prepočítaných podľa autorského podielu z verejnej vysokej školy rovnomerne,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b) počet monografií v 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Nordic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list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váhovaných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podľa úrovní (pre spoločenské a humanitné vedy, vedecká úroveň 2 v 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Nordic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list 6, vedecká úroveň 1 v 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Nordic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list 4, ostatné monografie 1) a prepočítaných podľa autorského podielu z verejnej vysokej školy rovnomerne,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c) počet patentov a úžitkových vzorov,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váhovaných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za patent 5 bodov, za úžitkový vzor 3 body a prepočítaných podľa autorského podielu z verejnej vysokej školy rovnomerne,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d) počet výstupov umeleckej činnosti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váhovaných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podľa závažnosti v súlade s § 4 ods. 3 vyhlášky č. 397/2020 Z. z. o centrálnom registri evidencie publikačnej činnosti a centrálnom registri evidencie umeleckej činnosti, pričom sa zohľadňujú iba výstupy evidované ako excelentné alebo zásadné.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zvýšenie o 10 percent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Poznámky: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 písmenu a): vo výkonnostnej zmluve možno dohodnúť jeho vypustenie, ak vysoká škola ponúka študijné programy len v študijnom odbore vedy o umení a kultúre alebo v študijnom odbore umenie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 písmenu b): vo výkonnostnej zmluve možno dohodnúť jeho vypustenie; ak je jeho východisková hodnota nižšia ako 10, bude vypustený automaticky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 písmenu c): vo výkonnostnej zmluve možno dohodnúť jeho vypustenie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 písmenu d): vo výkonnostnej zmluve možno dohodnúť jeho vypustenie, ak vysoká škola neponúka najmenej tri štvrtiny študijných programov v študijnom odbore vedy o umení a kultúre alebo v študijnom odbore umenie.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fakulty, 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Clarivate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Web of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Science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,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Elsevier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Scopus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Nordic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List, Centrálny register evidencie publikačnej činnosti, Centrálny register evidencie umeleckej činnosti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 za príslušné vykazovacie obdobie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Základný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zahraničné výskumné a umelecké granty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suma bežných výdavkov v eurách za príslušný kalendárny rok.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zvýšenie o 10 percent.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15 percent (16 percent pre vysoké školy, ktoré neplnia merateľný ukazovateľ „profesijne orientované bakalárske študijné programy“).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fakulty a 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databáza Centra vedecko-technických informácií Slovenskej republiky, verifikované údaje od vysokých škôl (ak ide o podporu umeleckých výstupov jednotlivcov)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excelentné výstupy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základného a aplikovaného výskumu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a) počet vysoko citovaných publikácií v databáze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WoS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b) počet publikácií v Nature Index,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c) počet európskych patentov podľa § 3, písm. f) zákona č. 435/2001 Z. z.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d) počet výstupov umeleckej činnosti evidovaných v Centrálnom registri evidencie umeleckej činnosti ako excelentné.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pre písmeno a)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zvýšenie o 10 percent v každom kalendárnom roku; pre písmená b), c) a d) zvýšenie o 10 percent. 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Poznámky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 písmenám a) a b): vo výkonnostnej zmluve možno dohodnúť ich vypustenie, ak vysoká škola ponúka študijné programy len v študijnom odbore vedy o umení a kultúre alebo v študijnom odbore umenie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 písmenu c): vo výkonnostnej zmluve možno dohodnúť jeho vypustenie; merateľný ukazovateľ bude automaticky vypustený, ak je jeho východisková hodnota nižšia ako 10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K písmenu d): vo výkonnostnej zmluve možno dohodnúť jeho vypustenie, ak vysoká škola neponúka najmenej tri štvrtiny študijných programov v študijnom odbore vedy o umení a kultúre alebo v študijnom odbore umenie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fakulty, 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Clarivate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Web of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Science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Elsevier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Scopus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Nordic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List, databáza Nature Index, Centrálny register evidencie publikačnej činnosti,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Centálny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register evidencie umeleckej činnosti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 za príslušné vykazovanie obdobie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excelentné výskumné a umelecké granty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Suma bežných výdavkov v eurách za príslušný kalendárny rok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lastRenderedPageBreak/>
        <w:t>a)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granty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European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Research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Council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(ERC) vrátane prípadného národného financovania projektov hodnotených v skupine A alebo B v druhom kole hodnotenia, ak nezískali financovanie ERC,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b) granty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Horizont 2020/Horizont Európa vrátane prípadného národného financovania projektov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Seal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of Excellence/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Above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Threshold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c) umelecké granty schémy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Creative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Europe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zvýšenie o 10 percent.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Poznámky: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K písmenu a): vo výkonnostnej zmluve možno dohodnúť jeho vypustenie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 písmenu c): vo výkonnostnej zmluve možno dohodnúť jeho vypustenie, ak vysoká škola neponúka najmenej tri štvrtiny študijných programov v študijnom odbore vedy o umení a kultúre alebo študijnom odbore umenie.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fakulty, 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databáza Centra vedecko-technických informácií Slovenskej republiky,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Creative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Europe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>, verifikované údaje od vysokých škôl (ak ide o podporu umeleckých výstupov jednotlivcov</w:t>
      </w:r>
      <w:r w:rsidRPr="00423A44">
        <w:rPr>
          <w:rFonts w:ascii="Arial" w:hAnsi="Arial" w:cs="Arial"/>
          <w:color w:val="000000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 študijnom odbore vedy o umení a kultúre alebo študijnom odbore umenie)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výsledky doktorandského štúdia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a)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počet publikácií doktorandov v dennej forme štúdia vo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WoS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alebo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Scopus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váhovaných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podľa merateľného ukazovateľa 6,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b) počet monografií doktorandov v dennej forme štúdia v 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Nordic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list,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váhovaných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podľa merateľného ukazovateľa  6,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c) počet výstupov umeleckej činnosti doktorandov v dennej forme štúdia,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váhovaných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podľa merateľného ukazovateľa  6,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d) počet pracovísk vytvorených osobitne na podporu doktorandského štúdia (na vysokej škole upravených vo vnútorných predpisoch vysokej školy).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10 percent pre písmená a) až c), vytvorenie alebo udržanie najmenej 1 pracoviska pre písmeno d).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Poznámky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 písmenu a): vo výkonnostnej zmluve možno dohodnúť jeho vypustenie, ak vysoká škola ponúka študijné programy len v študijnom odbore vedy o umení a kultúre alebo v študijnom odbore umenie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 písmenu b): vo výkonnostnej zmluve možno dohodnúť jeho vypustenie; ak je jeho východisková hodnota nižšia ako 10, bude vypustený automaticky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lastRenderedPageBreak/>
        <w:t>K písmenu c): vo výkonnostnej zmluve možno dohodnúť jeho vypustenie, ak vysoká škola neponúka najmenej tri štvrtiny študijných programov v študijnom odbore vedy o umení a kultúre alebo v študijnom odbore umenie.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K písmenu d): pracovisko na podporu doktorandského štúdia sa vytvára na vysokej škole alebo spoločne na viacerých vysokých školách vrátane externých vzdelávacích inštitúcií.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fakulty, 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Clarivate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Web of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Science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Elsevier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Scopus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, databáza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Nordic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List, Centrálny register evidencie publikačnej činnosti,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Centálny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register evidencie umeleckej činnosti, vnútorné predpisy vysokých škôl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974A18" w:rsidRPr="00423A44" w:rsidRDefault="00EC759C">
      <w:pPr>
        <w:numPr>
          <w:ilvl w:val="0"/>
          <w:numId w:val="1"/>
        </w:numPr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423A4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Tematický okruh: Spoločenské vplyvy, neakademická a regionálna spolupráca </w:t>
      </w:r>
    </w:p>
    <w:p w:rsidR="00974A18" w:rsidRPr="00423A44" w:rsidRDefault="00974A18">
      <w:pPr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Základný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nezamestnanosť absolventov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absolventov študijných programov druhého stupňa v dennej forme štúdia a  študijných programov spájajúcich prvý a druhý stupeň v dennej forme štúdia evidovaných 12 mesiacov od skončenia štúdia ako nezamestnaných na úradoch práce zo všetkých absolventov študijných programov druhého stupňa v dennej forme štúdia a študijných programov spájajúcich prvý stupeň a druhý stupeň v dennej forme štúdia.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7,5-percentný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zníženie o 2,5 percentuálneho bodu.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20 percent.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 druhého stupňa v dennej forme štúdia a  študijné programy spájajúce prvý stupeň a druhý stupeň v dennej forme štúdia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študentov, údaje Ústredia práce, sociálnych vecí a rodiny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inklúzia a podpora študentov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podiel študentov dennej formy štúdia so špecifickými potrebami, ktorí ukončili štúdium z počtu všetkých zapísaných študentov na štúdium študijných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lastRenderedPageBreak/>
        <w:t>programov v dennej forme štúdia z príslušnej kohorty (</w:t>
      </w:r>
      <w:proofErr w:type="spellStart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>success</w:t>
      </w:r>
      <w:proofErr w:type="spellEnd"/>
      <w:r w:rsidRPr="00423A44">
        <w:rPr>
          <w:rFonts w:ascii="Arial" w:eastAsia="Times New Roman" w:hAnsi="Arial" w:cs="Arial"/>
          <w:i/>
          <w:color w:val="000000"/>
          <w:sz w:val="24"/>
          <w:szCs w:val="24"/>
        </w:rPr>
        <w:t xml:space="preserve"> rate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) v porovnaní s ostatnými študentmi študijných programov v dennej forme štúdia.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rovnosť podielov (0-percentný rozdiel),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zníženie rozdielu o 5 percentuálnych bodov.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programy“).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 všetkých stupňov v dennej forme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študentov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Základný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uplatnenie absolventov študijných programov prvého stupňa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počet absolventov študijných programov prvého stupňa v dennej forme štúdia, ktorí nepokračujú v štúdiu študijných programov druhého stupňa na žiadnej vysokej škole so sídlom na území Slovenskej republiky, ani nie sú evidovaní ako nezamestnaní 12 mesiacov po skončení štúdia.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20-percentný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zvýšenie o 2,5 percentuálneho bodu.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15 percent (16 percent pre vysoké školy, ktoré neplnia merateľný ukazovateľ „profesijne orientované bakalárske študijné programy“)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 prvého stupňa v dennej forme štúdia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študentov, údaje Ústredia práce, sociálnych vecí a rodiny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Základný merateľný ukazovateľ - profesijne orientované bakalárske študijné programy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profesijne orientovaných bakalárskych študijných programov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aspoň 2 nových profesijne orientovaných bakalárskych študijných programov, ak má škola akreditované 4 alebo menej takých študijných programov; vytvorenie aspoň 3 nových profesijne orientovaných bakalárskych študijných programov, ak má škola akreditovaných 5 alebo viac takých študijných programov.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5 percent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profesijne orientované bakalárske študijné programy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študijných programov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 s termínom splnenia do 31. decembra 2025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spokojnosť zamestnávateľov</w:t>
      </w:r>
      <w:r w:rsidRPr="00423A44">
        <w:rPr>
          <w:rFonts w:ascii="Arial" w:eastAsia="Times New Roman" w:hAnsi="Arial" w:cs="Arial"/>
          <w:b/>
          <w:i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so zručnosťami a kompetenciami absolventov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Prieskum, ktorý zohľadňuje nasledovné dimenzie zručností: základné zručnosti, zručnosti vedúce k schopnosti adaptovať sa, zručnosti vedúce k schopnosti spolupracovať, zručnosti vedúce k využitiu odborných znalosti, a zručnosti vedúce k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zamestnateľnosti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absolventa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skóre 107,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výkonové plnenie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: zvýšenie o 10 percent.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programy“).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odbory na úrovni fakulty alebo vysokej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Centrum vedecko-technických informácií Slovenskej republiky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za študijný odbor, fakultu a dimenziu spokojnosti</w:t>
      </w:r>
    </w:p>
    <w:p w:rsidR="00974A18" w:rsidRPr="00423A44" w:rsidRDefault="00974A18">
      <w:pPr>
        <w:spacing w:after="0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spolupráca s neakademickými externými aktérmi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suma v eurách podľa databázy Centra vedecko-technických informácií Slovenskej republiky a centrálneho registra zmlúv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zvýšenie o 10 percent.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programy“).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databáza Centra vedecko-technických informácií Slovenskej republiky, centrálny register zmlúv, verifikované údaje (zmluvy o spolupráci) od vysokých škôl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za príslušný kalendárny rok</w:t>
      </w:r>
    </w:p>
    <w:p w:rsidR="00974A18" w:rsidRPr="00423A44" w:rsidRDefault="00974A18">
      <w:pPr>
        <w:spacing w:after="0" w:line="254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spolupráca s lokálnymi neakademickými externými aktérmi do 50 km od sídla vysokej školy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suma v eurách podľa databázy Centra vedecko-technických informácií Slovenskej republiky a centrálneho registra zmlúv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zvýšenie o 10 percent. 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programy“).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databáza Centra vedecko-technických informácií Slovenskej republiky, centrálny register zmlúv, verifikované údaje (zmluvy o spolupráci) od vysokých škôl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za príslušný kalendárny rok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spolupráca s neziskovými, charitatívnymi a inými organizáciami </w:t>
      </w:r>
      <w:r w:rsidRPr="00423A44">
        <w:rPr>
          <w:rFonts w:ascii="Arial" w:eastAsia="Times New Roman" w:hAnsi="Arial" w:cs="Arial"/>
          <w:b/>
          <w:i/>
          <w:color w:val="000000"/>
          <w:sz w:val="24"/>
          <w:szCs w:val="24"/>
        </w:rPr>
        <w:t xml:space="preserve">pro </w:t>
      </w:r>
      <w:proofErr w:type="spellStart"/>
      <w:r w:rsidRPr="00423A44">
        <w:rPr>
          <w:rFonts w:ascii="Arial" w:eastAsia="Times New Roman" w:hAnsi="Arial" w:cs="Arial"/>
          <w:b/>
          <w:i/>
          <w:color w:val="000000"/>
          <w:sz w:val="24"/>
          <w:szCs w:val="24"/>
        </w:rPr>
        <w:t>bono</w:t>
      </w:r>
      <w:proofErr w:type="spellEnd"/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zmlúv o spolupráci vedúcej k skvalitňovaniu vzdelávacieho a výskumného prostredia vysokých škôl alebo služieb vo verejnom záujme za bez finančného plnenia uzavretých v príslušnom kalendárnom roku,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uzavretie 3 nových zmlúv o spolupráci v každom kalendárnom roku 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programy“).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zmlúv, verifikované údaje (zmluvy o spolupráci) od vysokých škôl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i/>
          <w:color w:val="000000"/>
        </w:rPr>
      </w:pPr>
    </w:p>
    <w:p w:rsidR="00974A18" w:rsidRPr="00423A44" w:rsidRDefault="00974A18">
      <w:pPr>
        <w:ind w:left="720"/>
        <w:jc w:val="both"/>
        <w:rPr>
          <w:rFonts w:ascii="Arial" w:eastAsia="Times New Roman" w:hAnsi="Arial" w:cs="Arial"/>
          <w:b/>
          <w:i/>
          <w:color w:val="000000"/>
        </w:rPr>
      </w:pPr>
    </w:p>
    <w:p w:rsidR="00974A18" w:rsidRPr="00423A44" w:rsidRDefault="00EC759C">
      <w:pPr>
        <w:jc w:val="both"/>
        <w:rPr>
          <w:rFonts w:ascii="Arial" w:eastAsia="Times New Roman" w:hAnsi="Arial" w:cs="Arial"/>
          <w:b/>
          <w:sz w:val="28"/>
          <w:szCs w:val="28"/>
        </w:rPr>
      </w:pPr>
      <w:r w:rsidRPr="00423A44">
        <w:rPr>
          <w:rFonts w:ascii="Arial" w:eastAsia="Times New Roman" w:hAnsi="Arial" w:cs="Arial"/>
          <w:b/>
          <w:sz w:val="28"/>
          <w:szCs w:val="28"/>
        </w:rPr>
        <w:t>(4) Tematický okruh: Internacionalizácia vysokých škôl</w:t>
      </w:r>
    </w:p>
    <w:p w:rsidR="00974A18" w:rsidRPr="00423A44" w:rsidRDefault="00974A18">
      <w:pPr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Voliteľný merateľný ukazovateľ - internacionalizácia z hľadiska študentov </w:t>
      </w:r>
    </w:p>
    <w:p w:rsidR="00974A18" w:rsidRPr="00423A44" w:rsidRDefault="00EC759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23A44">
        <w:rPr>
          <w:rFonts w:ascii="Arial" w:eastAsia="Times New Roman" w:hAnsi="Arial" w:cs="Arial"/>
          <w:sz w:val="24"/>
          <w:szCs w:val="24"/>
        </w:rPr>
        <w:t xml:space="preserve">Prieskum, ktorý zohľadňuje jednu dimenziu – internacionalizácia. Zohľadňujú sa študenti v dennej forme štúdia a robustný priemer (20-percentný orezaný priemer) zo sumárneho skóre.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skóre 7,5,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výkonové plnenie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: zvýšenie o 10 percent.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odbory na úrovni fakulty alebo vysokej školy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údaje z externého prieskumu Akademická štvrťhodinka 2021 od Slovenskej akreditačnej agentúry pre vysoké školstvo, externé prieskumy s rovnakými otázkami v ďalších rokoch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za odbor, fakultu a príslušnú dimenziu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podiel  vysokoškolských učiteľov na funkčnom mieste profesora na ustanovený týždenný pracovný čas (100 percent) s iným ako štátnym občianstvom Slovenskej republiky alebo Českej republiky</w:t>
      </w:r>
      <w:r w:rsidRPr="00423A44">
        <w:rPr>
          <w:rFonts w:ascii="Arial" w:eastAsia="Times New Roman" w:hAnsi="Arial" w:cs="Arial"/>
          <w:b/>
          <w:i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zo všetkých vysokoškolských učiteľov na funkčnom mieste profesora na ustanovený týždenný pracovný čas (100 percent)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Všeobecný cieľ: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30-percentný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výkonové plnenie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: zvýšenie o 5 percentuálnych bodov.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centrálny register zamestnancov vysokých škôl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podiel vysokoškolských učiteľov, výskumných a umeleckých pracovníkov na ustanovený týždenný pracovný čas (100 percent) s iným ako štátnym občianstvom Slovenskej republiky alebo Českej republiky</w:t>
      </w:r>
      <w:r w:rsidRPr="00423A44">
        <w:rPr>
          <w:rFonts w:ascii="Arial" w:eastAsia="Times New Roman" w:hAnsi="Arial" w:cs="Arial"/>
          <w:b/>
          <w:i/>
          <w:color w:val="000000"/>
          <w:sz w:val="24"/>
          <w:szCs w:val="24"/>
        </w:rPr>
        <w:t xml:space="preserve">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zo všetkých  vysokoškolských učiteľov, výskumných a umeleckých pracovníkov na ustanovený týždenný pracovný čas (100 percent)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10-percentný podiel,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výkonové plnenie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: zvýšenie o 2,5 percentuálneho bodu.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centrálny register zamestnancov vysokých škôl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internacionalizácia vzdelávania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2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spoločných študijných programov s vysokými školami so sídlom v zahraničí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najmenej 1 nového spoločného študijného programu s vysokou školou so sídlom v zahraničí.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študijných programov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internacionalizácia vo výskume, vývoji, umení a inováciách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spoločných výskumných a vývojových pracovísk a umeleckých pracovísk s vysokými školami so sídlom v zahraničí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najmenej 1 nového pracoviska s vysokou školou/vysokými školami so sídlom v zahraničí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vnútorné predpisy vysokých škôl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internacionalizácia v neakademickej a regionálnej spolupráci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spoločných pracovísk spolupracujúcich s neakademickými externými aktérmi zriadených spoločne s vysokou školou alebo s vysokými školami so sídlom v zahraničí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najmenej 1 nového pracoviska s vysokou školou alebo s vysokými školami so sídlom v zahraničí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vnútorné predpisy vysokých škôl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 w:line="254" w:lineRule="auto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medzinárodné akreditácie a medzinárodne uznávané značky kvality 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počet medzinárodných akreditácií a medzinárodne uznávaných značiek kvality (napr.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Human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Resources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Excellence in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Research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>, ISO certifikácia a podobne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získanie alebo udržanie si najmenej 1 medzinárodnej akreditácie alebo medzinárodne uznávanej značky kvality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Poznámky: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Je možné predložiť hodnotiace správy, vypracované právnickými osobami, ktoré sú členmi Európskej asociácie pre zabezpečovanie kvality vysokoškolského vzdelávania (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European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Association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for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Quality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Assurance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in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Higher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Education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>) alebo sú zapísané v Európskom registri zabezpečovania kvality vysokoškolského vzdelávania (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European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Quality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Assurance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Register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for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Higher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23A44">
        <w:rPr>
          <w:rFonts w:ascii="Arial" w:eastAsia="Times New Roman" w:hAnsi="Arial" w:cs="Arial"/>
          <w:color w:val="000000"/>
          <w:sz w:val="24"/>
          <w:szCs w:val="24"/>
        </w:rPr>
        <w:t>Education</w:t>
      </w:r>
      <w:proofErr w:type="spellEnd"/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) a tieto hodnotiace správy už boli alebo budú predložené na účely posúdenia súladu vnútorného systému a jeho implementácie so štandardmi pre vnútorný systém Slovenskej akreditačnej agentúre pre vysoké školstvo, ktorá ich automaticky uznáva. </w:t>
      </w:r>
    </w:p>
    <w:p w:rsidR="00974A18" w:rsidRPr="00423A44" w:rsidRDefault="00974A18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príslušná dokumentácia</w:t>
      </w: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EC759C">
      <w:pPr>
        <w:ind w:left="72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i/>
          <w:color w:val="000000"/>
          <w:sz w:val="24"/>
          <w:szCs w:val="24"/>
        </w:rPr>
        <w:t xml:space="preserve"> </w:t>
      </w:r>
    </w:p>
    <w:p w:rsidR="00974A18" w:rsidRPr="00423A44" w:rsidRDefault="00EC759C">
      <w:pPr>
        <w:jc w:val="both"/>
        <w:rPr>
          <w:rFonts w:ascii="Arial" w:eastAsia="Times New Roman" w:hAnsi="Arial" w:cs="Arial"/>
          <w:b/>
          <w:sz w:val="28"/>
          <w:szCs w:val="28"/>
        </w:rPr>
      </w:pPr>
      <w:r w:rsidRPr="00423A44">
        <w:rPr>
          <w:rFonts w:ascii="Arial" w:eastAsia="Times New Roman" w:hAnsi="Arial" w:cs="Arial"/>
          <w:b/>
          <w:sz w:val="28"/>
          <w:szCs w:val="28"/>
        </w:rPr>
        <w:t>(5) Tematický okruh: Integrácia vysokých škôl</w:t>
      </w: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bookmarkStart w:id="1" w:name="_30j0zll" w:colFirst="0" w:colLast="0"/>
      <w:bookmarkEnd w:id="1"/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koncentrácia kapacít vo vzdelávaní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spoločných študijných programov s vysokými školami so sídlom na území Slovenskej republiky.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najmenej 1 nového spoločného študijného programu s vysokou školou so sídlom na území Slovenskej republiky.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študijné programy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Zdroj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centrálny register študijných programov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bookmarkStart w:id="2" w:name="_1fob9te" w:colFirst="0" w:colLast="0"/>
      <w:bookmarkEnd w:id="2"/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koncentrácia kapacít vo výskume, vývoji, umení a inováciách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spoločných výskumných a vývojových pracovísk a umeleckých pracovísk s  vysokými školami so sídlom na území Slovenskej republiky.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najmenej 1 nového pracoviska s vysokou školou so sídlom na území Slovenskej republiky.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vnútorné predpisy  vysokých škôl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koncentrácia kapacít v neakademickej a regionálnej spolupráci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spoločných pracovísk spolupracujúcich s neakademickými externými aktérmi zriadených spoločne s vysokou školou alebo s vysokými školami so sídlom na území Slovenskej republiky.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najmenej 1 nového pracoviska s vysokou školou so sídlom na území Slovenskej republiky.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vnútorné predpisy vysokých škôl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 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color w:val="000000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Voliteľný merateľný ukazovateľ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- koncentrácia riadiacich a manažérskych kapacít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color w:val="000000"/>
          <w:sz w:val="24"/>
          <w:szCs w:val="24"/>
        </w:rPr>
        <w:t>počet spoločných centier informačných a komunikačných technológií a informačných systémov, spoločných administratívnych centier, spoločných knižníc, spoločných centier verejného obstarávania a podobne.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Všeobecný cieľ: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nie je, </w:t>
      </w: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výkonové plnenie: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vytvorenie najmenej 1 nového pracoviska s vysokou školou alebo s vysokými školami so sídlom na území Slovenskej republiky.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 w:line="254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Váha: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14,29 percenta (12,5 percenta pre vysoké školy, ktoré neplnia merateľný ukazovateľ „profesijne orientované bakalárske študijné programy“)</w:t>
      </w:r>
    </w:p>
    <w:p w:rsidR="00974A18" w:rsidRPr="00423A44" w:rsidRDefault="00974A18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Štruktúra údajov: 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>vysoké školy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Zdroj údajov: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vnútorné predpisy vysokých škôl</w:t>
      </w:r>
    </w:p>
    <w:p w:rsidR="00974A18" w:rsidRPr="00423A44" w:rsidRDefault="00EC759C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23A44">
        <w:rPr>
          <w:rFonts w:ascii="Arial" w:eastAsia="Times New Roman" w:hAnsi="Arial" w:cs="Arial"/>
          <w:b/>
          <w:color w:val="000000"/>
          <w:sz w:val="24"/>
          <w:szCs w:val="24"/>
        </w:rPr>
        <w:t>Úroveň monitorovania:</w:t>
      </w:r>
      <w:r w:rsidRPr="00423A44">
        <w:rPr>
          <w:rFonts w:ascii="Arial" w:eastAsia="Times New Roman" w:hAnsi="Arial" w:cs="Arial"/>
          <w:color w:val="000000"/>
          <w:sz w:val="24"/>
          <w:szCs w:val="24"/>
        </w:rPr>
        <w:t xml:space="preserve"> celá vysoká škola</w:t>
      </w:r>
    </w:p>
    <w:p w:rsidR="00974A18" w:rsidRPr="00423A44" w:rsidRDefault="00974A18">
      <w:pPr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4A18" w:rsidRPr="00423A44" w:rsidRDefault="00EC759C">
      <w:pPr>
        <w:jc w:val="both"/>
        <w:rPr>
          <w:rFonts w:ascii="Arial" w:eastAsia="Times New Roman" w:hAnsi="Arial" w:cs="Arial"/>
          <w:b/>
          <w:sz w:val="28"/>
          <w:szCs w:val="28"/>
        </w:rPr>
      </w:pPr>
      <w:r w:rsidRPr="00423A44">
        <w:rPr>
          <w:rFonts w:ascii="Arial" w:eastAsia="Times New Roman" w:hAnsi="Arial" w:cs="Arial"/>
          <w:b/>
          <w:sz w:val="28"/>
          <w:szCs w:val="28"/>
        </w:rPr>
        <w:t>(6) Osobitné plnenie niektorých základných merateľných ukazovateľov</w:t>
      </w:r>
    </w:p>
    <w:p w:rsidR="00974A18" w:rsidRPr="00423A44" w:rsidRDefault="00974A18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74A18" w:rsidRPr="00423A44" w:rsidRDefault="00EC759C">
      <w:pPr>
        <w:spacing w:line="276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423A44">
        <w:rPr>
          <w:rFonts w:ascii="Arial" w:eastAsia="Times New Roman" w:hAnsi="Arial" w:cs="Arial"/>
          <w:sz w:val="24"/>
          <w:szCs w:val="24"/>
        </w:rPr>
        <w:t>30) Základný merateľný ukazovateľ „profesijne orientované bakalárske študijné programy“ nemusia plniť verejné vysoké školy, ktoré majú najmenej tri štvrtiny študijných programov v študijnom odbore vedy o umení a kultúre alebo študijnom odbore umenie.</w:t>
      </w:r>
    </w:p>
    <w:p w:rsidR="00974A18" w:rsidRPr="00423A44" w:rsidRDefault="00EC759C">
      <w:pPr>
        <w:spacing w:line="276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bookmarkStart w:id="3" w:name="_3znysh7" w:colFirst="0" w:colLast="0"/>
      <w:bookmarkEnd w:id="3"/>
      <w:r w:rsidRPr="00423A44">
        <w:rPr>
          <w:rFonts w:ascii="Arial" w:eastAsia="Times New Roman" w:hAnsi="Arial" w:cs="Arial"/>
          <w:sz w:val="24"/>
          <w:szCs w:val="24"/>
        </w:rPr>
        <w:t>31) Ak si vysoká škola vyberie merateľný ukazovateľ z tematického okruhu „Integrácia vysokých škôl“, vyžaduje sa, aby si rovnaký merateľný ukazovateľ vybrala aj vysoká škola, s ktorou sa koncentrácia plánuje.</w:t>
      </w:r>
    </w:p>
    <w:p w:rsidR="00974A18" w:rsidRPr="00423A44" w:rsidRDefault="00974A18">
      <w:pPr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974A18" w:rsidRPr="00423A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EC8" w:rsidRDefault="00762EC8">
      <w:pPr>
        <w:spacing w:line="240" w:lineRule="auto"/>
      </w:pPr>
      <w:r>
        <w:separator/>
      </w:r>
    </w:p>
  </w:endnote>
  <w:endnote w:type="continuationSeparator" w:id="0">
    <w:p w:rsidR="00762EC8" w:rsidRDefault="00762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548503"/>
      <w:docPartObj>
        <w:docPartGallery w:val="Page Numbers (Bottom of Page)"/>
        <w:docPartUnique/>
      </w:docPartObj>
    </w:sdtPr>
    <w:sdtEndPr/>
    <w:sdtContent>
      <w:p w:rsidR="0004706A" w:rsidRDefault="0004706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4706A" w:rsidRDefault="000470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EC8" w:rsidRDefault="00762EC8">
      <w:pPr>
        <w:spacing w:after="0"/>
      </w:pPr>
      <w:r>
        <w:separator/>
      </w:r>
    </w:p>
  </w:footnote>
  <w:footnote w:type="continuationSeparator" w:id="0">
    <w:p w:rsidR="00762EC8" w:rsidRDefault="00762EC8">
      <w:pPr>
        <w:spacing w:after="0"/>
      </w:pPr>
      <w:r>
        <w:continuationSeparator/>
      </w:r>
    </w:p>
  </w:footnote>
  <w:footnote w:id="1">
    <w:p w:rsidR="00974A18" w:rsidRDefault="00EC759C">
      <w:pP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Údaje, ktoré sa týkajú študentov, sa uvádzajú bez študentov, ktorí uhrádzajú školné.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/>
        <w:color w:val="000000" w:themeColor="text1"/>
        <w:sz w:val="24"/>
        <w:szCs w:val="24"/>
      </w:rPr>
      <w:alias w:val="Názov"/>
      <w:tag w:val=""/>
      <w:id w:val="1116400235"/>
      <w:placeholder>
        <w:docPart w:val="815BAAB1459948C18E184214A4C5AC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BD2DFD" w:rsidRPr="00BD2DFD" w:rsidRDefault="00BD2DFD">
        <w:pPr>
          <w:pStyle w:val="Hlavika"/>
          <w:jc w:val="right"/>
          <w:rPr>
            <w:b/>
            <w:color w:val="7F7F7F" w:themeColor="text1" w:themeTint="80"/>
          </w:rPr>
        </w:pPr>
        <w:r w:rsidRPr="00BD2DFD">
          <w:rPr>
            <w:rFonts w:ascii="Arial" w:hAnsi="Arial" w:cs="Arial"/>
            <w:b/>
            <w:color w:val="000000" w:themeColor="text1"/>
            <w:sz w:val="24"/>
            <w:szCs w:val="24"/>
          </w:rPr>
          <w:t>Príloha č. 1 k smernici č. 48/2023</w:t>
        </w:r>
      </w:p>
    </w:sdtContent>
  </w:sdt>
  <w:p w:rsidR="00BD2DFD" w:rsidRDefault="00BD2D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9C964"/>
    <w:multiLevelType w:val="singleLevel"/>
    <w:tmpl w:val="9149C964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AE1899D7"/>
    <w:multiLevelType w:val="singleLevel"/>
    <w:tmpl w:val="AE1899D7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2B4E6"/>
    <w:multiLevelType w:val="singleLevel"/>
    <w:tmpl w:val="3462B4E6"/>
    <w:lvl w:ilvl="0">
      <w:start w:val="1"/>
      <w:numFmt w:val="lowerLetter"/>
      <w:suff w:val="space"/>
      <w:lvlText w:val="%1)"/>
      <w:lvlJc w:val="left"/>
    </w:lvl>
  </w:abstractNum>
  <w:abstractNum w:abstractNumId="5" w15:restartNumberingAfterBreak="0">
    <w:nsid w:val="6A06FDBD"/>
    <w:multiLevelType w:val="singleLevel"/>
    <w:tmpl w:val="6A06FDBD"/>
    <w:lvl w:ilvl="0">
      <w:start w:val="1"/>
      <w:numFmt w:val="lowerLetter"/>
      <w:suff w:val="space"/>
      <w:lvlText w:val="%1)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A18"/>
    <w:rsid w:val="0004706A"/>
    <w:rsid w:val="00423A44"/>
    <w:rsid w:val="00630F07"/>
    <w:rsid w:val="00762EC8"/>
    <w:rsid w:val="007E4C18"/>
    <w:rsid w:val="00974A18"/>
    <w:rsid w:val="00BD2DFD"/>
    <w:rsid w:val="00EB24EA"/>
    <w:rsid w:val="00EC759C"/>
    <w:rsid w:val="01423F24"/>
    <w:rsid w:val="12454DE3"/>
    <w:rsid w:val="7C4B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2D910-CCC6-4904-B7D4-B857E00A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rsid w:val="00047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706A"/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047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706A"/>
    <w:rPr>
      <w:sz w:val="22"/>
      <w:szCs w:val="22"/>
    </w:rPr>
  </w:style>
  <w:style w:type="paragraph" w:styleId="Textbubliny">
    <w:name w:val="Balloon Text"/>
    <w:basedOn w:val="Normlny"/>
    <w:link w:val="TextbublinyChar"/>
    <w:rsid w:val="00047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0470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15BAAB1459948C18E184214A4C5A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7C5CDD-8367-4089-BD97-5797E4DE0F34}"/>
      </w:docPartPr>
      <w:docPartBody>
        <w:p w:rsidR="00000000" w:rsidRDefault="00785261" w:rsidP="00785261">
          <w:pPr>
            <w:pStyle w:val="815BAAB1459948C18E184214A4C5ACD4"/>
          </w:pPr>
          <w:r>
            <w:rPr>
              <w:color w:val="7F7F7F" w:themeColor="text1" w:themeTint="80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61"/>
    <w:rsid w:val="005137A3"/>
    <w:rsid w:val="0078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69795BE87DDB4F61B72473709923993E">
    <w:name w:val="69795BE87DDB4F61B72473709923993E"/>
    <w:rsid w:val="00785261"/>
  </w:style>
  <w:style w:type="paragraph" w:customStyle="1" w:styleId="815BAAB1459948C18E184214A4C5ACD4">
    <w:name w:val="815BAAB1459948C18E184214A4C5ACD4"/>
    <w:rsid w:val="007852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4184</Words>
  <Characters>23850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 k smernici č. 48/2023</dc:title>
  <dc:creator>stano</dc:creator>
  <cp:lastModifiedBy>Kovács Ľuboš</cp:lastModifiedBy>
  <cp:revision>3</cp:revision>
  <cp:lastPrinted>2023-12-20T15:05:00Z</cp:lastPrinted>
  <dcterms:created xsi:type="dcterms:W3CDTF">2023-12-21T08:47:00Z</dcterms:created>
  <dcterms:modified xsi:type="dcterms:W3CDTF">2023-12-21T09:43:00Z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8CBC4746D2AF40D49A81466A616B7C34</vt:lpwstr>
  </property>
</Properties>
</file>