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D41B7" w14:textId="77777777" w:rsidR="00CB04A3" w:rsidRDefault="009E057A" w:rsidP="009E057A">
      <w:pPr>
        <w:pStyle w:val="Nadpis1"/>
      </w:pPr>
      <w:r>
        <w:t>Výzva na predkladanie žiadostí o dotáciu na rozvoj</w:t>
      </w:r>
    </w:p>
    <w:p w14:paraId="51EEFDC5" w14:textId="3625D264" w:rsidR="009E057A" w:rsidRDefault="009E057A" w:rsidP="009E057A">
      <w:pPr>
        <w:jc w:val="both"/>
      </w:pPr>
      <w:r>
        <w:t>Ministerstvo školstva, vedy, výskumu a športu Slovenskej republiky (ďalej len „ministerstvo“)  podľa §</w:t>
      </w:r>
      <w:r w:rsidR="00282344">
        <w:t> </w:t>
      </w:r>
      <w:r>
        <w:t>89 ods. 6 zákona č. 131/2002 Z. z. o vysokých školách a o zmene a doplnení niektorých zákonov v znení neskorších predpisov a podľa odseku 5</w:t>
      </w:r>
      <w:r w:rsidR="00DB059C">
        <w:t>5</w:t>
      </w:r>
      <w:r>
        <w:t xml:space="preserve"> Metodiky rozpisu dotácií zo štátneho rozpočtu ver</w:t>
      </w:r>
      <w:r w:rsidR="00DB059C">
        <w:t>ejným vysokým školám na rok 2015</w:t>
      </w:r>
      <w:r>
        <w:t xml:space="preserve"> zverejňuje nasledujúcu výzvu na podávani</w:t>
      </w:r>
      <w:r w:rsidR="00A012C3">
        <w:t>e žiadostí o poskytnutie dotácie</w:t>
      </w:r>
      <w:r>
        <w:t xml:space="preserve"> na rozvoj.</w:t>
      </w:r>
    </w:p>
    <w:p w14:paraId="588A44CF" w14:textId="77777777" w:rsidR="009E057A" w:rsidRDefault="009E057A" w:rsidP="009E057A">
      <w:pPr>
        <w:pStyle w:val="Nadpis2"/>
      </w:pPr>
      <w:r>
        <w:t>Oprávnení žiadatelia</w:t>
      </w:r>
    </w:p>
    <w:p w14:paraId="4B7E95A9" w14:textId="586A8F95" w:rsidR="009E057A" w:rsidRDefault="009E057A" w:rsidP="009E057A">
      <w:r>
        <w:t>Žiadosť o dotáciu môžu podať len verejné vysoké školy</w:t>
      </w:r>
      <w:r w:rsidR="00DB059C">
        <w:t>, ktoré majú akreditované študijné programy v študijnom odbore odborová didaktika</w:t>
      </w:r>
      <w:r>
        <w:t>.</w:t>
      </w:r>
    </w:p>
    <w:p w14:paraId="524053C7" w14:textId="77777777" w:rsidR="009E057A" w:rsidRDefault="009E057A" w:rsidP="009E057A">
      <w:pPr>
        <w:pStyle w:val="Nadpis2"/>
      </w:pPr>
      <w:r>
        <w:t>Termín na predloženie žiadosti</w:t>
      </w:r>
    </w:p>
    <w:p w14:paraId="0DFB2242" w14:textId="15D9C756" w:rsidR="00DB059C" w:rsidRDefault="009E057A" w:rsidP="009E057A">
      <w:pPr>
        <w:jc w:val="both"/>
      </w:pPr>
      <w:r>
        <w:t xml:space="preserve">Žiadosť spolu s projektom je potrebné </w:t>
      </w:r>
    </w:p>
    <w:p w14:paraId="3718B451" w14:textId="47E43A43" w:rsidR="00DB059C" w:rsidRDefault="00F96B09" w:rsidP="009E057A">
      <w:pPr>
        <w:pStyle w:val="Odsekzoznamu"/>
        <w:numPr>
          <w:ilvl w:val="0"/>
          <w:numId w:val="18"/>
        </w:numPr>
        <w:jc w:val="both"/>
      </w:pPr>
      <w:r>
        <w:t>d</w:t>
      </w:r>
      <w:r w:rsidR="00DB059C">
        <w:t xml:space="preserve">oručiť </w:t>
      </w:r>
      <w:r w:rsidR="009E057A">
        <w:t xml:space="preserve">do </w:t>
      </w:r>
      <w:r w:rsidR="00DB059C" w:rsidRPr="00DB059C">
        <w:rPr>
          <w:b/>
        </w:rPr>
        <w:t>20</w:t>
      </w:r>
      <w:r w:rsidR="009E057A" w:rsidRPr="00DB059C">
        <w:rPr>
          <w:b/>
        </w:rPr>
        <w:t xml:space="preserve">. </w:t>
      </w:r>
      <w:r w:rsidR="00DB059C" w:rsidRPr="00DB059C">
        <w:rPr>
          <w:b/>
        </w:rPr>
        <w:t>februára 2015</w:t>
      </w:r>
      <w:r w:rsidR="009E057A">
        <w:t xml:space="preserve"> (vrátane), a to elektronicky prostredníctvom </w:t>
      </w:r>
      <w:r w:rsidR="00DB059C">
        <w:t xml:space="preserve">elektronickej pošty na </w:t>
      </w:r>
      <w:hyperlink r:id="rId12" w:history="1">
        <w:r w:rsidR="00BF539C" w:rsidRPr="001E3613">
          <w:rPr>
            <w:rStyle w:val="Hypertextovprepojenie"/>
          </w:rPr>
          <w:t>odbor.vsv@minedu.sk</w:t>
        </w:r>
      </w:hyperlink>
      <w:r w:rsidR="00DB059C">
        <w:t xml:space="preserve">, </w:t>
      </w:r>
    </w:p>
    <w:p w14:paraId="08DADBE7" w14:textId="5B65D0BC" w:rsidR="009E057A" w:rsidRDefault="00DB059C" w:rsidP="009E057A">
      <w:pPr>
        <w:pStyle w:val="Odsekzoznamu"/>
        <w:numPr>
          <w:ilvl w:val="0"/>
          <w:numId w:val="18"/>
        </w:numPr>
        <w:jc w:val="both"/>
      </w:pPr>
      <w:r>
        <w:rPr>
          <w:b/>
        </w:rPr>
        <w:t>a</w:t>
      </w:r>
      <w:r w:rsidRPr="00DB059C">
        <w:rPr>
          <w:b/>
        </w:rPr>
        <w:t xml:space="preserve">ko aj </w:t>
      </w:r>
      <w:r>
        <w:t> </w:t>
      </w:r>
      <w:r w:rsidRPr="00DB059C">
        <w:rPr>
          <w:b/>
        </w:rPr>
        <w:t>v papierovej forme</w:t>
      </w:r>
      <w:r>
        <w:t xml:space="preserve"> na adresu Ministerstvo školstva, vedy, výskumu a športu SR, odbor vysokoškolského vzdelávania, Stromová 1, 813 30 Bratislava 1 </w:t>
      </w:r>
      <w:r w:rsidRPr="00DB059C">
        <w:rPr>
          <w:b/>
        </w:rPr>
        <w:t xml:space="preserve">(dátum podania do 20. </w:t>
      </w:r>
      <w:r w:rsidR="003A71CB">
        <w:rPr>
          <w:b/>
        </w:rPr>
        <w:t>f</w:t>
      </w:r>
      <w:r w:rsidRPr="00DB059C">
        <w:rPr>
          <w:b/>
        </w:rPr>
        <w:t>ebruára 2015 vrátane)</w:t>
      </w:r>
      <w:r w:rsidR="003A71CB" w:rsidRPr="003A71CB">
        <w:t>, rozhoduje odtlačok pečiatky podacej pošty</w:t>
      </w:r>
      <w:r w:rsidR="009E057A">
        <w:t>.</w:t>
      </w:r>
    </w:p>
    <w:p w14:paraId="4F32E1E4" w14:textId="77777777" w:rsidR="009E057A" w:rsidRDefault="009E057A" w:rsidP="009E057A">
      <w:pPr>
        <w:pStyle w:val="Nadpis2"/>
      </w:pPr>
      <w:r>
        <w:t>Alokovaná suma</w:t>
      </w:r>
    </w:p>
    <w:p w14:paraId="6E10D1C6" w14:textId="378FFB4C" w:rsidR="009E057A" w:rsidRDefault="00DB059C" w:rsidP="009E057A">
      <w:r>
        <w:t xml:space="preserve">Na výzvu je alokovaná suma </w:t>
      </w:r>
      <w:r w:rsidR="00B849E5">
        <w:t>5</w:t>
      </w:r>
      <w:r w:rsidR="009E057A">
        <w:t>0 tis. eur</w:t>
      </w:r>
      <w:r w:rsidR="00791A80">
        <w:t xml:space="preserve"> na celé riešenie projektu a zapojenie do oboch projektov</w:t>
      </w:r>
      <w:r w:rsidR="009E057A">
        <w:t>.</w:t>
      </w:r>
      <w:r w:rsidR="005764B9">
        <w:t xml:space="preserve"> Dotácia sa poskytuje vo forme bežného transferu. </w:t>
      </w:r>
    </w:p>
    <w:p w14:paraId="164C92FE" w14:textId="77777777" w:rsidR="00C67AAA" w:rsidRDefault="00C67AAA" w:rsidP="00C67AAA">
      <w:pPr>
        <w:pStyle w:val="Nadpis2"/>
      </w:pPr>
      <w:r>
        <w:t>Podporované témy rozvojových projektov</w:t>
      </w:r>
    </w:p>
    <w:p w14:paraId="47DBA799" w14:textId="78E73309" w:rsidR="00791E2B" w:rsidRDefault="00B849E5" w:rsidP="00B849E5">
      <w:r>
        <w:t>Rozvoj kvality výskumnej činnosti v pedagogike spoluprácou na projektoch OECD</w:t>
      </w:r>
    </w:p>
    <w:p w14:paraId="6C0597C8" w14:textId="4DE29285" w:rsidR="003A71CB" w:rsidRDefault="003A71CB" w:rsidP="003A71CB">
      <w:pPr>
        <w:jc w:val="both"/>
      </w:pPr>
      <w:r>
        <w:t xml:space="preserve">OECD v rokoch 2015 – 2016 má záujem o realizáciu dvoch projektov, pri ktorých má ministerstvo záujem o zapojenie Slovenskej republiky, vo forme vytvorenia spolupráce medzi akademickými inštitúciami a medzinárodným tímom projektu. Ide o projekt </w:t>
      </w:r>
      <w:r w:rsidRPr="009E0377">
        <w:rPr>
          <w:b/>
        </w:rPr>
        <w:t>ITEL</w:t>
      </w:r>
      <w:r w:rsidR="004A2198" w:rsidRPr="009E0377">
        <w:rPr>
          <w:b/>
        </w:rPr>
        <w:t xml:space="preserve"> (Innovative Teaching for Effective Learning)</w:t>
      </w:r>
      <w:r w:rsidRPr="009E0377">
        <w:rPr>
          <w:b/>
        </w:rPr>
        <w:t xml:space="preserve"> – štúdia o vedomostiach učiteľov, a projekt  </w:t>
      </w:r>
      <w:r w:rsidR="004A2198" w:rsidRPr="009E0377">
        <w:rPr>
          <w:b/>
        </w:rPr>
        <w:t>CERI Innovation Strategy for Education and Training</w:t>
      </w:r>
      <w:r w:rsidRPr="009E0377">
        <w:rPr>
          <w:b/>
        </w:rPr>
        <w:t xml:space="preserve"> – vývoj inovatívnych metód hodnotenia schopností žiakov kriticky a kreatívne myslieť</w:t>
      </w:r>
      <w:r>
        <w:t>. Podrobnejšie informácie o projektoch OECD sú uvedené v prílohe výzvy.</w:t>
      </w:r>
    </w:p>
    <w:p w14:paraId="5115D6E9" w14:textId="01A5BFDC" w:rsidR="00EC31FF" w:rsidRDefault="00EC31FF" w:rsidP="00791A80">
      <w:pPr>
        <w:pStyle w:val="Nadpis3"/>
      </w:pPr>
      <w:r>
        <w:t>Doplňujúce informácie:</w:t>
      </w:r>
    </w:p>
    <w:p w14:paraId="10B4C2E7" w14:textId="5AEC7354" w:rsidR="00EC31FF" w:rsidRDefault="00EC31FF" w:rsidP="003A71CB">
      <w:pPr>
        <w:jc w:val="both"/>
      </w:pPr>
      <w:r>
        <w:t>V prípade projektu CERI Inovation Strategy for Education and Training sa zvýšil počet zapojených škôl z minimálne troch na minimálne 5, pričom sa očakáva, že ide o školy, ktoré sa osobitne zameriavajú na rozvoj kreativity a kritického myslenia.</w:t>
      </w:r>
    </w:p>
    <w:p w14:paraId="6EC371AA" w14:textId="4B7B941A" w:rsidR="00EC31FF" w:rsidRDefault="00EC31FF" w:rsidP="003A71CB">
      <w:pPr>
        <w:jc w:val="both"/>
      </w:pPr>
      <w:r>
        <w:t>V prípade projektu ITEL (Innovative Teachin</w:t>
      </w:r>
      <w:r w:rsidR="00791A80">
        <w:t>g for Effective Learning) bude c</w:t>
      </w:r>
      <w:r>
        <w:t>entrálne zabezpečenie softvérového nástroja. Je možné, že bude potrebné zakúpiť licenciu pre vysokú školu v predpokladanej výške 500 eur.</w:t>
      </w:r>
      <w:r w:rsidR="00791A80">
        <w:t xml:space="preserve"> Zatiaľ sa neuvažuje s prípravou národnej štúdie v rámci tohto projektu, ale ministerstvo môže požiadať vysokú školu o vypracovanie aj národnej štúdie. V takom prípade budú náklady na tieto aktivity predmetom negociácie medzi ministerstvom a vysokou školou. </w:t>
      </w:r>
      <w:r w:rsidR="00BF539C">
        <w:t>Ministerstvo p</w:t>
      </w:r>
      <w:bookmarkStart w:id="0" w:name="_GoBack"/>
      <w:bookmarkEnd w:id="0"/>
      <w:r w:rsidR="00BF539C">
        <w:t>referuje zapojenie na úrovni 2 (development and small-scale data collection).</w:t>
      </w:r>
    </w:p>
    <w:p w14:paraId="66893A77" w14:textId="00849225" w:rsidR="00791A80" w:rsidRDefault="00791A80" w:rsidP="003A71CB">
      <w:pPr>
        <w:jc w:val="both"/>
      </w:pPr>
      <w:r>
        <w:lastRenderedPageBreak/>
        <w:t>Vysoká škola sprístupní všetky datasety a podklady získané v rámci realizácie projektu ministerstvu. Rovnako ministerstvo bude mať k dispozícií preklady, formuláre a pod. ktoré vzniknú v rámci riešenia projektu.</w:t>
      </w:r>
    </w:p>
    <w:p w14:paraId="50B97F75" w14:textId="77777777" w:rsidR="005764B9" w:rsidRDefault="005764B9" w:rsidP="005764B9">
      <w:pPr>
        <w:pStyle w:val="Nadpis2"/>
      </w:pPr>
      <w:r>
        <w:t>Všeobecné podmienky</w:t>
      </w:r>
    </w:p>
    <w:p w14:paraId="5B42DF4E" w14:textId="16FC2F06" w:rsidR="00B849E5" w:rsidRDefault="00B849E5" w:rsidP="005764B9">
      <w:pPr>
        <w:jc w:val="both"/>
      </w:pPr>
      <w:r>
        <w:t>Výzva je zameraná na podporu zapojenia vysokých škôl do dvoch projektov OECD – CERI (</w:t>
      </w:r>
      <w:hyperlink r:id="rId13" w:history="1">
        <w:r w:rsidRPr="00BE5C9B">
          <w:rPr>
            <w:rStyle w:val="Hypertextovprepojenie"/>
          </w:rPr>
          <w:t>http://www.oecd.org/edu/ceri/</w:t>
        </w:r>
      </w:hyperlink>
      <w:r>
        <w:t>)</w:t>
      </w:r>
      <w:r w:rsidR="003A71CB">
        <w:t xml:space="preserve">. </w:t>
      </w:r>
      <w:r>
        <w:t>Vysoká škola môže požiadať o dotáciu na zapojenie do jedného alebo oboch projektov</w:t>
      </w:r>
      <w:r w:rsidR="003A71CB">
        <w:t xml:space="preserve"> OECD</w:t>
      </w:r>
      <w:r>
        <w:t>. Žiadosť sa predkladá samostatne pre jednotlivé projekty</w:t>
      </w:r>
      <w:r w:rsidR="00F96B09">
        <w:t xml:space="preserve"> OECD</w:t>
      </w:r>
      <w:r>
        <w:t xml:space="preserve">. </w:t>
      </w:r>
      <w:r w:rsidR="003A71CB">
        <w:t xml:space="preserve"> </w:t>
      </w:r>
      <w:r>
        <w:t xml:space="preserve">Pre každý projekt sa </w:t>
      </w:r>
      <w:r w:rsidR="00C8419E">
        <w:t xml:space="preserve">posudzujú žiadosti samostatne. Uvedená suma na výzvu sa vzťahuje na podporu zapojenia do oboch projektov. </w:t>
      </w:r>
    </w:p>
    <w:p w14:paraId="2335E782" w14:textId="0B3B5FB9" w:rsidR="00C8419E" w:rsidRDefault="00C8419E" w:rsidP="005764B9">
      <w:pPr>
        <w:jc w:val="both"/>
      </w:pPr>
      <w:r>
        <w:t>Ministerstvo si vyhradzuj právo neposkytnúť dotáciu na základe tejto výzvy ani jednému zo žiadateľov.</w:t>
      </w:r>
    </w:p>
    <w:p w14:paraId="671CFDA0" w14:textId="59C3B7E7" w:rsidR="00C8419E" w:rsidRDefault="00C8419E" w:rsidP="005764B9">
      <w:pPr>
        <w:jc w:val="both"/>
      </w:pPr>
      <w:r>
        <w:t>V prípade, že v rámci realizácie projektu zo strany OECD budú vznesené požiadavky na riešiteľa, ktoré nebolo možné predpokladať na základe dostupných informácií a nie je možné ich zabezpečiť v rámci poskytnutej dotácie, ministerstvo na základe žiadosti príjemcu posúdi opodstatnenosť zvýšenia dotácie na realizáciu projektu</w:t>
      </w:r>
      <w:r w:rsidR="00F96B09">
        <w:t xml:space="preserve"> a rozpočet projektu v opodstatnených prípadoch zvýši</w:t>
      </w:r>
      <w:r>
        <w:t>.</w:t>
      </w:r>
    </w:p>
    <w:p w14:paraId="3B1FA712" w14:textId="2CE55443" w:rsidR="00C8419E" w:rsidRDefault="00C8419E" w:rsidP="005764B9">
      <w:pPr>
        <w:jc w:val="both"/>
      </w:pPr>
      <w:r>
        <w:t>Zapojenie Slovenskej republiky do projektov OECD je podmienené zaplatením poplatku. Úhrada tohto poplatku bude realizovaná ministerstvom, a tak sa neuvádza v rozpočte projektu žiadateľa.</w:t>
      </w:r>
    </w:p>
    <w:p w14:paraId="775B9467" w14:textId="65DD3155" w:rsidR="005764B9" w:rsidRDefault="005764B9" w:rsidP="005764B9">
      <w:pPr>
        <w:jc w:val="both"/>
      </w:pPr>
      <w:r>
        <w:t xml:space="preserve">Ministerstvo môže podmieniť poskytnutie dotácie znížením rozpočtu projektu, alebo zvýšením financovania z iných zdrojov vysokej školy.  </w:t>
      </w:r>
      <w:r w:rsidR="00C67AAA">
        <w:t xml:space="preserve">Jednotlivé žiadosti o projekt sú hodnotené </w:t>
      </w:r>
      <w:r w:rsidR="00A966FE">
        <w:t xml:space="preserve">najmenej </w:t>
      </w:r>
      <w:r w:rsidR="00C67AAA">
        <w:t xml:space="preserve">dvomi hodnotiteľmi. </w:t>
      </w:r>
    </w:p>
    <w:p w14:paraId="0F5918A6" w14:textId="1C6135E0" w:rsidR="00C67AAA" w:rsidRDefault="00C67AAA" w:rsidP="005764B9">
      <w:pPr>
        <w:jc w:val="both"/>
      </w:pPr>
      <w:r>
        <w:t xml:space="preserve">Po uplynutí termínu na podanie projektu nie je možné vykonávať opravy v projektoch. Formálne nedostatky v projektoch budú negatívne zohľadnené pri hodnotení projektov. V prípade potreby si ministerstvo </w:t>
      </w:r>
      <w:r w:rsidR="003C6374">
        <w:t xml:space="preserve">k projektom vybraným na financovanie </w:t>
      </w:r>
      <w:r>
        <w:t>vyžiada objasnenie projektu, ak to je potrebné na uzatvorenie zmluvy</w:t>
      </w:r>
      <w:r w:rsidR="00791E2B">
        <w:t xml:space="preserve"> (napr. nejasnosti v rozpočte projektu, nekonkrétne ciele a pod.)</w:t>
      </w:r>
      <w:r w:rsidR="00801CEA">
        <w:t>, prípadne konkrétne podmienky čerpania dotácie upraví v zmluve</w:t>
      </w:r>
      <w:r>
        <w:t>.</w:t>
      </w:r>
    </w:p>
    <w:p w14:paraId="49996EF2" w14:textId="0A87CE42" w:rsidR="00066103" w:rsidRDefault="00B311E9" w:rsidP="00E95F7F">
      <w:pPr>
        <w:jc w:val="both"/>
      </w:pPr>
      <w:r w:rsidRPr="00A012C3">
        <w:t>Pätnásť</w:t>
      </w:r>
      <w:r w:rsidR="00066103" w:rsidRPr="00A012C3">
        <w:t xml:space="preserve"> percent z</w:t>
      </w:r>
      <w:r w:rsidR="00C8419E">
        <w:t xml:space="preserve"> celkového rozpočtu projektu </w:t>
      </w:r>
      <w:r w:rsidR="00066103" w:rsidRPr="00A012C3">
        <w:t>slúži na pokrytie nepriamych nákladov projektu a nepodlieha zúčtovaniu.</w:t>
      </w:r>
      <w:r w:rsidRPr="00A012C3">
        <w:t xml:space="preserve"> V rozpočte projektu sa tak nerozpočtujú </w:t>
      </w:r>
      <w:r w:rsidR="0028592B" w:rsidRPr="00A012C3">
        <w:t xml:space="preserve">napr. </w:t>
      </w:r>
      <w:r w:rsidRPr="00A012C3">
        <w:t xml:space="preserve">náklady súvisiace s prevádzkou priestorov vysokej školy, </w:t>
      </w:r>
      <w:r w:rsidR="0028592B" w:rsidRPr="00A012C3">
        <w:t>náklady súvisiace s vedením účtovníctva, a pod.</w:t>
      </w:r>
      <w:r w:rsidR="0028592B">
        <w:t xml:space="preserve"> </w:t>
      </w:r>
    </w:p>
    <w:p w14:paraId="38D8988F" w14:textId="76D23450" w:rsidR="0044366A" w:rsidRDefault="0044366A" w:rsidP="00E95F7F">
      <w:pPr>
        <w:jc w:val="both"/>
      </w:pPr>
      <w:r>
        <w:t>Prijímajúca vysoká škola sa zaviaže poskytovať súčinnosť OECD a jej projektovému tímu na vybranom projekte a zabezpečovať všetky aktivity, ktoré vyplývajú Slovenskej republike zo zapojenia sa do projektu.</w:t>
      </w:r>
    </w:p>
    <w:p w14:paraId="56B90E49" w14:textId="1C44F606" w:rsidR="00066103" w:rsidRDefault="0044366A" w:rsidP="00E95F7F">
      <w:pPr>
        <w:jc w:val="both"/>
      </w:pPr>
      <w:r>
        <w:t xml:space="preserve">Pre každý projekt OECD bude podporená najviac jedna žiadosť. Podporený rozvojový projekt </w:t>
      </w:r>
      <w:r w:rsidR="009C11EF">
        <w:t>bude v režime c</w:t>
      </w:r>
      <w:r>
        <w:t>entrálneho rozvojového projektu. Vysoká škola sa zaviaže pravidelne informovať ministerstvo o aktivitách v rámci realizácie projektu, konzultovať jednotlivé kroky a pod.</w:t>
      </w:r>
    </w:p>
    <w:p w14:paraId="7F052841" w14:textId="63D8BA94" w:rsidR="003C6374" w:rsidRDefault="003C6374" w:rsidP="00E95F7F">
      <w:pPr>
        <w:jc w:val="both"/>
      </w:pPr>
      <w:r>
        <w:t xml:space="preserve">V rámci tejto </w:t>
      </w:r>
      <w:r w:rsidR="0044366A">
        <w:t>výzvy</w:t>
      </w:r>
      <w:r>
        <w:t xml:space="preserve"> je dotáciu možné použiť na osobné výdavky (položky 610 a 620 ekonomickej klasifikácie rozpočtovej klasifikácie), </w:t>
      </w:r>
      <w:r w:rsidR="0057600A">
        <w:t>cestovné náhrady (polož</w:t>
      </w:r>
      <w:r w:rsidR="00E81438">
        <w:t>ka</w:t>
      </w:r>
      <w:r>
        <w:t xml:space="preserve"> 631</w:t>
      </w:r>
      <w:r w:rsidR="0057600A">
        <w:t xml:space="preserve"> a</w:t>
      </w:r>
      <w:r w:rsidR="00E81438">
        <w:t xml:space="preserve"> podpoložka </w:t>
      </w:r>
      <w:r w:rsidR="0057600A">
        <w:t>637007</w:t>
      </w:r>
      <w:r>
        <w:t xml:space="preserve"> ekonomickej klasifikácie rozpočtovej klasifikácie)</w:t>
      </w:r>
      <w:r w:rsidR="0057600A">
        <w:t>, poštové služby a telekomunikačné služby (</w:t>
      </w:r>
      <w:r w:rsidR="00E81438">
        <w:t>pod</w:t>
      </w:r>
      <w:r w:rsidR="0057600A">
        <w:t xml:space="preserve">položka 632003 ekonomickej klasifikácie rozpočtovej klasifikácie), všeobecný materiál </w:t>
      </w:r>
      <w:r w:rsidR="0057600A">
        <w:lastRenderedPageBreak/>
        <w:t>(</w:t>
      </w:r>
      <w:r w:rsidR="00E81438">
        <w:t>pod</w:t>
      </w:r>
      <w:r w:rsidR="0057600A">
        <w:t>položka 633006 ekonomickej klasifikácie rozpočtovej klasifikácie), reprezentačné (</w:t>
      </w:r>
      <w:r w:rsidR="00E81438">
        <w:t xml:space="preserve">podpoložka </w:t>
      </w:r>
      <w:r w:rsidR="0057600A">
        <w:t>633016</w:t>
      </w:r>
      <w:r w:rsidR="00A012C3">
        <w:t xml:space="preserve"> ekonomickej klasifikácie rozpočtovej klasifikácie</w:t>
      </w:r>
      <w:r w:rsidR="0057600A">
        <w:t>), školenia, kurzy, semináre, porady, konferencie, sympóziá (</w:t>
      </w:r>
      <w:r w:rsidR="00E81438">
        <w:t xml:space="preserve">podpoložka </w:t>
      </w:r>
      <w:r w:rsidR="0057600A">
        <w:t>637001</w:t>
      </w:r>
      <w:r w:rsidR="00E81438">
        <w:t xml:space="preserve"> ekonomickej klasifikácie rozpočtovej klasifikácie</w:t>
      </w:r>
      <w:r w:rsidR="0057600A">
        <w:t>)</w:t>
      </w:r>
      <w:r w:rsidR="00270BC9">
        <w:t>,</w:t>
      </w:r>
      <w:r w:rsidR="00E81438">
        <w:t> všeobecné služby (podpoložka 637004 ekonomickej klasifikácie rozpočtovej klasifikácie)</w:t>
      </w:r>
      <w:r w:rsidR="00270BC9">
        <w:t xml:space="preserve"> a odmeny zamestnancov mimo pracovného pomeru (podpoložka 637027 ekonomickej klasifikácie rozpočtovej klasifikácie)</w:t>
      </w:r>
      <w:r w:rsidR="0057600A">
        <w:t>.</w:t>
      </w:r>
    </w:p>
    <w:p w14:paraId="1058834E" w14:textId="22813A2E" w:rsidR="00422743" w:rsidRDefault="002241E2" w:rsidP="009E057A">
      <w:pPr>
        <w:pStyle w:val="Nadpis2"/>
      </w:pPr>
      <w:r>
        <w:t>Indikatívny č</w:t>
      </w:r>
      <w:r w:rsidR="00422743">
        <w:t>asový harmonogram</w:t>
      </w:r>
    </w:p>
    <w:p w14:paraId="2EB200F6" w14:textId="4FA94DB3" w:rsidR="00422743" w:rsidRDefault="00422743" w:rsidP="00422743">
      <w:r>
        <w:t>2</w:t>
      </w:r>
      <w:r w:rsidR="0044366A">
        <w:t>0</w:t>
      </w:r>
      <w:r>
        <w:t xml:space="preserve">. </w:t>
      </w:r>
      <w:r w:rsidR="0044366A">
        <w:t xml:space="preserve">február </w:t>
      </w:r>
      <w:r>
        <w:t>201</w:t>
      </w:r>
      <w:r w:rsidR="0044366A">
        <w:t>5</w:t>
      </w:r>
      <w:r>
        <w:t xml:space="preserve"> – Termín na podanie žiadosti o dotáciu</w:t>
      </w:r>
    </w:p>
    <w:p w14:paraId="7DDB9BA1" w14:textId="12644D81" w:rsidR="00422743" w:rsidRDefault="0044366A" w:rsidP="00422743">
      <w:r>
        <w:t>21</w:t>
      </w:r>
      <w:r w:rsidR="00C257C1">
        <w:t xml:space="preserve">. </w:t>
      </w:r>
      <w:r>
        <w:t>- 27. február 2015</w:t>
      </w:r>
      <w:r w:rsidR="00C257C1">
        <w:t xml:space="preserve"> </w:t>
      </w:r>
      <w:r>
        <w:t xml:space="preserve">– </w:t>
      </w:r>
      <w:r w:rsidR="00F96B09">
        <w:t>K</w:t>
      </w:r>
      <w:r>
        <w:t>ontrola a vyh</w:t>
      </w:r>
      <w:r w:rsidR="002241E2">
        <w:t xml:space="preserve">odnotenie </w:t>
      </w:r>
      <w:r w:rsidR="00C257C1">
        <w:t>žiadostí</w:t>
      </w:r>
    </w:p>
    <w:p w14:paraId="6CEE6D84" w14:textId="35A53F47" w:rsidR="00422743" w:rsidRDefault="0044366A" w:rsidP="00422743">
      <w:r>
        <w:t>Do 8</w:t>
      </w:r>
      <w:r w:rsidR="00422743">
        <w:t xml:space="preserve">. </w:t>
      </w:r>
      <w:r>
        <w:t>marca</w:t>
      </w:r>
      <w:r w:rsidR="00422743">
        <w:t xml:space="preserve"> 201</w:t>
      </w:r>
      <w:r>
        <w:t>5</w:t>
      </w:r>
      <w:r w:rsidR="00422743">
        <w:t xml:space="preserve"> – Rozhodnutie o poskytnutí / neposkytnutí dotácie</w:t>
      </w:r>
    </w:p>
    <w:p w14:paraId="42E4593C" w14:textId="10E929A7" w:rsidR="009E057A" w:rsidRDefault="00B06C73" w:rsidP="007F4BB3">
      <w:pPr>
        <w:pStyle w:val="Nadpis2"/>
      </w:pPr>
      <w:r>
        <w:t>Požiadavky na žiadosť</w:t>
      </w:r>
    </w:p>
    <w:p w14:paraId="42FD1848" w14:textId="77777777" w:rsidR="003A71CB" w:rsidRDefault="003A71CB" w:rsidP="00B06C73">
      <w:pPr>
        <w:pStyle w:val="odsek"/>
      </w:pPr>
      <w:r>
        <w:t>Formulár žiadosti nie je predpísaný, odporúča sa použiť hlavičkový papier vysokej školy.</w:t>
      </w:r>
    </w:p>
    <w:p w14:paraId="7C792E0C" w14:textId="4E996C42" w:rsidR="00B06C73" w:rsidRDefault="00B06C73" w:rsidP="00B06C73">
      <w:pPr>
        <w:pStyle w:val="odsek"/>
      </w:pPr>
      <w:r>
        <w:t>Žiadosť musí obsahovať:</w:t>
      </w:r>
    </w:p>
    <w:p w14:paraId="24E8AB71" w14:textId="6B19CDED" w:rsidR="00B06C73" w:rsidRDefault="00B06C73" w:rsidP="00791A80">
      <w:pPr>
        <w:pStyle w:val="odsek"/>
        <w:numPr>
          <w:ilvl w:val="0"/>
          <w:numId w:val="19"/>
        </w:numPr>
        <w:spacing w:after="0"/>
      </w:pPr>
      <w:r>
        <w:t>názov žiadateľa</w:t>
      </w:r>
      <w:r w:rsidR="001176CF">
        <w:t xml:space="preserve"> a kontaktné údaje (adresa, IČO)</w:t>
      </w:r>
    </w:p>
    <w:p w14:paraId="461061E7" w14:textId="5C7B904D" w:rsidR="00892B17" w:rsidRDefault="00892B17" w:rsidP="00791A80">
      <w:pPr>
        <w:pStyle w:val="odsek"/>
        <w:numPr>
          <w:ilvl w:val="0"/>
          <w:numId w:val="19"/>
        </w:numPr>
        <w:spacing w:after="0"/>
      </w:pPr>
      <w:r>
        <w:t>vyjadrenie záväzku participovať na implementácií projektu OECD</w:t>
      </w:r>
    </w:p>
    <w:p w14:paraId="0B5BC4E6" w14:textId="14CA9BA5" w:rsidR="00892B17" w:rsidRDefault="00892B17" w:rsidP="00791A80">
      <w:pPr>
        <w:pStyle w:val="odsek"/>
        <w:numPr>
          <w:ilvl w:val="0"/>
          <w:numId w:val="19"/>
        </w:numPr>
        <w:spacing w:after="0"/>
      </w:pPr>
      <w:r>
        <w:t>požiadavka na poskytnutie dotácie na rozvoj  za účelom realizácie predloženého projektu</w:t>
      </w:r>
    </w:p>
    <w:p w14:paraId="6EDB08CD" w14:textId="30AB9344" w:rsidR="003A71CB" w:rsidRDefault="003A71CB" w:rsidP="00791A80">
      <w:pPr>
        <w:pStyle w:val="odsek"/>
        <w:numPr>
          <w:ilvl w:val="0"/>
          <w:numId w:val="19"/>
        </w:numPr>
        <w:spacing w:after="0"/>
      </w:pPr>
      <w:r>
        <w:t>názov a identifikačný kód projektu (z pohľadu žiadateľa)</w:t>
      </w:r>
    </w:p>
    <w:p w14:paraId="73779088" w14:textId="26B24DAB" w:rsidR="00B06C73" w:rsidRDefault="00B06C73" w:rsidP="00791A80">
      <w:pPr>
        <w:pStyle w:val="odsek"/>
        <w:numPr>
          <w:ilvl w:val="0"/>
          <w:numId w:val="19"/>
        </w:numPr>
        <w:spacing w:after="0"/>
      </w:pPr>
      <w:r>
        <w:t>celkovú sumu rozpočtu (vrátane spolufinancovania zo strany žiadateľa)</w:t>
      </w:r>
    </w:p>
    <w:p w14:paraId="2C862684" w14:textId="3180569E" w:rsidR="001176CF" w:rsidRDefault="001176CF" w:rsidP="00791A80">
      <w:pPr>
        <w:pStyle w:val="odsek"/>
        <w:numPr>
          <w:ilvl w:val="0"/>
          <w:numId w:val="19"/>
        </w:numPr>
        <w:spacing w:after="0"/>
      </w:pPr>
      <w:r>
        <w:t>názov projektu OECD, na ktorom má žiadateľ záujem participovať</w:t>
      </w:r>
    </w:p>
    <w:p w14:paraId="52793CE7" w14:textId="710291D1" w:rsidR="001176CF" w:rsidRDefault="00700BA9" w:rsidP="00791A80">
      <w:pPr>
        <w:pStyle w:val="odsek"/>
        <w:numPr>
          <w:ilvl w:val="0"/>
          <w:numId w:val="19"/>
        </w:numPr>
        <w:spacing w:after="0"/>
      </w:pPr>
      <w:r>
        <w:t xml:space="preserve">kontaktné údaje </w:t>
      </w:r>
      <w:r w:rsidR="001176CF">
        <w:t>zodpovedného riešiteľa (meno a priezvisko, email, telefonický kontakt, funkčné zaradenie v rámci vysokej školy)</w:t>
      </w:r>
    </w:p>
    <w:p w14:paraId="57FDEFE3" w14:textId="75B2B092" w:rsidR="001176CF" w:rsidRDefault="001176CF" w:rsidP="00791A80">
      <w:pPr>
        <w:pStyle w:val="odsek"/>
        <w:numPr>
          <w:ilvl w:val="0"/>
          <w:numId w:val="19"/>
        </w:numPr>
      </w:pPr>
      <w:r>
        <w:t>podpis štatutára alebo inej osoby oprávnenej zaviazať žiadateľa na spolufinancovanie projektu (len v papierovej verzii)</w:t>
      </w:r>
    </w:p>
    <w:p w14:paraId="6FAB1247" w14:textId="3BC1C33C" w:rsidR="00B06C73" w:rsidRDefault="00B06C73" w:rsidP="00B06C73">
      <w:pPr>
        <w:pStyle w:val="Nadpis2"/>
      </w:pPr>
      <w:r w:rsidRPr="00B06C73">
        <w:t>Požadované prílohy k</w:t>
      </w:r>
      <w:r w:rsidR="001176CF">
        <w:t> </w:t>
      </w:r>
      <w:r w:rsidRPr="00B06C73">
        <w:t>žiadosti</w:t>
      </w:r>
    </w:p>
    <w:p w14:paraId="632CB90A" w14:textId="11992EFC" w:rsidR="001176CF" w:rsidRDefault="001176CF" w:rsidP="00892B17">
      <w:pPr>
        <w:pStyle w:val="Nadpis3"/>
      </w:pPr>
      <w:r>
        <w:t>Profil pracoviska</w:t>
      </w:r>
    </w:p>
    <w:p w14:paraId="1CF2EFAA" w14:textId="73D524FC" w:rsidR="001176CF" w:rsidRDefault="001176CF" w:rsidP="00F96B09">
      <w:pPr>
        <w:pStyle w:val="Odsekzoznamu"/>
        <w:numPr>
          <w:ilvl w:val="0"/>
          <w:numId w:val="19"/>
        </w:numPr>
        <w:jc w:val="both"/>
      </w:pPr>
      <w:r>
        <w:t>uveďte najviac päť výskumných projektov relevantných k projektu OECD, ktoré  riešilo vaše pracovisko  v ostatných piatich rokoch</w:t>
      </w:r>
      <w:r w:rsidR="00892B17">
        <w:t xml:space="preserve"> = projekt v danom období skončil, alebo ešte trvá </w:t>
      </w:r>
      <w:r>
        <w:t>(názov projektu, rozpočet projektu, trvanie projektu (od – do), grantová schéma, v ktorej bol projekt financovan</w:t>
      </w:r>
      <w:r w:rsidR="005167E0">
        <w:t>ý</w:t>
      </w:r>
      <w:r>
        <w:t xml:space="preserve"> a web </w:t>
      </w:r>
      <w:r w:rsidR="009E0377">
        <w:t>obsahujúci</w:t>
      </w:r>
      <w:r>
        <w:t xml:space="preserve"> podrobnejšie informácie o projekte, stručný komentár, v čom je daný projekt relevantný pre</w:t>
      </w:r>
      <w:r w:rsidR="002501EE">
        <w:t xml:space="preserve"> vybraný </w:t>
      </w:r>
      <w:r>
        <w:t>OECD projekt</w:t>
      </w:r>
      <w:r w:rsidR="00892B17">
        <w:t>)</w:t>
      </w:r>
      <w:r>
        <w:t>.</w:t>
      </w:r>
    </w:p>
    <w:p w14:paraId="2EDAB6F5" w14:textId="0591519D" w:rsidR="00892B17" w:rsidRDefault="00892B17" w:rsidP="00892B17">
      <w:pPr>
        <w:pStyle w:val="Nadpis3"/>
      </w:pPr>
      <w:r>
        <w:t>Spôsob implementácie</w:t>
      </w:r>
    </w:p>
    <w:p w14:paraId="3F7EFBDE" w14:textId="19D30DD2" w:rsidR="00892B17" w:rsidRDefault="00892B17" w:rsidP="00F96B09">
      <w:pPr>
        <w:pStyle w:val="Odsekzoznamu"/>
        <w:numPr>
          <w:ilvl w:val="0"/>
          <w:numId w:val="19"/>
        </w:numPr>
        <w:jc w:val="both"/>
      </w:pPr>
      <w:r>
        <w:t xml:space="preserve">konkretizujte spôsob implementácie jednotlivých aktivít </w:t>
      </w:r>
      <w:r w:rsidR="002501EE">
        <w:t xml:space="preserve">vybraného projektu OECD, </w:t>
      </w:r>
      <w:r>
        <w:t xml:space="preserve">zamerajte sa najmä na </w:t>
      </w:r>
      <w:r w:rsidR="002501EE">
        <w:t>riadenie projektu, úlohu jednotlivých členov tímu, spôsob kooperácie s ministerstvom, riešenie materiálno-technických otázok, a pod.</w:t>
      </w:r>
    </w:p>
    <w:p w14:paraId="19381DA9" w14:textId="1F9E0280" w:rsidR="00C60CEA" w:rsidRDefault="00C60CEA" w:rsidP="00892B17">
      <w:pPr>
        <w:pStyle w:val="Nadpis3"/>
      </w:pPr>
      <w:r>
        <w:t>Personálne zabezpečenie</w:t>
      </w:r>
    </w:p>
    <w:p w14:paraId="1A7DE055" w14:textId="183FD20D" w:rsidR="00C60CEA" w:rsidRDefault="00C60CEA" w:rsidP="00F96B09">
      <w:pPr>
        <w:pStyle w:val="Odsekzoznamu"/>
        <w:numPr>
          <w:ilvl w:val="0"/>
          <w:numId w:val="19"/>
        </w:numPr>
        <w:jc w:val="both"/>
      </w:pPr>
      <w:r>
        <w:t>uveďte zoznam zamestnancov/študentov, ktorí budú zapojení do riešenia projektu, ich úlohu pri jednotlivých aktivitách, predpokladaný počet dní, ktoré budú zapojení do realizácie projektu</w:t>
      </w:r>
      <w:r w:rsidR="002501EE">
        <w:t xml:space="preserve"> podľa jednotlivých aktivít</w:t>
      </w:r>
    </w:p>
    <w:p w14:paraId="3AE2E65C" w14:textId="2356BF03" w:rsidR="00C60CEA" w:rsidRDefault="00053E98" w:rsidP="00F96B09">
      <w:pPr>
        <w:pStyle w:val="Odsekzoznamu"/>
        <w:numPr>
          <w:ilvl w:val="0"/>
          <w:numId w:val="19"/>
        </w:numPr>
        <w:jc w:val="both"/>
      </w:pPr>
      <w:r>
        <w:lastRenderedPageBreak/>
        <w:t>priložte profesijný životopis jednotlivých členov riešiteľského tímu</w:t>
      </w:r>
      <w:r w:rsidR="002501EE">
        <w:t>, zamerajte sa v ňom najmä na predchádzajúce aktivity (projekty, publikácie), ktoré sú relevantné pre vybraný projekt OECD</w:t>
      </w:r>
    </w:p>
    <w:p w14:paraId="7282E384" w14:textId="10C424AE" w:rsidR="00053E98" w:rsidRDefault="00892B17" w:rsidP="00892B17">
      <w:pPr>
        <w:pStyle w:val="Nadpis3"/>
      </w:pPr>
      <w:r>
        <w:t>Všeobecné očakávania</w:t>
      </w:r>
    </w:p>
    <w:p w14:paraId="7AD119B0" w14:textId="1E929ADC" w:rsidR="00053E98" w:rsidRDefault="00892B17" w:rsidP="001964C9">
      <w:pPr>
        <w:pStyle w:val="Odsekzoznamu"/>
        <w:numPr>
          <w:ilvl w:val="0"/>
          <w:numId w:val="19"/>
        </w:numPr>
        <w:jc w:val="both"/>
      </w:pPr>
      <w:r>
        <w:t xml:space="preserve">uveďte, aké prínosy očakávate od participácii na projekte, aké nadväzujúce aktivity predpokladáte uskutočniť po skončení projektu, </w:t>
      </w:r>
      <w:r w:rsidR="002501EE">
        <w:t>aké využitie získaných informácií, vedomostí predpokladáte/odporúčate pre ministerstvo, v práci vášho pracoviska</w:t>
      </w:r>
    </w:p>
    <w:p w14:paraId="6BD9D47F" w14:textId="0F5B15C5" w:rsidR="00892B17" w:rsidRDefault="00892B17" w:rsidP="00892B17">
      <w:pPr>
        <w:pStyle w:val="Nadpis3"/>
      </w:pPr>
      <w:r>
        <w:t>Súlad s dlhodobým zámerom vysokej školy, príslušnej súčasti</w:t>
      </w:r>
    </w:p>
    <w:p w14:paraId="3A870609" w14:textId="77777777" w:rsidR="00892B17" w:rsidRDefault="00892B17" w:rsidP="009E0377">
      <w:pPr>
        <w:pStyle w:val="Odsekzoznamu"/>
        <w:numPr>
          <w:ilvl w:val="0"/>
          <w:numId w:val="19"/>
        </w:numPr>
        <w:jc w:val="both"/>
      </w:pPr>
      <w:r>
        <w:t>Uveďte konkrétne odseky/ciele z dlhodobého zámeru vysokej školy  / fakulty, ktorých naplnenie sa projektom podporuje. Uveďte aj konkrétny odkaz na dlhodobý zámer na webovom sídle vysokej školy / fakulty. Stručne okomentujte napĺňanie dlhodobého zámeru predloženým projektom.</w:t>
      </w:r>
    </w:p>
    <w:p w14:paraId="700F2067" w14:textId="32CC9187" w:rsidR="00892B17" w:rsidRDefault="00892B17" w:rsidP="002501EE">
      <w:pPr>
        <w:pStyle w:val="Nadpis3"/>
      </w:pPr>
      <w:r>
        <w:t>Rozpočet a komentár k</w:t>
      </w:r>
      <w:r w:rsidR="002501EE">
        <w:t> </w:t>
      </w:r>
      <w:r>
        <w:t>rozpočtu</w:t>
      </w:r>
    </w:p>
    <w:p w14:paraId="76BE0CB6" w14:textId="2AC43807" w:rsidR="002501EE" w:rsidRPr="002501EE" w:rsidRDefault="002501EE" w:rsidP="009E0377">
      <w:pPr>
        <w:pStyle w:val="Odsekzoznamu"/>
        <w:numPr>
          <w:ilvl w:val="0"/>
          <w:numId w:val="19"/>
        </w:numPr>
        <w:jc w:val="both"/>
      </w:pPr>
      <w:r>
        <w:t>Zostavte rozpočet</w:t>
      </w:r>
      <w:r w:rsidR="001964C9">
        <w:t xml:space="preserve"> vami zabezpečovaných aktivít</w:t>
      </w:r>
      <w:r>
        <w:t xml:space="preserve">. V rozpočte uveďte celkový rozpočet projektu, teda vrátane spolufinancovania žiadateľa. Rozpočet rozdeľte podľa jednotlivých aktivít a podľa jednotlivých rokov. Presun finančných prostriedkov nepoužitých v roku 2015 do roku 2016 je možný. Úprava rozpočtu </w:t>
      </w:r>
      <w:r w:rsidR="001964C9">
        <w:t xml:space="preserve">(presun medzi položkami) </w:t>
      </w:r>
      <w:r>
        <w:t>v rámci implementácie projektu je možná po posúdení a odsúhlasení ministerstvom.</w:t>
      </w:r>
    </w:p>
    <w:p w14:paraId="5A983665" w14:textId="7DA2A6F8" w:rsidR="0074559C" w:rsidRDefault="0074559C" w:rsidP="009E057A">
      <w:r>
        <w:t>Tabuľka k rozpočtu:</w:t>
      </w:r>
    </w:p>
    <w:p w14:paraId="3AF7288A" w14:textId="2DDFB448" w:rsidR="0074559C" w:rsidRPr="00E522CE" w:rsidRDefault="00053E98" w:rsidP="009E057A">
      <w:pPr>
        <w:rPr>
          <w:b/>
        </w:rPr>
      </w:pPr>
      <w:r>
        <w:rPr>
          <w:b/>
        </w:rPr>
        <w:t>Rok 2015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2501EE" w14:paraId="2081EF9A" w14:textId="77777777" w:rsidTr="0074559C">
        <w:tc>
          <w:tcPr>
            <w:tcW w:w="1316" w:type="dxa"/>
          </w:tcPr>
          <w:p w14:paraId="63026FFA" w14:textId="3F45FA38" w:rsidR="002501EE" w:rsidRDefault="002501EE" w:rsidP="009E057A">
            <w:r>
              <w:t>Podpoložka</w:t>
            </w:r>
          </w:p>
        </w:tc>
        <w:tc>
          <w:tcPr>
            <w:tcW w:w="1316" w:type="dxa"/>
          </w:tcPr>
          <w:p w14:paraId="6F8EA5D4" w14:textId="69BC3916" w:rsidR="002501EE" w:rsidRDefault="002501EE" w:rsidP="009E057A">
            <w:r>
              <w:t>Názov</w:t>
            </w:r>
          </w:p>
        </w:tc>
        <w:tc>
          <w:tcPr>
            <w:tcW w:w="1316" w:type="dxa"/>
          </w:tcPr>
          <w:p w14:paraId="4E7CB851" w14:textId="3390A303" w:rsidR="002501EE" w:rsidRDefault="002501EE" w:rsidP="009E057A">
            <w:r>
              <w:t>Aktivita</w:t>
            </w:r>
          </w:p>
        </w:tc>
        <w:tc>
          <w:tcPr>
            <w:tcW w:w="1316" w:type="dxa"/>
          </w:tcPr>
          <w:p w14:paraId="23C56BA7" w14:textId="3CCE6C5F" w:rsidR="002501EE" w:rsidRDefault="002501EE" w:rsidP="009E057A">
            <w:r>
              <w:t>Dotácia</w:t>
            </w:r>
          </w:p>
        </w:tc>
        <w:tc>
          <w:tcPr>
            <w:tcW w:w="1316" w:type="dxa"/>
          </w:tcPr>
          <w:p w14:paraId="67BFBA43" w14:textId="476B352E" w:rsidR="002501EE" w:rsidRDefault="002501EE" w:rsidP="009E057A">
            <w:r>
              <w:t>Iné zdroje</w:t>
            </w:r>
          </w:p>
        </w:tc>
        <w:tc>
          <w:tcPr>
            <w:tcW w:w="1316" w:type="dxa"/>
          </w:tcPr>
          <w:p w14:paraId="415978F4" w14:textId="1102F374" w:rsidR="002501EE" w:rsidRDefault="002501EE" w:rsidP="009E057A">
            <w:r>
              <w:t>Spolu</w:t>
            </w:r>
          </w:p>
        </w:tc>
      </w:tr>
      <w:tr w:rsidR="002501EE" w14:paraId="5836E6BA" w14:textId="77777777" w:rsidTr="0074559C">
        <w:tc>
          <w:tcPr>
            <w:tcW w:w="1316" w:type="dxa"/>
          </w:tcPr>
          <w:p w14:paraId="33D19AF2" w14:textId="42B44CDD" w:rsidR="002501EE" w:rsidRDefault="002501EE" w:rsidP="00C4096D"/>
        </w:tc>
        <w:tc>
          <w:tcPr>
            <w:tcW w:w="1316" w:type="dxa"/>
          </w:tcPr>
          <w:p w14:paraId="0B321201" w14:textId="7F2B7F01" w:rsidR="002501EE" w:rsidRDefault="002501EE" w:rsidP="009E057A"/>
        </w:tc>
        <w:tc>
          <w:tcPr>
            <w:tcW w:w="1316" w:type="dxa"/>
          </w:tcPr>
          <w:p w14:paraId="1AE96CE8" w14:textId="65C62FFA" w:rsidR="002501EE" w:rsidRDefault="002501EE" w:rsidP="009E057A"/>
        </w:tc>
        <w:tc>
          <w:tcPr>
            <w:tcW w:w="1316" w:type="dxa"/>
          </w:tcPr>
          <w:p w14:paraId="157AB875" w14:textId="2C26C0FB" w:rsidR="002501EE" w:rsidRDefault="002501EE" w:rsidP="009E057A"/>
        </w:tc>
        <w:tc>
          <w:tcPr>
            <w:tcW w:w="1316" w:type="dxa"/>
          </w:tcPr>
          <w:p w14:paraId="20030F56" w14:textId="79437685" w:rsidR="002501EE" w:rsidRDefault="002501EE" w:rsidP="009E057A"/>
        </w:tc>
        <w:tc>
          <w:tcPr>
            <w:tcW w:w="1316" w:type="dxa"/>
          </w:tcPr>
          <w:p w14:paraId="30701DE0" w14:textId="13F6AC7A" w:rsidR="002501EE" w:rsidRDefault="002501EE" w:rsidP="009E057A"/>
        </w:tc>
      </w:tr>
      <w:tr w:rsidR="002501EE" w14:paraId="35790F47" w14:textId="77777777" w:rsidTr="0074559C">
        <w:tc>
          <w:tcPr>
            <w:tcW w:w="1316" w:type="dxa"/>
          </w:tcPr>
          <w:p w14:paraId="4D3E4AEE" w14:textId="77777777" w:rsidR="002501EE" w:rsidRDefault="002501EE" w:rsidP="009E057A"/>
        </w:tc>
        <w:tc>
          <w:tcPr>
            <w:tcW w:w="1316" w:type="dxa"/>
          </w:tcPr>
          <w:p w14:paraId="69CD72BC" w14:textId="77777777" w:rsidR="002501EE" w:rsidRDefault="002501EE" w:rsidP="009E057A"/>
        </w:tc>
        <w:tc>
          <w:tcPr>
            <w:tcW w:w="1316" w:type="dxa"/>
          </w:tcPr>
          <w:p w14:paraId="09B7942E" w14:textId="77777777" w:rsidR="002501EE" w:rsidRDefault="002501EE" w:rsidP="009E057A"/>
        </w:tc>
        <w:tc>
          <w:tcPr>
            <w:tcW w:w="1316" w:type="dxa"/>
          </w:tcPr>
          <w:p w14:paraId="700F64C3" w14:textId="77777777" w:rsidR="002501EE" w:rsidRDefault="002501EE" w:rsidP="009E057A"/>
        </w:tc>
        <w:tc>
          <w:tcPr>
            <w:tcW w:w="1316" w:type="dxa"/>
          </w:tcPr>
          <w:p w14:paraId="199975D1" w14:textId="77777777" w:rsidR="002501EE" w:rsidRDefault="002501EE" w:rsidP="009E057A"/>
        </w:tc>
        <w:tc>
          <w:tcPr>
            <w:tcW w:w="1316" w:type="dxa"/>
          </w:tcPr>
          <w:p w14:paraId="2F4998D6" w14:textId="77777777" w:rsidR="002501EE" w:rsidRDefault="002501EE" w:rsidP="009E057A"/>
        </w:tc>
      </w:tr>
      <w:tr w:rsidR="002501EE" w14:paraId="63F7F822" w14:textId="77777777" w:rsidTr="0074559C">
        <w:tc>
          <w:tcPr>
            <w:tcW w:w="1316" w:type="dxa"/>
          </w:tcPr>
          <w:p w14:paraId="004BDFDA" w14:textId="580A8CBD" w:rsidR="002501EE" w:rsidRDefault="002501EE" w:rsidP="00114F5E">
            <w:r>
              <w:t>Spolu</w:t>
            </w:r>
          </w:p>
        </w:tc>
        <w:tc>
          <w:tcPr>
            <w:tcW w:w="1316" w:type="dxa"/>
          </w:tcPr>
          <w:p w14:paraId="79D7657D" w14:textId="77777777" w:rsidR="002501EE" w:rsidRDefault="002501EE" w:rsidP="009E057A"/>
        </w:tc>
        <w:tc>
          <w:tcPr>
            <w:tcW w:w="1316" w:type="dxa"/>
          </w:tcPr>
          <w:p w14:paraId="575D6E90" w14:textId="77777777" w:rsidR="002501EE" w:rsidRDefault="002501EE" w:rsidP="009E057A"/>
        </w:tc>
        <w:tc>
          <w:tcPr>
            <w:tcW w:w="1316" w:type="dxa"/>
          </w:tcPr>
          <w:p w14:paraId="36D34557" w14:textId="7DD4A066" w:rsidR="002501EE" w:rsidRDefault="002501EE" w:rsidP="009E057A">
            <w:r>
              <w:t>Súčet1</w:t>
            </w:r>
          </w:p>
        </w:tc>
        <w:tc>
          <w:tcPr>
            <w:tcW w:w="1316" w:type="dxa"/>
          </w:tcPr>
          <w:p w14:paraId="6217FCD6" w14:textId="30F6D940" w:rsidR="002501EE" w:rsidRDefault="002501EE" w:rsidP="009E057A">
            <w:r>
              <w:t>Súčet2</w:t>
            </w:r>
          </w:p>
        </w:tc>
        <w:tc>
          <w:tcPr>
            <w:tcW w:w="1316" w:type="dxa"/>
          </w:tcPr>
          <w:p w14:paraId="4D4B7C9A" w14:textId="0B328456" w:rsidR="002501EE" w:rsidRDefault="002501EE" w:rsidP="009E057A">
            <w:r>
              <w:t>Súčet3</w:t>
            </w:r>
          </w:p>
        </w:tc>
      </w:tr>
    </w:tbl>
    <w:p w14:paraId="77E74082" w14:textId="0C34AAEC" w:rsidR="0074559C" w:rsidRPr="00E522CE" w:rsidRDefault="00E522CE" w:rsidP="009E057A">
      <w:pPr>
        <w:rPr>
          <w:b/>
        </w:rPr>
      </w:pPr>
      <w:r w:rsidRPr="00E522CE">
        <w:rPr>
          <w:b/>
        </w:rPr>
        <w:t xml:space="preserve">Rok </w:t>
      </w:r>
      <w:r w:rsidR="00053E98">
        <w:rPr>
          <w:b/>
        </w:rPr>
        <w:t>2016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2501EE" w14:paraId="24DE8582" w14:textId="77777777" w:rsidTr="00D057B9">
        <w:tc>
          <w:tcPr>
            <w:tcW w:w="1316" w:type="dxa"/>
          </w:tcPr>
          <w:p w14:paraId="51B32431" w14:textId="01941DC8" w:rsidR="002501EE" w:rsidRDefault="002501EE" w:rsidP="00D057B9">
            <w:r>
              <w:t>Podpoložka</w:t>
            </w:r>
          </w:p>
        </w:tc>
        <w:tc>
          <w:tcPr>
            <w:tcW w:w="1316" w:type="dxa"/>
          </w:tcPr>
          <w:p w14:paraId="60803DFF" w14:textId="076F7ACE" w:rsidR="002501EE" w:rsidRDefault="002501EE" w:rsidP="00D057B9">
            <w:r>
              <w:t>Názov</w:t>
            </w:r>
          </w:p>
        </w:tc>
        <w:tc>
          <w:tcPr>
            <w:tcW w:w="1316" w:type="dxa"/>
          </w:tcPr>
          <w:p w14:paraId="32D74371" w14:textId="1D74D8AD" w:rsidR="002501EE" w:rsidRDefault="002501EE" w:rsidP="00D057B9">
            <w:r>
              <w:t>Aktivita</w:t>
            </w:r>
          </w:p>
        </w:tc>
        <w:tc>
          <w:tcPr>
            <w:tcW w:w="1316" w:type="dxa"/>
          </w:tcPr>
          <w:p w14:paraId="34DAC31F" w14:textId="305F949D" w:rsidR="002501EE" w:rsidRDefault="002501EE" w:rsidP="00D057B9">
            <w:r>
              <w:t>Dotácia</w:t>
            </w:r>
          </w:p>
        </w:tc>
        <w:tc>
          <w:tcPr>
            <w:tcW w:w="1316" w:type="dxa"/>
          </w:tcPr>
          <w:p w14:paraId="477C55F3" w14:textId="555BF264" w:rsidR="002501EE" w:rsidRDefault="002501EE" w:rsidP="00D057B9">
            <w:r>
              <w:t>Iné zdroje</w:t>
            </w:r>
          </w:p>
        </w:tc>
        <w:tc>
          <w:tcPr>
            <w:tcW w:w="1316" w:type="dxa"/>
          </w:tcPr>
          <w:p w14:paraId="07FA3561" w14:textId="0B813B47" w:rsidR="002501EE" w:rsidRDefault="002501EE" w:rsidP="00D057B9">
            <w:r>
              <w:t>Spolu</w:t>
            </w:r>
          </w:p>
        </w:tc>
      </w:tr>
      <w:tr w:rsidR="002501EE" w14:paraId="1B66977E" w14:textId="77777777" w:rsidTr="00D057B9">
        <w:tc>
          <w:tcPr>
            <w:tcW w:w="1316" w:type="dxa"/>
          </w:tcPr>
          <w:p w14:paraId="07B499B5" w14:textId="77777777" w:rsidR="002501EE" w:rsidRDefault="002501EE" w:rsidP="00D057B9"/>
        </w:tc>
        <w:tc>
          <w:tcPr>
            <w:tcW w:w="1316" w:type="dxa"/>
          </w:tcPr>
          <w:p w14:paraId="36796130" w14:textId="77777777" w:rsidR="002501EE" w:rsidRDefault="002501EE" w:rsidP="00D057B9"/>
        </w:tc>
        <w:tc>
          <w:tcPr>
            <w:tcW w:w="1316" w:type="dxa"/>
          </w:tcPr>
          <w:p w14:paraId="69923D43" w14:textId="77777777" w:rsidR="002501EE" w:rsidRDefault="002501EE" w:rsidP="00D057B9"/>
        </w:tc>
        <w:tc>
          <w:tcPr>
            <w:tcW w:w="1316" w:type="dxa"/>
          </w:tcPr>
          <w:p w14:paraId="3695E9B1" w14:textId="77777777" w:rsidR="002501EE" w:rsidRDefault="002501EE" w:rsidP="00D057B9"/>
        </w:tc>
        <w:tc>
          <w:tcPr>
            <w:tcW w:w="1316" w:type="dxa"/>
          </w:tcPr>
          <w:p w14:paraId="30330F2E" w14:textId="77777777" w:rsidR="002501EE" w:rsidRDefault="002501EE" w:rsidP="00D057B9"/>
        </w:tc>
        <w:tc>
          <w:tcPr>
            <w:tcW w:w="1316" w:type="dxa"/>
          </w:tcPr>
          <w:p w14:paraId="31DA366C" w14:textId="77777777" w:rsidR="002501EE" w:rsidRDefault="002501EE" w:rsidP="00D057B9"/>
        </w:tc>
      </w:tr>
      <w:tr w:rsidR="002501EE" w14:paraId="60FE79A0" w14:textId="77777777" w:rsidTr="00D057B9">
        <w:tc>
          <w:tcPr>
            <w:tcW w:w="1316" w:type="dxa"/>
          </w:tcPr>
          <w:p w14:paraId="49CE7079" w14:textId="77777777" w:rsidR="002501EE" w:rsidRDefault="002501EE" w:rsidP="00D057B9"/>
        </w:tc>
        <w:tc>
          <w:tcPr>
            <w:tcW w:w="1316" w:type="dxa"/>
          </w:tcPr>
          <w:p w14:paraId="0FBDB88A" w14:textId="77777777" w:rsidR="002501EE" w:rsidRDefault="002501EE" w:rsidP="00D057B9"/>
        </w:tc>
        <w:tc>
          <w:tcPr>
            <w:tcW w:w="1316" w:type="dxa"/>
          </w:tcPr>
          <w:p w14:paraId="7C5D2CCB" w14:textId="77777777" w:rsidR="002501EE" w:rsidRDefault="002501EE" w:rsidP="00D057B9"/>
        </w:tc>
        <w:tc>
          <w:tcPr>
            <w:tcW w:w="1316" w:type="dxa"/>
          </w:tcPr>
          <w:p w14:paraId="2CEA3922" w14:textId="77777777" w:rsidR="002501EE" w:rsidRDefault="002501EE" w:rsidP="00D057B9"/>
        </w:tc>
        <w:tc>
          <w:tcPr>
            <w:tcW w:w="1316" w:type="dxa"/>
          </w:tcPr>
          <w:p w14:paraId="309E88D9" w14:textId="77777777" w:rsidR="002501EE" w:rsidRDefault="002501EE" w:rsidP="00D057B9"/>
        </w:tc>
        <w:tc>
          <w:tcPr>
            <w:tcW w:w="1316" w:type="dxa"/>
          </w:tcPr>
          <w:p w14:paraId="4CF4A8D9" w14:textId="77777777" w:rsidR="002501EE" w:rsidRDefault="002501EE" w:rsidP="00D057B9"/>
        </w:tc>
      </w:tr>
      <w:tr w:rsidR="002501EE" w14:paraId="2E4B5131" w14:textId="77777777" w:rsidTr="00D057B9">
        <w:tc>
          <w:tcPr>
            <w:tcW w:w="1316" w:type="dxa"/>
          </w:tcPr>
          <w:p w14:paraId="1D8CE570" w14:textId="01FC7672" w:rsidR="002501EE" w:rsidRDefault="002501EE" w:rsidP="00D057B9">
            <w:r>
              <w:t>Spolu</w:t>
            </w:r>
          </w:p>
        </w:tc>
        <w:tc>
          <w:tcPr>
            <w:tcW w:w="1316" w:type="dxa"/>
          </w:tcPr>
          <w:p w14:paraId="414ACC42" w14:textId="77777777" w:rsidR="002501EE" w:rsidRDefault="002501EE" w:rsidP="00D057B9"/>
        </w:tc>
        <w:tc>
          <w:tcPr>
            <w:tcW w:w="1316" w:type="dxa"/>
          </w:tcPr>
          <w:p w14:paraId="6D8AE042" w14:textId="77777777" w:rsidR="002501EE" w:rsidRDefault="002501EE" w:rsidP="00D057B9"/>
        </w:tc>
        <w:tc>
          <w:tcPr>
            <w:tcW w:w="1316" w:type="dxa"/>
          </w:tcPr>
          <w:p w14:paraId="7E3F7191" w14:textId="60D18544" w:rsidR="002501EE" w:rsidRDefault="002501EE" w:rsidP="00D057B9">
            <w:r>
              <w:t>Súčet4</w:t>
            </w:r>
          </w:p>
        </w:tc>
        <w:tc>
          <w:tcPr>
            <w:tcW w:w="1316" w:type="dxa"/>
          </w:tcPr>
          <w:p w14:paraId="62F4B61E" w14:textId="60F27C36" w:rsidR="002501EE" w:rsidRDefault="002501EE" w:rsidP="00D057B9">
            <w:r>
              <w:t>Súčet5</w:t>
            </w:r>
          </w:p>
        </w:tc>
        <w:tc>
          <w:tcPr>
            <w:tcW w:w="1316" w:type="dxa"/>
          </w:tcPr>
          <w:p w14:paraId="60FB9335" w14:textId="5193FCC8" w:rsidR="002501EE" w:rsidRDefault="002501EE" w:rsidP="00D057B9">
            <w:r>
              <w:t>Súčet6</w:t>
            </w:r>
          </w:p>
        </w:tc>
      </w:tr>
    </w:tbl>
    <w:p w14:paraId="6BFB8973" w14:textId="77777777" w:rsidR="00053E98" w:rsidRDefault="00053E98" w:rsidP="009E057A">
      <w:pPr>
        <w:rPr>
          <w:b/>
        </w:rPr>
      </w:pPr>
    </w:p>
    <w:p w14:paraId="5CD73354" w14:textId="4CF5A496" w:rsidR="00C4096D" w:rsidRPr="00E522CE" w:rsidRDefault="00C4096D" w:rsidP="009E057A">
      <w:pPr>
        <w:rPr>
          <w:b/>
        </w:rPr>
      </w:pPr>
      <w:r w:rsidRPr="00E522CE">
        <w:rPr>
          <w:b/>
        </w:rPr>
        <w:t>Sumár</w:t>
      </w:r>
      <w:r w:rsidR="009E0377">
        <w:rPr>
          <w:b/>
        </w:rPr>
        <w:t xml:space="preserve"> (vyplňte podfarbené položky) – rozpočet odporúčame zostaviť a doručiť vo forme tabuľky vytvorenej tabuľkovým </w:t>
      </w:r>
      <w:r w:rsidR="00EC31FF">
        <w:rPr>
          <w:b/>
        </w:rPr>
        <w:t>procesorom).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71"/>
      </w:tblGrid>
      <w:tr w:rsidR="00114F5E" w14:paraId="3981E10C" w14:textId="77777777" w:rsidTr="00114F5E">
        <w:tc>
          <w:tcPr>
            <w:tcW w:w="2303" w:type="dxa"/>
          </w:tcPr>
          <w:p w14:paraId="6091AA60" w14:textId="7B8F8F85" w:rsidR="00114F5E" w:rsidRDefault="00114F5E" w:rsidP="009E057A"/>
        </w:tc>
        <w:tc>
          <w:tcPr>
            <w:tcW w:w="2303" w:type="dxa"/>
          </w:tcPr>
          <w:p w14:paraId="4F42060E" w14:textId="1CC9871F" w:rsidR="00114F5E" w:rsidRDefault="00E522CE" w:rsidP="009E057A">
            <w:r>
              <w:t>D</w:t>
            </w:r>
            <w:r w:rsidR="00114F5E">
              <w:t>otácia</w:t>
            </w:r>
          </w:p>
        </w:tc>
        <w:tc>
          <w:tcPr>
            <w:tcW w:w="2303" w:type="dxa"/>
          </w:tcPr>
          <w:p w14:paraId="32EF377B" w14:textId="4B664149" w:rsidR="00114F5E" w:rsidRDefault="00114F5E" w:rsidP="009E057A">
            <w:r>
              <w:t>Iné zdroje</w:t>
            </w:r>
          </w:p>
        </w:tc>
        <w:tc>
          <w:tcPr>
            <w:tcW w:w="2303" w:type="dxa"/>
          </w:tcPr>
          <w:p w14:paraId="1E302ED8" w14:textId="7107350B" w:rsidR="00114F5E" w:rsidRDefault="00114F5E" w:rsidP="009E057A">
            <w:r>
              <w:t>Spolu</w:t>
            </w:r>
          </w:p>
        </w:tc>
      </w:tr>
      <w:tr w:rsidR="00114F5E" w14:paraId="7FA56CB3" w14:textId="77777777" w:rsidTr="00053E98">
        <w:tc>
          <w:tcPr>
            <w:tcW w:w="2303" w:type="dxa"/>
          </w:tcPr>
          <w:p w14:paraId="46A35543" w14:textId="604F6534" w:rsidR="00114F5E" w:rsidRDefault="00053E98" w:rsidP="009E057A">
            <w:r>
              <w:t>Rok 2015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030AC542" w14:textId="0435DEE7" w:rsidR="00114F5E" w:rsidRDefault="00114F5E" w:rsidP="009E057A">
            <w:r>
              <w:t>Súčet1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4F3E2741" w14:textId="21B4E4D0" w:rsidR="00114F5E" w:rsidRDefault="00114F5E" w:rsidP="009E057A">
            <w:r>
              <w:t>Súčet2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1E74BDE3" w14:textId="33BACF70" w:rsidR="00114F5E" w:rsidRDefault="00114F5E" w:rsidP="009E057A">
            <w:r>
              <w:t>Súčet3</w:t>
            </w:r>
          </w:p>
        </w:tc>
      </w:tr>
      <w:tr w:rsidR="00114F5E" w14:paraId="7B7908A1" w14:textId="77777777" w:rsidTr="00053E98">
        <w:tc>
          <w:tcPr>
            <w:tcW w:w="2303" w:type="dxa"/>
          </w:tcPr>
          <w:p w14:paraId="08481AEC" w14:textId="60EA66BD" w:rsidR="00114F5E" w:rsidRDefault="00053E98" w:rsidP="009E057A">
            <w:r>
              <w:t xml:space="preserve">Rok 2016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3D8801" w14:textId="47775F2F" w:rsidR="00114F5E" w:rsidRDefault="00114F5E" w:rsidP="009E057A">
            <w:r>
              <w:t>Súčet4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977803" w14:textId="038314AB" w:rsidR="00114F5E" w:rsidRDefault="00114F5E" w:rsidP="009E057A">
            <w:r>
              <w:t>Súčet5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E3E947" w14:textId="1ADA2839" w:rsidR="00114F5E" w:rsidRDefault="00114F5E" w:rsidP="009E057A">
            <w:r>
              <w:t>Súčet6</w:t>
            </w:r>
          </w:p>
        </w:tc>
      </w:tr>
      <w:tr w:rsidR="00114F5E" w14:paraId="241884CD" w14:textId="77777777" w:rsidTr="00053E98">
        <w:tc>
          <w:tcPr>
            <w:tcW w:w="2303" w:type="dxa"/>
          </w:tcPr>
          <w:p w14:paraId="0A80528A" w14:textId="5BAB7108" w:rsidR="00114F5E" w:rsidRDefault="00114F5E" w:rsidP="009E057A">
            <w:r>
              <w:t>Nepriame náklady</w:t>
            </w:r>
          </w:p>
        </w:tc>
        <w:tc>
          <w:tcPr>
            <w:tcW w:w="2303" w:type="dxa"/>
            <w:tcBorders>
              <w:tl2br w:val="single" w:sz="4" w:space="0" w:color="auto"/>
            </w:tcBorders>
          </w:tcPr>
          <w:p w14:paraId="77EB314D" w14:textId="10936BAC" w:rsidR="00114F5E" w:rsidRDefault="00114F5E" w:rsidP="009E057A"/>
        </w:tc>
        <w:tc>
          <w:tcPr>
            <w:tcW w:w="2303" w:type="dxa"/>
            <w:tcBorders>
              <w:tl2br w:val="single" w:sz="4" w:space="0" w:color="auto"/>
            </w:tcBorders>
          </w:tcPr>
          <w:p w14:paraId="14CF4785" w14:textId="77777777" w:rsidR="00114F5E" w:rsidRDefault="00114F5E" w:rsidP="009E057A"/>
        </w:tc>
        <w:tc>
          <w:tcPr>
            <w:tcW w:w="2303" w:type="dxa"/>
            <w:tcBorders>
              <w:tl2br w:val="nil"/>
            </w:tcBorders>
            <w:shd w:val="clear" w:color="auto" w:fill="EAF1DD" w:themeFill="accent3" w:themeFillTint="33"/>
          </w:tcPr>
          <w:p w14:paraId="6EF76632" w14:textId="6B77008E" w:rsidR="00114F5E" w:rsidRPr="00053E98" w:rsidRDefault="00053E98" w:rsidP="009E057A">
            <w:r w:rsidRPr="00053E98">
              <w:t>0,15*(súčet3+súčet6)</w:t>
            </w:r>
          </w:p>
        </w:tc>
      </w:tr>
      <w:tr w:rsidR="00114F5E" w14:paraId="764CC0FA" w14:textId="77777777" w:rsidTr="00053E98">
        <w:tc>
          <w:tcPr>
            <w:tcW w:w="2303" w:type="dxa"/>
          </w:tcPr>
          <w:p w14:paraId="7941DA0F" w14:textId="12E129A0" w:rsidR="00114F5E" w:rsidRDefault="00114F5E" w:rsidP="009E057A">
            <w:r>
              <w:t>Dotácia celkom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E5775D8" w14:textId="05460DCA" w:rsidR="00114F5E" w:rsidRDefault="00053E98" w:rsidP="009E057A">
            <w:r w:rsidRPr="00053E98">
              <w:rPr>
                <w:shd w:val="clear" w:color="auto" w:fill="EAF1DD" w:themeFill="accent3" w:themeFillTint="33"/>
              </w:rPr>
              <w:t>Súčet1+Súčet4</w:t>
            </w:r>
          </w:p>
        </w:tc>
        <w:tc>
          <w:tcPr>
            <w:tcW w:w="2303" w:type="dxa"/>
          </w:tcPr>
          <w:p w14:paraId="2C50DE2D" w14:textId="7CF82FF4" w:rsidR="00114F5E" w:rsidRDefault="00114F5E" w:rsidP="009E057A">
            <w:r>
              <w:t>Rozpočet celkom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35681DD2" w14:textId="35E71873" w:rsidR="00114F5E" w:rsidRPr="00053E98" w:rsidRDefault="00053E98" w:rsidP="00053E98">
            <w:r>
              <w:t>1,15*(</w:t>
            </w:r>
            <w:r w:rsidR="00114F5E" w:rsidRPr="00053E98">
              <w:t xml:space="preserve"> súčet3+súčet6</w:t>
            </w:r>
            <w:r>
              <w:t>)</w:t>
            </w:r>
          </w:p>
        </w:tc>
      </w:tr>
      <w:tr w:rsidR="004F2A71" w14:paraId="7377F5E4" w14:textId="77777777" w:rsidTr="00053E98">
        <w:tc>
          <w:tcPr>
            <w:tcW w:w="6909" w:type="dxa"/>
            <w:gridSpan w:val="3"/>
          </w:tcPr>
          <w:p w14:paraId="63AC4F4B" w14:textId="2D879D9D" w:rsidR="004F2A71" w:rsidRDefault="004F2A71" w:rsidP="009E057A">
            <w:r>
              <w:t>Miera spolufinancovania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46AE249" w14:textId="4015EE19" w:rsidR="004F2A71" w:rsidRDefault="00053E98" w:rsidP="00053E98">
            <w:r>
              <w:t>(Súčet1+súčet4)</w:t>
            </w:r>
            <w:r w:rsidR="004F2A71">
              <w:t>/</w:t>
            </w:r>
            <w:r>
              <w:t xml:space="preserve">(1,15*( </w:t>
            </w:r>
            <w:r w:rsidR="004F2A71">
              <w:t>súčet3+súčet6</w:t>
            </w:r>
            <w:r>
              <w:t>))</w:t>
            </w:r>
          </w:p>
        </w:tc>
      </w:tr>
    </w:tbl>
    <w:p w14:paraId="3847807B" w14:textId="77777777" w:rsidR="00E522CE" w:rsidRDefault="00E522CE" w:rsidP="009E057A"/>
    <w:p w14:paraId="7D5F5E4D" w14:textId="2A18CF91" w:rsidR="0074559C" w:rsidRDefault="00E522CE" w:rsidP="009E057A">
      <w:r>
        <w:lastRenderedPageBreak/>
        <w:t xml:space="preserve">V prípade vybraných položiek postačuje rozpočet na úrovni položky (napr. 610, 620). </w:t>
      </w:r>
    </w:p>
    <w:p w14:paraId="393FA7F4" w14:textId="4889BAD5" w:rsidR="00892B17" w:rsidRDefault="00892B17" w:rsidP="009E057A">
      <w:r>
        <w:t>Formou komentáru objasnite, ako ste dospeli k jednotlivým položkám rozpočtu (napr. predpokladaný počet hodín práce x hodinová sadzba).</w:t>
      </w:r>
    </w:p>
    <w:p w14:paraId="764F9F06" w14:textId="4A0D02C8" w:rsidR="007F4BB3" w:rsidRDefault="00E522CE" w:rsidP="007F4BB3">
      <w:pPr>
        <w:pStyle w:val="Nadpis2"/>
      </w:pPr>
      <w:r>
        <w:t>K</w:t>
      </w:r>
      <w:r w:rsidR="007F4BB3">
        <w:t>ritériá hodnotenia</w:t>
      </w:r>
    </w:p>
    <w:p w14:paraId="0A090B11" w14:textId="1DC45F16" w:rsidR="00114F5E" w:rsidRPr="00FB2265" w:rsidRDefault="00114F5E" w:rsidP="00836053">
      <w:pPr>
        <w:pStyle w:val="Nadpis3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806D5F" w14:paraId="206E24EA" w14:textId="77777777" w:rsidTr="00806D5F">
        <w:tc>
          <w:tcPr>
            <w:tcW w:w="1101" w:type="dxa"/>
          </w:tcPr>
          <w:p w14:paraId="129B1A39" w14:textId="5EFEEA93" w:rsidR="00806D5F" w:rsidRPr="00806D5F" w:rsidRDefault="00806D5F" w:rsidP="001921C5">
            <w:pPr>
              <w:jc w:val="center"/>
            </w:pPr>
            <w:r>
              <w:t xml:space="preserve">0 - </w:t>
            </w:r>
            <w:r w:rsidR="001921C5">
              <w:t>4</w:t>
            </w:r>
            <w:r w:rsidR="002501EE">
              <w:t>0</w:t>
            </w:r>
          </w:p>
        </w:tc>
        <w:tc>
          <w:tcPr>
            <w:tcW w:w="8111" w:type="dxa"/>
          </w:tcPr>
          <w:p w14:paraId="6349C742" w14:textId="45CF18C5" w:rsidR="00806D5F" w:rsidRPr="00806D5F" w:rsidRDefault="00806D5F" w:rsidP="001921C5">
            <w:pPr>
              <w:jc w:val="both"/>
            </w:pPr>
            <w:r w:rsidRPr="00FB2265">
              <w:rPr>
                <w:b/>
              </w:rPr>
              <w:t>Personálne zabezpečenie projektu</w:t>
            </w:r>
            <w:r w:rsidR="009779A4">
              <w:t xml:space="preserve"> – H</w:t>
            </w:r>
            <w:r>
              <w:t>odnotí sa veľkosť, štruktúra a kvalifikovanosť projektového tímu</w:t>
            </w:r>
            <w:r w:rsidR="002501EE">
              <w:t xml:space="preserve">, zastupiteľnosť zodpovedného riešiteľa iným členom tímu, predchádzajúca profilácia na problematiku vybraného </w:t>
            </w:r>
            <w:r w:rsidR="001921C5">
              <w:t>projektu OECD a súčasne vytváranie budúcich kapacít na riešenie predmetnej problematiky (zapojenie doktorandov, začínajúcich vysokoškolských učiteľov/výskumných pracovníkov). Obzvlášť sa posudzuje predchádzajúce zapojenie na medzinár</w:t>
            </w:r>
            <w:r w:rsidR="00700BA9">
              <w:t>odných projektoch a potenciál  aktívnej participácie</w:t>
            </w:r>
            <w:r w:rsidR="001921C5">
              <w:t xml:space="preserve"> na projekte OECD.</w:t>
            </w:r>
          </w:p>
        </w:tc>
      </w:tr>
      <w:tr w:rsidR="00FB2265" w14:paraId="3378425B" w14:textId="77777777" w:rsidTr="00806D5F">
        <w:tc>
          <w:tcPr>
            <w:tcW w:w="1101" w:type="dxa"/>
          </w:tcPr>
          <w:p w14:paraId="1401B980" w14:textId="75C903DC" w:rsidR="00FB2265" w:rsidRDefault="00F96B09" w:rsidP="00FB2265">
            <w:pPr>
              <w:jc w:val="center"/>
            </w:pPr>
            <w:r>
              <w:t>0 -  25</w:t>
            </w:r>
          </w:p>
        </w:tc>
        <w:tc>
          <w:tcPr>
            <w:tcW w:w="8111" w:type="dxa"/>
          </w:tcPr>
          <w:p w14:paraId="21361960" w14:textId="5BEDC360" w:rsidR="00FB2265" w:rsidRDefault="001921C5" w:rsidP="00700BA9">
            <w:pPr>
              <w:jc w:val="both"/>
            </w:pPr>
            <w:r>
              <w:rPr>
                <w:b/>
              </w:rPr>
              <w:t>Konzistentnosť</w:t>
            </w:r>
            <w:r w:rsidR="00C647FA" w:rsidRPr="00C647FA">
              <w:rPr>
                <w:b/>
              </w:rPr>
              <w:t xml:space="preserve"> projektu </w:t>
            </w:r>
            <w:r w:rsidR="00FB2265">
              <w:t xml:space="preserve">– Hodnotí sa, či </w:t>
            </w:r>
            <w:r>
              <w:t xml:space="preserve">spôsob implementácie podporuje dosiahnutie cieľov projektu OECD, vhodnosť vybraných metód, </w:t>
            </w:r>
            <w:r w:rsidR="00700BA9">
              <w:t xml:space="preserve">efektívnosť </w:t>
            </w:r>
            <w:r>
              <w:t>personálneho zabezpečenia a súlad rozpočtu projektu, komentáru k</w:t>
            </w:r>
            <w:r w:rsidR="001964C9">
              <w:t xml:space="preserve"> rozpočtu </w:t>
            </w:r>
            <w:r>
              <w:t>s </w:t>
            </w:r>
            <w:r w:rsidR="001964C9">
              <w:t>uvedenými</w:t>
            </w:r>
            <w:r>
              <w:t xml:space="preserve"> aktivitami</w:t>
            </w:r>
            <w:r w:rsidR="001964C9">
              <w:t>, pokrytie všetkých predpokladaných aktivít projektu OECD</w:t>
            </w:r>
            <w:r w:rsidR="00700BA9">
              <w:t>, ale aj efektívnosť rozpočtu</w:t>
            </w:r>
            <w:r w:rsidR="001964C9">
              <w:t>.</w:t>
            </w:r>
          </w:p>
        </w:tc>
      </w:tr>
      <w:tr w:rsidR="00FB2265" w14:paraId="49D700E4" w14:textId="77777777" w:rsidTr="00806D5F">
        <w:tc>
          <w:tcPr>
            <w:tcW w:w="1101" w:type="dxa"/>
          </w:tcPr>
          <w:p w14:paraId="644B9320" w14:textId="78D79EE5" w:rsidR="00FB2265" w:rsidRDefault="00FB2265" w:rsidP="00FB2265">
            <w:pPr>
              <w:jc w:val="center"/>
            </w:pPr>
            <w:r>
              <w:t xml:space="preserve">0 – 10 </w:t>
            </w:r>
          </w:p>
        </w:tc>
        <w:tc>
          <w:tcPr>
            <w:tcW w:w="8111" w:type="dxa"/>
          </w:tcPr>
          <w:p w14:paraId="4258202C" w14:textId="5BBB608A" w:rsidR="00FB2265" w:rsidRDefault="008B6DBE" w:rsidP="008B6DBE">
            <w:pPr>
              <w:jc w:val="both"/>
            </w:pPr>
            <w:r>
              <w:rPr>
                <w:b/>
              </w:rPr>
              <w:t xml:space="preserve">Spoluúčasť </w:t>
            </w:r>
            <w:r w:rsidR="00FB2265">
              <w:t xml:space="preserve">–  </w:t>
            </w:r>
            <w:r>
              <w:t>Hodnotí sa, aký podiel nákladov aktivít projektu bude riešiteľ financovať z iných zdrojov ako z dotácie na rozvojový projekt.</w:t>
            </w:r>
          </w:p>
        </w:tc>
      </w:tr>
      <w:tr w:rsidR="001921C5" w14:paraId="4F193732" w14:textId="77777777" w:rsidTr="00806D5F">
        <w:tc>
          <w:tcPr>
            <w:tcW w:w="1101" w:type="dxa"/>
          </w:tcPr>
          <w:p w14:paraId="2B4B293F" w14:textId="32EB04BE" w:rsidR="001921C5" w:rsidRDefault="001921C5" w:rsidP="00FB2265">
            <w:pPr>
              <w:jc w:val="center"/>
            </w:pPr>
            <w:r>
              <w:t>0 – 20</w:t>
            </w:r>
          </w:p>
        </w:tc>
        <w:tc>
          <w:tcPr>
            <w:tcW w:w="8111" w:type="dxa"/>
          </w:tcPr>
          <w:p w14:paraId="7D7A1233" w14:textId="7C3583A3" w:rsidR="001921C5" w:rsidRDefault="00EC31FF" w:rsidP="001921C5">
            <w:pPr>
              <w:jc w:val="both"/>
              <w:rPr>
                <w:b/>
              </w:rPr>
            </w:pPr>
            <w:r>
              <w:rPr>
                <w:b/>
              </w:rPr>
              <w:t>Udržateľnosť aktivít</w:t>
            </w:r>
            <w:r w:rsidR="001921C5">
              <w:t xml:space="preserve"> – hodnotí sa potenciál žiadateľa a konkrétne plánované aktivity žiadateľa, ktoré zabezpečia nadväzujúce aktivity po skončení projektu OECD, diseminácie jeho výsledkov, ďalšie rozpracovanie témy, využitie pre slovenský vzdelávací systém</w:t>
            </w:r>
          </w:p>
        </w:tc>
      </w:tr>
      <w:tr w:rsidR="001921C5" w14:paraId="09D50E28" w14:textId="77777777" w:rsidTr="00806D5F">
        <w:tc>
          <w:tcPr>
            <w:tcW w:w="1101" w:type="dxa"/>
          </w:tcPr>
          <w:p w14:paraId="0B2DB2AE" w14:textId="11487465" w:rsidR="001921C5" w:rsidRDefault="001921C5" w:rsidP="00FB2265">
            <w:pPr>
              <w:jc w:val="center"/>
            </w:pPr>
            <w:r>
              <w:t>0 – 5</w:t>
            </w:r>
          </w:p>
        </w:tc>
        <w:tc>
          <w:tcPr>
            <w:tcW w:w="8111" w:type="dxa"/>
          </w:tcPr>
          <w:p w14:paraId="732C696A" w14:textId="6F5FBCBF" w:rsidR="001921C5" w:rsidRPr="00FB2265" w:rsidRDefault="001921C5" w:rsidP="00700BA9">
            <w:pPr>
              <w:jc w:val="both"/>
              <w:rPr>
                <w:b/>
              </w:rPr>
            </w:pPr>
            <w:r>
              <w:rPr>
                <w:b/>
              </w:rPr>
              <w:t xml:space="preserve">Súlad s dlhodobým zámerom vysokej školy </w:t>
            </w:r>
            <w:r>
              <w:t>– hodnotí sa, či vysoká škola / fakulta má  medzinárodnú spoluprácu vo výskume, osobitne v</w:t>
            </w:r>
            <w:r w:rsidR="00700BA9">
              <w:t> oblasti OECD projektu</w:t>
            </w:r>
            <w:r>
              <w:t>, ako súčasť dlhodobého zámeru.</w:t>
            </w:r>
          </w:p>
        </w:tc>
      </w:tr>
    </w:tbl>
    <w:p w14:paraId="6989B505" w14:textId="77777777" w:rsidR="00122697" w:rsidRDefault="00122697" w:rsidP="00114F5E">
      <w:pPr>
        <w:jc w:val="both"/>
        <w:rPr>
          <w:u w:val="single"/>
        </w:rPr>
      </w:pPr>
    </w:p>
    <w:p w14:paraId="5268EA94" w14:textId="77777777" w:rsidR="007F4BB3" w:rsidRDefault="007F4BB3" w:rsidP="007F4BB3">
      <w:pPr>
        <w:pStyle w:val="Nadpis2"/>
      </w:pPr>
      <w:r>
        <w:t>Záverečné ustanovenia</w:t>
      </w:r>
    </w:p>
    <w:p w14:paraId="1DFC0796" w14:textId="7FC6B5F3" w:rsidR="007F4BB3" w:rsidRDefault="007F4BB3" w:rsidP="007F4BB3">
      <w:pPr>
        <w:jc w:val="both"/>
      </w:pPr>
      <w:r>
        <w:t xml:space="preserve">V prípade otázok k výzve kontaktujte odbor vysokoškolského vzdelávania: </w:t>
      </w:r>
      <w:hyperlink r:id="rId14" w:history="1">
        <w:r w:rsidRPr="0020320A">
          <w:rPr>
            <w:rStyle w:val="Hypertextovprepojenie"/>
          </w:rPr>
          <w:t>odbor.vsv@minedu.sk</w:t>
        </w:r>
      </w:hyperlink>
      <w:r>
        <w:t xml:space="preserve">. Ministerstvo zverejní jednotlivé žiadosti, zoznam žiadateľov, ktorým bola schválená dotácia, ako aj zoznam neúspešných žiadateľov.  </w:t>
      </w:r>
    </w:p>
    <w:p w14:paraId="68BBB478" w14:textId="13D9763F" w:rsidR="007F4BB3" w:rsidRDefault="007F4BB3" w:rsidP="007F4BB3">
      <w:pPr>
        <w:jc w:val="both"/>
      </w:pPr>
      <w:r>
        <w:t>Zverejnený časový harmonogram je indikatívny. Na poskytnutie dotácie nie je právny nárok. Ministerstvo si vyhradzuje právo nepodporiť ani jeden z podaných projektov v niektorej téme ako aj poskytnúť dotácie na projekty v celkovo nižšej ako alokovanej sume.</w:t>
      </w:r>
      <w:r w:rsidR="006C6B51">
        <w:t xml:space="preserve"> Projekty, ktoré nesplnia základné podmienky (</w:t>
      </w:r>
      <w:r w:rsidR="00030D4D">
        <w:t>napr. nesplnenie požiadaviek na žiadateľa, prekročenie rozpočtu vyčleneného na výzvu, a pod.</w:t>
      </w:r>
      <w:r w:rsidR="006C6B51">
        <w:t>) budú zamietnuté</w:t>
      </w:r>
      <w:r w:rsidR="0016775B">
        <w:t xml:space="preserve"> bez hodnotenia</w:t>
      </w:r>
      <w:r w:rsidR="006C6B51">
        <w:t>.</w:t>
      </w:r>
    </w:p>
    <w:p w14:paraId="22AB73B6" w14:textId="4E0DBE5D" w:rsidR="0016775B" w:rsidRDefault="0016775B" w:rsidP="007F4BB3">
      <w:pPr>
        <w:jc w:val="both"/>
      </w:pPr>
      <w:r>
        <w:t xml:space="preserve">Schválené v Bratislave </w:t>
      </w:r>
      <w:r w:rsidR="00B06C73">
        <w:t>6. februára 2015</w:t>
      </w:r>
    </w:p>
    <w:p w14:paraId="6BCA01EA" w14:textId="7BDD6F4A" w:rsidR="0016775B" w:rsidRDefault="0016775B" w:rsidP="0016775B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C73">
        <w:t>Juraj Draxler</w:t>
      </w:r>
      <w:r>
        <w:t>,</w:t>
      </w:r>
    </w:p>
    <w:p w14:paraId="32DC5EB7" w14:textId="6B97B043" w:rsidR="0016775B" w:rsidRDefault="0016775B" w:rsidP="0016775B">
      <w:pPr>
        <w:pStyle w:val="Bezriadkovania"/>
      </w:pPr>
      <w:r>
        <w:tab/>
      </w:r>
      <w:r>
        <w:tab/>
      </w:r>
      <w:r>
        <w:tab/>
      </w:r>
      <w:r>
        <w:tab/>
      </w:r>
      <w:r>
        <w:tab/>
        <w:t>minister, školstva, vedy, výskumu a</w:t>
      </w:r>
      <w:r w:rsidR="000A383D">
        <w:t> </w:t>
      </w:r>
      <w:r>
        <w:t>športu</w:t>
      </w:r>
    </w:p>
    <w:p w14:paraId="79CBD27C" w14:textId="77777777" w:rsidR="000A383D" w:rsidRDefault="000A383D" w:rsidP="0016775B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3"/>
        <w:gridCol w:w="2365"/>
        <w:gridCol w:w="1125"/>
        <w:gridCol w:w="1266"/>
        <w:gridCol w:w="2093"/>
        <w:gridCol w:w="1156"/>
      </w:tblGrid>
      <w:tr w:rsidR="0016775B" w14:paraId="0AFF3F59" w14:textId="77777777" w:rsidTr="0016775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271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Funkcia: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928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Meno, priezvisko: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E89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80CB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Funkcia: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91C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Meno, priezvisko: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E4E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Podpis: </w:t>
            </w:r>
          </w:p>
        </w:tc>
      </w:tr>
      <w:tr w:rsidR="0016775B" w14:paraId="491B2300" w14:textId="77777777" w:rsidTr="0016775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FA4B" w14:textId="77777777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Spracovateľ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B97" w14:textId="779204F2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Jozef Jurkovič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2DF" w14:textId="77777777" w:rsidR="0016775B" w:rsidRDefault="0016775B" w:rsidP="00B73A1E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B7E2" w14:textId="3B9B8275" w:rsidR="0016775B" w:rsidRDefault="00B06C73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 IVP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EE5" w14:textId="11C6C000" w:rsidR="0016775B" w:rsidRDefault="00B06C73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Matej Šiškovič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034" w14:textId="77777777" w:rsidR="0016775B" w:rsidRDefault="0016775B" w:rsidP="00B73A1E">
            <w:pPr>
              <w:rPr>
                <w:rFonts w:ascii="Times New Roman" w:hAnsi="Times New Roman"/>
              </w:rPr>
            </w:pPr>
          </w:p>
        </w:tc>
      </w:tr>
      <w:tr w:rsidR="0016775B" w14:paraId="6FEEEAD5" w14:textId="77777777" w:rsidTr="0016775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976F" w14:textId="706F035F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E65" w14:textId="37D4BA5D" w:rsidR="0016775B" w:rsidRDefault="0016775B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Peter Plavčan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710" w14:textId="77777777" w:rsidR="0016775B" w:rsidRDefault="0016775B" w:rsidP="00B73A1E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9A5" w14:textId="772548C6" w:rsidR="0016775B" w:rsidRDefault="00EC31FF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GRS FaR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7B2" w14:textId="76A5C8D0" w:rsidR="0016775B" w:rsidRDefault="00EC31FF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 Bizoňová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D1" w14:textId="77777777" w:rsidR="0016775B" w:rsidRDefault="0016775B" w:rsidP="00B73A1E">
            <w:pPr>
              <w:rPr>
                <w:rFonts w:ascii="Times New Roman" w:hAnsi="Times New Roman"/>
              </w:rPr>
            </w:pPr>
          </w:p>
        </w:tc>
      </w:tr>
      <w:tr w:rsidR="000A383D" w14:paraId="05BEEC3D" w14:textId="77777777" w:rsidTr="0016775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947" w14:textId="3405FD97" w:rsidR="000A383D" w:rsidRDefault="000A383D" w:rsidP="00B73A1E">
            <w:pPr>
              <w:rPr>
                <w:rFonts w:ascii="Times New Roman" w:hAnsi="Times New Roman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1D8" w14:textId="79036C2E" w:rsidR="000A383D" w:rsidRDefault="000A383D" w:rsidP="00B73A1E">
            <w:pPr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F7D" w14:textId="77777777" w:rsidR="000A383D" w:rsidRDefault="000A383D" w:rsidP="00B73A1E">
            <w:pPr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0B5" w14:textId="2B920E91" w:rsidR="000A383D" w:rsidRDefault="000A383D" w:rsidP="00B73A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 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B29" w14:textId="77777777" w:rsidR="000A383D" w:rsidRDefault="000A383D" w:rsidP="00B73A1E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3F4" w14:textId="77777777" w:rsidR="000A383D" w:rsidRDefault="000A383D" w:rsidP="00B73A1E">
            <w:pPr>
              <w:rPr>
                <w:rFonts w:ascii="Times New Roman" w:hAnsi="Times New Roman"/>
              </w:rPr>
            </w:pPr>
          </w:p>
        </w:tc>
      </w:tr>
    </w:tbl>
    <w:p w14:paraId="25FF3495" w14:textId="4180D2A4" w:rsidR="007F4BB3" w:rsidRPr="009E057A" w:rsidRDefault="007F4BB3" w:rsidP="000A383D"/>
    <w:sectPr w:rsidR="007F4BB3" w:rsidRPr="009E057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639FF" w14:textId="77777777" w:rsidR="005619F9" w:rsidRDefault="005619F9" w:rsidP="00282344">
      <w:pPr>
        <w:spacing w:after="0" w:line="240" w:lineRule="auto"/>
      </w:pPr>
      <w:r>
        <w:separator/>
      </w:r>
    </w:p>
  </w:endnote>
  <w:endnote w:type="continuationSeparator" w:id="0">
    <w:p w14:paraId="20B76ED1" w14:textId="77777777" w:rsidR="005619F9" w:rsidRDefault="005619F9" w:rsidP="002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504065"/>
      <w:docPartObj>
        <w:docPartGallery w:val="Page Numbers (Bottom of Page)"/>
        <w:docPartUnique/>
      </w:docPartObj>
    </w:sdtPr>
    <w:sdtEndPr/>
    <w:sdtContent>
      <w:p w14:paraId="3CEFB52F" w14:textId="3E20F5D2" w:rsidR="00D057B9" w:rsidRDefault="00D057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9C">
          <w:rPr>
            <w:noProof/>
          </w:rPr>
          <w:t>1</w:t>
        </w:r>
        <w:r>
          <w:fldChar w:fldCharType="end"/>
        </w:r>
      </w:p>
    </w:sdtContent>
  </w:sdt>
  <w:p w14:paraId="589060AF" w14:textId="77777777" w:rsidR="00D057B9" w:rsidRDefault="00D057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67CF5" w14:textId="77777777" w:rsidR="005619F9" w:rsidRDefault="005619F9" w:rsidP="00282344">
      <w:pPr>
        <w:spacing w:after="0" w:line="240" w:lineRule="auto"/>
      </w:pPr>
      <w:r>
        <w:separator/>
      </w:r>
    </w:p>
  </w:footnote>
  <w:footnote w:type="continuationSeparator" w:id="0">
    <w:p w14:paraId="5197FD4E" w14:textId="77777777" w:rsidR="005619F9" w:rsidRDefault="005619F9" w:rsidP="0028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3D5"/>
    <w:multiLevelType w:val="hybridMultilevel"/>
    <w:tmpl w:val="347A89D8"/>
    <w:lvl w:ilvl="0" w:tplc="AA32C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3439"/>
    <w:multiLevelType w:val="hybridMultilevel"/>
    <w:tmpl w:val="E16EFC5E"/>
    <w:lvl w:ilvl="0" w:tplc="DA14B9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83948"/>
    <w:multiLevelType w:val="hybridMultilevel"/>
    <w:tmpl w:val="FDF8BF02"/>
    <w:lvl w:ilvl="0" w:tplc="55F62E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77BE"/>
    <w:multiLevelType w:val="hybridMultilevel"/>
    <w:tmpl w:val="E22A2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67A02"/>
    <w:multiLevelType w:val="hybridMultilevel"/>
    <w:tmpl w:val="2F924D6E"/>
    <w:lvl w:ilvl="0" w:tplc="85F69E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8">
    <w:nsid w:val="2BC96B79"/>
    <w:multiLevelType w:val="hybridMultilevel"/>
    <w:tmpl w:val="EF6A6C1C"/>
    <w:lvl w:ilvl="0" w:tplc="A9A254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1B6E"/>
    <w:multiLevelType w:val="hybridMultilevel"/>
    <w:tmpl w:val="AF7E18C0"/>
    <w:lvl w:ilvl="0" w:tplc="D2520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26601"/>
    <w:multiLevelType w:val="hybridMultilevel"/>
    <w:tmpl w:val="774AB7E6"/>
    <w:lvl w:ilvl="0" w:tplc="8CC620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1118D"/>
    <w:multiLevelType w:val="hybridMultilevel"/>
    <w:tmpl w:val="7E088212"/>
    <w:lvl w:ilvl="0" w:tplc="81B814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C1D60"/>
    <w:multiLevelType w:val="hybridMultilevel"/>
    <w:tmpl w:val="E24888AA"/>
    <w:lvl w:ilvl="0" w:tplc="BCACC3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08D8"/>
    <w:multiLevelType w:val="hybridMultilevel"/>
    <w:tmpl w:val="C9D45824"/>
    <w:lvl w:ilvl="0" w:tplc="393C3A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835E1"/>
    <w:multiLevelType w:val="hybridMultilevel"/>
    <w:tmpl w:val="6A34E63A"/>
    <w:lvl w:ilvl="0" w:tplc="110EA18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22BF"/>
    <w:multiLevelType w:val="hybridMultilevel"/>
    <w:tmpl w:val="39DE5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14381"/>
    <w:multiLevelType w:val="hybridMultilevel"/>
    <w:tmpl w:val="01FC82FC"/>
    <w:lvl w:ilvl="0" w:tplc="A32EC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E6698"/>
    <w:multiLevelType w:val="hybridMultilevel"/>
    <w:tmpl w:val="E22A2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"/>
  </w:num>
  <w:num w:numId="5">
    <w:abstractNumId w:val="15"/>
  </w:num>
  <w:num w:numId="6">
    <w:abstractNumId w:val="0"/>
  </w:num>
  <w:num w:numId="7">
    <w:abstractNumId w:val="18"/>
  </w:num>
  <w:num w:numId="8">
    <w:abstractNumId w:val="5"/>
  </w:num>
  <w:num w:numId="9">
    <w:abstractNumId w:val="16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7A"/>
    <w:rsid w:val="00030D4D"/>
    <w:rsid w:val="00053E98"/>
    <w:rsid w:val="00066103"/>
    <w:rsid w:val="000A383D"/>
    <w:rsid w:val="000E0604"/>
    <w:rsid w:val="000E48C3"/>
    <w:rsid w:val="000F3994"/>
    <w:rsid w:val="001004E8"/>
    <w:rsid w:val="00114F5E"/>
    <w:rsid w:val="001176CF"/>
    <w:rsid w:val="00122697"/>
    <w:rsid w:val="00124ED4"/>
    <w:rsid w:val="0014351E"/>
    <w:rsid w:val="0015215B"/>
    <w:rsid w:val="0016775B"/>
    <w:rsid w:val="00172F41"/>
    <w:rsid w:val="00185B87"/>
    <w:rsid w:val="001921C5"/>
    <w:rsid w:val="001964C9"/>
    <w:rsid w:val="002241E2"/>
    <w:rsid w:val="002440D9"/>
    <w:rsid w:val="002501EE"/>
    <w:rsid w:val="00270BC9"/>
    <w:rsid w:val="00282344"/>
    <w:rsid w:val="0028592B"/>
    <w:rsid w:val="002E1A1C"/>
    <w:rsid w:val="0030249F"/>
    <w:rsid w:val="003A71CB"/>
    <w:rsid w:val="003C6374"/>
    <w:rsid w:val="00422743"/>
    <w:rsid w:val="00426162"/>
    <w:rsid w:val="0044366A"/>
    <w:rsid w:val="004806D5"/>
    <w:rsid w:val="004A2198"/>
    <w:rsid w:val="004F2A71"/>
    <w:rsid w:val="0051269D"/>
    <w:rsid w:val="005167E0"/>
    <w:rsid w:val="00544E8D"/>
    <w:rsid w:val="005619F9"/>
    <w:rsid w:val="0057600A"/>
    <w:rsid w:val="005764B9"/>
    <w:rsid w:val="00590D2A"/>
    <w:rsid w:val="00663A1B"/>
    <w:rsid w:val="00672F1E"/>
    <w:rsid w:val="0069007D"/>
    <w:rsid w:val="006C6B51"/>
    <w:rsid w:val="00700BA9"/>
    <w:rsid w:val="0074559C"/>
    <w:rsid w:val="007514CF"/>
    <w:rsid w:val="00791A80"/>
    <w:rsid w:val="00791E2B"/>
    <w:rsid w:val="007A3FDD"/>
    <w:rsid w:val="007D08E5"/>
    <w:rsid w:val="007F4BB3"/>
    <w:rsid w:val="00801CEA"/>
    <w:rsid w:val="00806D5F"/>
    <w:rsid w:val="00821A8A"/>
    <w:rsid w:val="00836053"/>
    <w:rsid w:val="00841B9B"/>
    <w:rsid w:val="008468DA"/>
    <w:rsid w:val="008518F2"/>
    <w:rsid w:val="00881ED0"/>
    <w:rsid w:val="00892B17"/>
    <w:rsid w:val="008B6DBE"/>
    <w:rsid w:val="00974391"/>
    <w:rsid w:val="00974C93"/>
    <w:rsid w:val="009779A4"/>
    <w:rsid w:val="009C11EF"/>
    <w:rsid w:val="009C78DE"/>
    <w:rsid w:val="009E0377"/>
    <w:rsid w:val="009E057A"/>
    <w:rsid w:val="00A012C3"/>
    <w:rsid w:val="00A17094"/>
    <w:rsid w:val="00A966FE"/>
    <w:rsid w:val="00AE103E"/>
    <w:rsid w:val="00AE77D9"/>
    <w:rsid w:val="00B02D25"/>
    <w:rsid w:val="00B06C73"/>
    <w:rsid w:val="00B311E9"/>
    <w:rsid w:val="00B440DF"/>
    <w:rsid w:val="00B849E5"/>
    <w:rsid w:val="00BE6AA5"/>
    <w:rsid w:val="00BF539C"/>
    <w:rsid w:val="00BF7ED0"/>
    <w:rsid w:val="00C257C1"/>
    <w:rsid w:val="00C4096D"/>
    <w:rsid w:val="00C60CEA"/>
    <w:rsid w:val="00C647FA"/>
    <w:rsid w:val="00C67AAA"/>
    <w:rsid w:val="00C8419E"/>
    <w:rsid w:val="00C91A5B"/>
    <w:rsid w:val="00CB04A3"/>
    <w:rsid w:val="00CD5F3C"/>
    <w:rsid w:val="00D057B9"/>
    <w:rsid w:val="00D22848"/>
    <w:rsid w:val="00D51988"/>
    <w:rsid w:val="00DB059C"/>
    <w:rsid w:val="00DE46C4"/>
    <w:rsid w:val="00DF2BF3"/>
    <w:rsid w:val="00E522CE"/>
    <w:rsid w:val="00E74C2F"/>
    <w:rsid w:val="00E81438"/>
    <w:rsid w:val="00E95F7F"/>
    <w:rsid w:val="00EB3BFB"/>
    <w:rsid w:val="00EC31FF"/>
    <w:rsid w:val="00EE14BE"/>
    <w:rsid w:val="00EF734A"/>
    <w:rsid w:val="00F4097C"/>
    <w:rsid w:val="00F70981"/>
    <w:rsid w:val="00F96B09"/>
    <w:rsid w:val="00FB2265"/>
    <w:rsid w:val="00FC3628"/>
    <w:rsid w:val="00FE7C89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4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E0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0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6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9E0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E0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9E057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2274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0661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2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2344"/>
  </w:style>
  <w:style w:type="paragraph" w:styleId="Pta">
    <w:name w:val="footer"/>
    <w:basedOn w:val="Normlny"/>
    <w:link w:val="PtaChar"/>
    <w:uiPriority w:val="99"/>
    <w:unhideWhenUsed/>
    <w:rsid w:val="002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2344"/>
  </w:style>
  <w:style w:type="character" w:styleId="Odkaznakomentr">
    <w:name w:val="annotation reference"/>
    <w:basedOn w:val="Predvolenpsmoodseku"/>
    <w:uiPriority w:val="99"/>
    <w:semiHidden/>
    <w:unhideWhenUsed/>
    <w:rsid w:val="002E1A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1A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1A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A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A1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A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67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E0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0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66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9E0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E0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9E057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2274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0661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2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2344"/>
  </w:style>
  <w:style w:type="paragraph" w:styleId="Pta">
    <w:name w:val="footer"/>
    <w:basedOn w:val="Normlny"/>
    <w:link w:val="PtaChar"/>
    <w:uiPriority w:val="99"/>
    <w:unhideWhenUsed/>
    <w:rsid w:val="0028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2344"/>
  </w:style>
  <w:style w:type="character" w:styleId="Odkaznakomentr">
    <w:name w:val="annotation reference"/>
    <w:basedOn w:val="Predvolenpsmoodseku"/>
    <w:uiPriority w:val="99"/>
    <w:semiHidden/>
    <w:unhideWhenUsed/>
    <w:rsid w:val="002E1A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1A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1A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A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A1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A1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67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7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ecd.org/edu/ceri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dbor.vsv@minedu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dbor.vsv@min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C1E7D131245459CDBF9AC4B705096" ma:contentTypeVersion="0" ma:contentTypeDescription="Umožňuje vytvoriť nový dokument." ma:contentTypeScope="" ma:versionID="0ba8fa1a3a868b972a1ec1d712af6b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BBE4-BF02-4C7D-AE13-9D4356585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2A927-D7F7-4C53-B0A5-2CE17EC0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BEED-998E-415E-921D-0AB66051D25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65E39B5-C369-42A0-A5F5-2B1D5665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 Jozef</dc:creator>
  <cp:lastModifiedBy>Jurkovič Jozef</cp:lastModifiedBy>
  <cp:revision>5</cp:revision>
  <cp:lastPrinted>2015-02-06T07:46:00Z</cp:lastPrinted>
  <dcterms:created xsi:type="dcterms:W3CDTF">2015-02-03T07:33:00Z</dcterms:created>
  <dcterms:modified xsi:type="dcterms:W3CDTF">2015-02-06T07:49:00Z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0x010100DF8C1E7D131245459CDBF9AC4B705096</vt:lpwstr>
  </property>
</Properties>
</file>