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D86AB" w14:textId="516AF914" w:rsidR="008D19D2" w:rsidRPr="008D19D2" w:rsidRDefault="008D19D2" w:rsidP="008D19D2">
      <w:pPr>
        <w:jc w:val="center"/>
        <w:rPr>
          <w:b/>
        </w:rPr>
      </w:pPr>
      <w:r w:rsidRPr="008D19D2">
        <w:rPr>
          <w:b/>
        </w:rPr>
        <w:t>Spoločné merateľné ukazovatele</w:t>
      </w:r>
    </w:p>
    <w:p w14:paraId="78EC4731" w14:textId="77777777" w:rsidR="008D19D2" w:rsidRDefault="00584FC5" w:rsidP="008D19D2">
      <w:pPr>
        <w:jc w:val="both"/>
      </w:pPr>
      <w:r>
        <w:t>Spoločné merateľné ukazovatele Spoločné ukazovatele majú za cieľ sledovať pokrok pri dosahovaní cieľov Mechanizmu v rámci implementácie reforiem a investícií zahrnutých do Plánu obnovy a odolnosti SR.</w:t>
      </w:r>
    </w:p>
    <w:p w14:paraId="7412DBCB" w14:textId="77777777" w:rsidR="008D19D2" w:rsidRDefault="00584FC5" w:rsidP="008D19D2">
      <w:pPr>
        <w:jc w:val="both"/>
      </w:pPr>
      <w:r>
        <w:t>Všetky spoločné ukazovatele sú zadefinované ako ukazovatele „výsledku“. Ukazovatele výsledku idú nad rámec ukazovateľov výstupu, pretože sa snažia zachytiť zmenu celkovej situácie a účinky tejto zmeny na subjekty prijímajúce podporu, napr. na cieľové skupiny obyvateľstva alebo podniky (t. j. občania využívajúcich dodatočnú ochranu pred klimatickými zmenami a prírodnými</w:t>
      </w:r>
      <w:bookmarkStart w:id="0" w:name="_GoBack"/>
      <w:bookmarkEnd w:id="0"/>
      <w:r>
        <w:t xml:space="preserve"> katastrofami, občania používajúci nové verejné digitálne služby, občania participujúci na školeniach atď.). </w:t>
      </w:r>
    </w:p>
    <w:p w14:paraId="5D1CE7A1" w14:textId="77777777" w:rsidR="008D19D2" w:rsidRDefault="00584FC5" w:rsidP="008D19D2">
      <w:pPr>
        <w:jc w:val="both"/>
      </w:pPr>
      <w:r>
        <w:t>Cieľom vykazovania spoločných ukazovateľov je zachytiť pozitívny vplyv realizovaných opatrení. Pri stanovení hodnoty ukazovateľa by malo byť zabezpečené, aby subjekt (osoba, podnik) bol vykazovaný iba raz za opatrenie za vykazované obdobie, bez ohľadu na to, koľkokrát</w:t>
      </w:r>
      <w:r>
        <w:rPr>
          <w:rStyle w:val="Odkaznapoznmkupodiarou"/>
        </w:rPr>
        <w:footnoteReference w:id="1"/>
      </w:r>
      <w:r>
        <w:t xml:space="preserve"> dostane podporu alebo koľkokrát sa zúčastní na konkrétnom opatrení v rámci implementácie Plánu obnovy a odolnosti SR, pokiaľ nie je v definícii ukazovateľa uvedené inak. </w:t>
      </w:r>
    </w:p>
    <w:p w14:paraId="42675C17" w14:textId="77777777" w:rsidR="008D19D2" w:rsidRDefault="00584FC5" w:rsidP="008D19D2">
      <w:pPr>
        <w:jc w:val="both"/>
      </w:pPr>
      <w:r>
        <w:t>Naopak, subjekty, ktoré získavajú podporu v rámci odlišných opatrení sa započítavajú samostatne</w:t>
      </w:r>
      <w:r>
        <w:rPr>
          <w:rStyle w:val="Odkaznapoznmkupodiarou"/>
        </w:rPr>
        <w:footnoteReference w:id="2"/>
      </w:r>
      <w:r>
        <w:t xml:space="preserve">. </w:t>
      </w:r>
    </w:p>
    <w:p w14:paraId="22D26D17" w14:textId="1244B13B" w:rsidR="00584FC5" w:rsidRDefault="00584FC5" w:rsidP="008D19D2">
      <w:pPr>
        <w:jc w:val="both"/>
      </w:pPr>
      <w:r>
        <w:t>Pokiaľ sa v rámci opatrenia poskytuje podpora dlhodobo, subjekt prijímajúci podporu sa započíta raz za celé relevantné obdobie</w:t>
      </w:r>
      <w:r>
        <w:rPr>
          <w:rStyle w:val="Odkaznapoznmkupodiarou"/>
        </w:rPr>
        <w:footnoteReference w:id="3"/>
      </w:r>
      <w:r>
        <w:t>.</w:t>
      </w:r>
    </w:p>
    <w:p w14:paraId="5C1E8D31" w14:textId="77777777" w:rsidR="00584FC5" w:rsidRDefault="00584FC5" w:rsidP="008D19D2">
      <w:pPr>
        <w:jc w:val="both"/>
      </w:pPr>
      <w:r>
        <w:t xml:space="preserve">Východiskové hodnoty spoločných ukazovateľov budú </w:t>
      </w:r>
      <w:r w:rsidRPr="008D19D2">
        <w:rPr>
          <w:b/>
        </w:rPr>
        <w:t>vždy 0</w:t>
      </w:r>
      <w:r>
        <w:t xml:space="preserve">. Následné hodnoty budú závisieť od povahy ukazovateľa: </w:t>
      </w:r>
    </w:p>
    <w:p w14:paraId="0AA52FE7" w14:textId="7E2B64D7" w:rsidR="00584FC5" w:rsidRDefault="00584FC5" w:rsidP="008D19D2">
      <w:pPr>
        <w:jc w:val="both"/>
      </w:pPr>
      <w:r>
        <w:t xml:space="preserve">− stavový – východisková hodnota bude aktualizovaná v rámci každého podávania správ a bude predstavovať hodnotu dosiahnutú na konci predchádzajúceho vykazovaného obdobia, </w:t>
      </w:r>
    </w:p>
    <w:p w14:paraId="7A44AC3B" w14:textId="1B1B8AB6" w:rsidR="00584FC5" w:rsidRDefault="00584FC5" w:rsidP="008D19D2">
      <w:pPr>
        <w:jc w:val="both"/>
      </w:pPr>
      <w:r>
        <w:t xml:space="preserve">− priebežný – každé vykazované obdobie sa začína východiskovou hodnotou 0. </w:t>
      </w:r>
    </w:p>
    <w:p w14:paraId="37BFDC22" w14:textId="77777777" w:rsidR="00584FC5" w:rsidRDefault="00584FC5" w:rsidP="008D19D2">
      <w:pPr>
        <w:jc w:val="both"/>
      </w:pPr>
    </w:p>
    <w:p w14:paraId="714EE89D" w14:textId="3C0A597E" w:rsidR="00584FC5" w:rsidRDefault="00584FC5" w:rsidP="2830F5E7">
      <w:pPr>
        <w:jc w:val="both"/>
      </w:pPr>
      <w:r>
        <w:t xml:space="preserve">Zoznam spoločných ukazovateľov pre Komponent </w:t>
      </w:r>
      <w:r w:rsidR="00450C65">
        <w:t>8</w:t>
      </w:r>
      <w:r w:rsidR="00F23BF6">
        <w:t>, Investíciu 1</w:t>
      </w:r>
      <w:r>
        <w:t xml:space="preserve"> </w:t>
      </w:r>
    </w:p>
    <w:p w14:paraId="12AECE63" w14:textId="57305A1F" w:rsidR="00450C65" w:rsidRPr="00450C65" w:rsidRDefault="00450C65" w:rsidP="008D19D2">
      <w:pPr>
        <w:jc w:val="both"/>
        <w:rPr>
          <w:b/>
        </w:rPr>
      </w:pPr>
      <w:r w:rsidRPr="00450C65">
        <w:rPr>
          <w:b/>
        </w:rPr>
        <w:t>Úspora ročnej spotreby primárnej energie</w:t>
      </w:r>
    </w:p>
    <w:tbl>
      <w:tblPr>
        <w:tblStyle w:val="Mriekatabuky"/>
        <w:tblW w:w="9067" w:type="dxa"/>
        <w:tblLook w:val="04A0" w:firstRow="1" w:lastRow="0" w:firstColumn="1" w:lastColumn="0" w:noHBand="0" w:noVBand="1"/>
      </w:tblPr>
      <w:tblGrid>
        <w:gridCol w:w="3539"/>
        <w:gridCol w:w="5528"/>
      </w:tblGrid>
      <w:tr w:rsidR="00450C65" w14:paraId="4F213DF7" w14:textId="77777777" w:rsidTr="00450C65">
        <w:tc>
          <w:tcPr>
            <w:tcW w:w="3539" w:type="dxa"/>
          </w:tcPr>
          <w:p w14:paraId="20005578" w14:textId="3681B5C3" w:rsidR="00450C65" w:rsidRDefault="00450C65" w:rsidP="008D19D2">
            <w:pPr>
              <w:jc w:val="both"/>
            </w:pPr>
            <w:r>
              <w:t>Názov spoločného ukazovateľa</w:t>
            </w:r>
          </w:p>
        </w:tc>
        <w:tc>
          <w:tcPr>
            <w:tcW w:w="5528" w:type="dxa"/>
          </w:tcPr>
          <w:p w14:paraId="47DB9CF5" w14:textId="6D3772FD" w:rsidR="00450C65" w:rsidRDefault="00450C65" w:rsidP="008D19D2">
            <w:pPr>
              <w:jc w:val="both"/>
            </w:pPr>
            <w:r>
              <w:t>Úspora ročnej spotreby primárnych zdrojov energie</w:t>
            </w:r>
          </w:p>
        </w:tc>
      </w:tr>
      <w:tr w:rsidR="00450C65" w14:paraId="50DCDEDC" w14:textId="77777777" w:rsidTr="00450C65">
        <w:tc>
          <w:tcPr>
            <w:tcW w:w="3539" w:type="dxa"/>
          </w:tcPr>
          <w:p w14:paraId="49531A33" w14:textId="14CE121A" w:rsidR="00450C65" w:rsidRDefault="00450C65" w:rsidP="008D19D2">
            <w:pPr>
              <w:jc w:val="both"/>
            </w:pPr>
            <w:r>
              <w:t>Jednotka</w:t>
            </w:r>
          </w:p>
        </w:tc>
        <w:tc>
          <w:tcPr>
            <w:tcW w:w="5528" w:type="dxa"/>
          </w:tcPr>
          <w:p w14:paraId="1420FED5" w14:textId="059C6AD2" w:rsidR="00450C65" w:rsidRDefault="00450C65" w:rsidP="008D19D2">
            <w:pPr>
              <w:jc w:val="both"/>
            </w:pPr>
            <w:r>
              <w:t>MWh/rok</w:t>
            </w:r>
          </w:p>
        </w:tc>
      </w:tr>
      <w:tr w:rsidR="00450C65" w14:paraId="59F0BBA8" w14:textId="77777777" w:rsidTr="00450C65">
        <w:tc>
          <w:tcPr>
            <w:tcW w:w="3539" w:type="dxa"/>
          </w:tcPr>
          <w:p w14:paraId="445E8194" w14:textId="57E2DBEE" w:rsidR="00450C65" w:rsidRDefault="00450C65" w:rsidP="008D19D2">
            <w:pPr>
              <w:jc w:val="both"/>
            </w:pPr>
            <w:r>
              <w:t>Typ spoločného ukazovateľa</w:t>
            </w:r>
          </w:p>
        </w:tc>
        <w:tc>
          <w:tcPr>
            <w:tcW w:w="5528" w:type="dxa"/>
          </w:tcPr>
          <w:p w14:paraId="789DD491" w14:textId="16AEC92B" w:rsidR="00450C65" w:rsidRDefault="00450C65" w:rsidP="008D19D2">
            <w:pPr>
              <w:jc w:val="both"/>
            </w:pPr>
            <w:r>
              <w:t>stavový</w:t>
            </w:r>
          </w:p>
        </w:tc>
      </w:tr>
      <w:tr w:rsidR="00450C65" w14:paraId="7EA24546" w14:textId="77777777" w:rsidTr="00450C65">
        <w:tc>
          <w:tcPr>
            <w:tcW w:w="3539" w:type="dxa"/>
          </w:tcPr>
          <w:p w14:paraId="035BF4FA" w14:textId="01F6CE45" w:rsidR="00450C65" w:rsidRDefault="00450C65" w:rsidP="008D19D2">
            <w:pPr>
              <w:jc w:val="both"/>
            </w:pPr>
            <w:r>
              <w:t>Východisková hodnota</w:t>
            </w:r>
          </w:p>
        </w:tc>
        <w:tc>
          <w:tcPr>
            <w:tcW w:w="5528" w:type="dxa"/>
          </w:tcPr>
          <w:p w14:paraId="79D1BF3B" w14:textId="13121617" w:rsidR="00450C65" w:rsidRDefault="00450C65" w:rsidP="008D19D2">
            <w:pPr>
              <w:jc w:val="both"/>
            </w:pPr>
            <w:r>
              <w:t>východisková hodnota bude 0, aktualizovaná bude v rámci každého obdobia podávania správ</w:t>
            </w:r>
            <w:r w:rsidR="00AA31CD">
              <w:t>.</w:t>
            </w:r>
          </w:p>
        </w:tc>
      </w:tr>
      <w:tr w:rsidR="00450C65" w14:paraId="481E7F56" w14:textId="77777777" w:rsidTr="00450C65">
        <w:tc>
          <w:tcPr>
            <w:tcW w:w="3539" w:type="dxa"/>
          </w:tcPr>
          <w:p w14:paraId="32487E99" w14:textId="299866F0" w:rsidR="00450C65" w:rsidRDefault="00450C65" w:rsidP="008D19D2">
            <w:pPr>
              <w:jc w:val="both"/>
            </w:pPr>
            <w:r>
              <w:t>Piliere Mechanizmu na podporu obnovy a odolnosti</w:t>
            </w:r>
          </w:p>
        </w:tc>
        <w:tc>
          <w:tcPr>
            <w:tcW w:w="5528" w:type="dxa"/>
          </w:tcPr>
          <w:p w14:paraId="0EF392E2" w14:textId="77777777" w:rsidR="00034A2E" w:rsidRDefault="00450C65" w:rsidP="008D19D2">
            <w:pPr>
              <w:jc w:val="both"/>
            </w:pPr>
            <w:r>
              <w:t xml:space="preserve">Pilier 1 Zelená transformácia </w:t>
            </w:r>
          </w:p>
          <w:p w14:paraId="222D8A47" w14:textId="5BC77C2C" w:rsidR="00450C65" w:rsidRDefault="00450C65" w:rsidP="008D19D2">
            <w:pPr>
              <w:jc w:val="both"/>
            </w:pPr>
            <w:r>
              <w:t>Pilier 3 Inteligentný, udržateľný a inkluzívny rast, vrátane hospodárskej súdržnosti, tvorby pracovných miest, produktivity, konkurencieschopnosti, výskumu, vývoja a inovácií a dobre fungujúci vnútorný trh podporujúci MSP</w:t>
            </w:r>
            <w:r w:rsidR="00AA31CD">
              <w:t>.</w:t>
            </w:r>
          </w:p>
        </w:tc>
      </w:tr>
      <w:tr w:rsidR="00450C65" w14:paraId="4887E25F" w14:textId="77777777" w:rsidTr="00450C65">
        <w:tc>
          <w:tcPr>
            <w:tcW w:w="3539" w:type="dxa"/>
          </w:tcPr>
          <w:p w14:paraId="5507F343" w14:textId="42536AB8" w:rsidR="00450C65" w:rsidRDefault="00450C65" w:rsidP="008D19D2">
            <w:pPr>
              <w:jc w:val="both"/>
            </w:pPr>
            <w:r>
              <w:lastRenderedPageBreak/>
              <w:t>Definícia a pojmy</w:t>
            </w:r>
          </w:p>
        </w:tc>
        <w:tc>
          <w:tcPr>
            <w:tcW w:w="5528" w:type="dxa"/>
          </w:tcPr>
          <w:p w14:paraId="2D0C3632" w14:textId="7FF8FFAF" w:rsidR="00450C65" w:rsidRDefault="00450C65" w:rsidP="008D19D2">
            <w:pPr>
              <w:jc w:val="both"/>
            </w:pPr>
            <w:r>
              <w:t>Celkové ročné zníženie spotreby primárnych zdrojov energie v prípade podporovaných subjektov, a to prostredníctvom podpory v rámci opatrení mechanizmu. Východiskovou hodnotou je ročná spotreba primárnych zdrojov energie pred intervenciou a dosiahnutou hodnotou je ročná spotreba primárnych zdrojov energie za rok nasledujúci po intervencii. V prípade budov musia byť intervencie dostatočne zdokumentované, aby bolo možné tieto hodnoty vypočítať, napríklad na základe osvedčení o energetickej hospodárnosti alebo iných monitorovacích systémov spĺňajúcich kritériá stanovené v článku 10 ods. 6 smernice Európskeho parlamentu a Rady 2010/31/EÚ(1) (smernica o energetickej hospodárnosti budov). V prípade procesov v podnikoch sa ročná spotreba primárnych zdrojov energie zdokumentuje na základe energetických auditov v súlade s článkom 8 smernice Európskeho parlamentu a Rady 2012/27/EÚ(2) (smernica o energetickej efektívnosti) alebo inými príslušnými technickými špecifikáciami. Verejné budovy sa vymedzujú ako budovy vo vlastníctve verejných orgánov a budovy vo vlastníctve neziskovej organizácie za predpokladu, že tieto subjekty sledujú ciele všeobecného záujmu, ako je vzdelávanie, zdravie, životné prostredie a doprava. Ako príklad možno uviesť budovy verejnej správy, škôl, nemocníc atď.</w:t>
            </w:r>
          </w:p>
        </w:tc>
      </w:tr>
      <w:tr w:rsidR="00450C65" w14:paraId="67BEBC7E" w14:textId="77777777" w:rsidTr="00450C65">
        <w:tc>
          <w:tcPr>
            <w:tcW w:w="3539" w:type="dxa"/>
          </w:tcPr>
          <w:p w14:paraId="200437EC" w14:textId="4C2DE4D7" w:rsidR="00450C65" w:rsidRDefault="00450C65" w:rsidP="008D19D2">
            <w:pPr>
              <w:jc w:val="both"/>
            </w:pPr>
            <w:r>
              <w:t>Čas plnenia</w:t>
            </w:r>
          </w:p>
        </w:tc>
        <w:tc>
          <w:tcPr>
            <w:tcW w:w="5528" w:type="dxa"/>
          </w:tcPr>
          <w:p w14:paraId="5CE2114E" w14:textId="33655DCB" w:rsidR="00450C65" w:rsidRDefault="00450C65" w:rsidP="008D19D2">
            <w:pPr>
              <w:jc w:val="both"/>
            </w:pPr>
            <w:r>
              <w:t>Po dokončení výstupu a vydaní energetického certifikátu, energetického auditu alebo inej relevantnej technickej špecifikácie.</w:t>
            </w:r>
          </w:p>
        </w:tc>
      </w:tr>
      <w:tr w:rsidR="00450C65" w14:paraId="5C4335E0" w14:textId="77777777" w:rsidTr="00450C65">
        <w:tc>
          <w:tcPr>
            <w:tcW w:w="3539" w:type="dxa"/>
          </w:tcPr>
          <w:p w14:paraId="1B5221D7" w14:textId="4D504F03" w:rsidR="00450C65" w:rsidRDefault="00450C65" w:rsidP="008D19D2">
            <w:pPr>
              <w:jc w:val="both"/>
            </w:pPr>
            <w:r>
              <w:t>Metodika pre stanovenie cieľovej hodnoty</w:t>
            </w:r>
          </w:p>
        </w:tc>
        <w:tc>
          <w:tcPr>
            <w:tcW w:w="5528" w:type="dxa"/>
          </w:tcPr>
          <w:p w14:paraId="38E8F672" w14:textId="16F8AB75" w:rsidR="00450C65" w:rsidRDefault="00450C65" w:rsidP="008D19D2">
            <w:pPr>
              <w:jc w:val="both"/>
            </w:pPr>
            <w:r>
              <w:t>Dosiahnutá hodnota by sa mala vypočítať tak, že sa spotreba energie pred zásahom odpočíta od dosiahnutej novej spotreby energie (či už odhadovanej alebo skutočnej) po zásahu. Úspora energie renovovanej jednotky sa započítava len raz, po ukončení zásahu.</w:t>
            </w:r>
          </w:p>
        </w:tc>
      </w:tr>
      <w:tr w:rsidR="00450C65" w14:paraId="6B69C69B" w14:textId="77777777" w:rsidTr="00450C65">
        <w:tc>
          <w:tcPr>
            <w:tcW w:w="3539" w:type="dxa"/>
          </w:tcPr>
          <w:p w14:paraId="1976B0A3" w14:textId="05D10F83" w:rsidR="00450C65" w:rsidRDefault="00450C65" w:rsidP="008D19D2">
            <w:pPr>
              <w:jc w:val="both"/>
            </w:pPr>
            <w:r>
              <w:t>Členenie údajov</w:t>
            </w:r>
          </w:p>
        </w:tc>
        <w:tc>
          <w:tcPr>
            <w:tcW w:w="5528" w:type="dxa"/>
          </w:tcPr>
          <w:p w14:paraId="79632405" w14:textId="4568F9A8" w:rsidR="00450C65" w:rsidRDefault="00450C65" w:rsidP="008D19D2">
            <w:pPr>
              <w:jc w:val="both"/>
            </w:pPr>
            <w:r>
              <w:t>žiadne</w:t>
            </w:r>
          </w:p>
        </w:tc>
      </w:tr>
      <w:tr w:rsidR="00450C65" w14:paraId="4AA81346" w14:textId="77777777" w:rsidTr="00450C65">
        <w:tc>
          <w:tcPr>
            <w:tcW w:w="3539" w:type="dxa"/>
          </w:tcPr>
          <w:p w14:paraId="53F50CA3" w14:textId="48562DBD" w:rsidR="00450C65" w:rsidRDefault="00AA31CD" w:rsidP="008D19D2">
            <w:pPr>
              <w:jc w:val="both"/>
            </w:pPr>
            <w:r>
              <w:t>Referencie</w:t>
            </w:r>
          </w:p>
        </w:tc>
        <w:tc>
          <w:tcPr>
            <w:tcW w:w="5528" w:type="dxa"/>
          </w:tcPr>
          <w:p w14:paraId="619E59D1" w14:textId="77777777" w:rsidR="00034A2E" w:rsidRDefault="00AA31CD" w:rsidP="008D19D2">
            <w:pPr>
              <w:jc w:val="both"/>
            </w:pPr>
            <w:r>
              <w:t xml:space="preserve">Smernica Európskeho parlamentu a Rady 2010/31/EÚ o energetickej hospodárnosti budov. </w:t>
            </w:r>
          </w:p>
          <w:p w14:paraId="7AF2AB71" w14:textId="315694FC" w:rsidR="00450C65" w:rsidRDefault="00AA31CD" w:rsidP="008D19D2">
            <w:pPr>
              <w:jc w:val="both"/>
            </w:pPr>
            <w:r>
              <w:t>Smernica Európskeho parlamentu a Rady (EÚ) 2018/844 z 30. mája 2018, ktorou sa mení a dopĺňa smernica 2010/31/EÚ o energetickej hospodárnosti budov a smernica 2012/27/EÚ o energetickej efektívnosti (Ú. v. EÚ L 156/75, 19.6. .2018) Smernica o energetickej účinnosti (2012/27/EÚ).</w:t>
            </w:r>
          </w:p>
        </w:tc>
      </w:tr>
    </w:tbl>
    <w:p w14:paraId="5803B94C" w14:textId="2B9CF44E" w:rsidR="00034A2E" w:rsidRDefault="00034A2E" w:rsidP="008D19D2">
      <w:pPr>
        <w:jc w:val="both"/>
      </w:pPr>
    </w:p>
    <w:p w14:paraId="3F553059" w14:textId="4E11035F" w:rsidR="00FC60A0" w:rsidRPr="00437EC0" w:rsidRDefault="00437EC0" w:rsidP="008D19D2">
      <w:pPr>
        <w:jc w:val="both"/>
        <w:rPr>
          <w:b/>
        </w:rPr>
      </w:pPr>
      <w:r w:rsidRPr="00437EC0">
        <w:rPr>
          <w:b/>
        </w:rPr>
        <w:t>Používatelia nových a modernizovaných verejných digitálnych služieb, produktov a procesov</w:t>
      </w:r>
    </w:p>
    <w:tbl>
      <w:tblPr>
        <w:tblStyle w:val="Mriekatabuky"/>
        <w:tblW w:w="9067" w:type="dxa"/>
        <w:tblLook w:val="04A0" w:firstRow="1" w:lastRow="0" w:firstColumn="1" w:lastColumn="0" w:noHBand="0" w:noVBand="1"/>
      </w:tblPr>
      <w:tblGrid>
        <w:gridCol w:w="3539"/>
        <w:gridCol w:w="5528"/>
      </w:tblGrid>
      <w:tr w:rsidR="00FC60A0" w14:paraId="104C54F4" w14:textId="77777777" w:rsidTr="00F601BD">
        <w:tc>
          <w:tcPr>
            <w:tcW w:w="3539" w:type="dxa"/>
          </w:tcPr>
          <w:p w14:paraId="29A6605C" w14:textId="77777777" w:rsidR="00FC60A0" w:rsidRDefault="00FC60A0" w:rsidP="00F601BD">
            <w:pPr>
              <w:jc w:val="both"/>
            </w:pPr>
            <w:r>
              <w:t>Názov spoločného ukazovateľa</w:t>
            </w:r>
          </w:p>
        </w:tc>
        <w:tc>
          <w:tcPr>
            <w:tcW w:w="5528" w:type="dxa"/>
          </w:tcPr>
          <w:p w14:paraId="6ECB8222" w14:textId="4459187F" w:rsidR="00FC60A0" w:rsidRDefault="00437EC0" w:rsidP="00F601BD">
            <w:pPr>
              <w:jc w:val="both"/>
            </w:pPr>
            <w:r w:rsidRPr="00437EC0">
              <w:t>Používatelia nových a modernizovaných verejných digitálnych služieb, produktov a procesov</w:t>
            </w:r>
          </w:p>
        </w:tc>
      </w:tr>
      <w:tr w:rsidR="00FC60A0" w14:paraId="530438C0" w14:textId="77777777" w:rsidTr="00F601BD">
        <w:tc>
          <w:tcPr>
            <w:tcW w:w="3539" w:type="dxa"/>
          </w:tcPr>
          <w:p w14:paraId="5B63DF31" w14:textId="77777777" w:rsidR="00FC60A0" w:rsidRDefault="00FC60A0" w:rsidP="00F601BD">
            <w:pPr>
              <w:jc w:val="both"/>
            </w:pPr>
            <w:r>
              <w:t>Jednotka</w:t>
            </w:r>
          </w:p>
        </w:tc>
        <w:tc>
          <w:tcPr>
            <w:tcW w:w="5528" w:type="dxa"/>
          </w:tcPr>
          <w:p w14:paraId="217650BD" w14:textId="64FFEFA3" w:rsidR="00FC60A0" w:rsidRDefault="00E47D16" w:rsidP="00F601BD">
            <w:pPr>
              <w:jc w:val="both"/>
            </w:pPr>
            <w:r>
              <w:t>Používatelia/rok</w:t>
            </w:r>
          </w:p>
        </w:tc>
      </w:tr>
      <w:tr w:rsidR="00FC60A0" w14:paraId="7D1EBFF5" w14:textId="77777777" w:rsidTr="00F601BD">
        <w:tc>
          <w:tcPr>
            <w:tcW w:w="3539" w:type="dxa"/>
          </w:tcPr>
          <w:p w14:paraId="640212A3" w14:textId="77777777" w:rsidR="00FC60A0" w:rsidRDefault="00FC60A0" w:rsidP="00F601BD">
            <w:pPr>
              <w:jc w:val="both"/>
            </w:pPr>
            <w:r>
              <w:t>Typ spoločného ukazovateľa</w:t>
            </w:r>
          </w:p>
        </w:tc>
        <w:tc>
          <w:tcPr>
            <w:tcW w:w="5528" w:type="dxa"/>
          </w:tcPr>
          <w:p w14:paraId="3E91DED7" w14:textId="2948B2AA" w:rsidR="00FC60A0" w:rsidRDefault="00E47D16" w:rsidP="00F601BD">
            <w:pPr>
              <w:jc w:val="both"/>
            </w:pPr>
            <w:r>
              <w:t>Priebežný - Vykazovaný priebežne – hodnoty sú reportované len za sledované obdobie</w:t>
            </w:r>
          </w:p>
        </w:tc>
      </w:tr>
      <w:tr w:rsidR="00FC60A0" w14:paraId="1CDA48E5" w14:textId="77777777" w:rsidTr="00F601BD">
        <w:tc>
          <w:tcPr>
            <w:tcW w:w="3539" w:type="dxa"/>
          </w:tcPr>
          <w:p w14:paraId="1FB722C0" w14:textId="77777777" w:rsidR="00FC60A0" w:rsidRDefault="00FC60A0" w:rsidP="00F601BD">
            <w:pPr>
              <w:jc w:val="both"/>
            </w:pPr>
            <w:r>
              <w:lastRenderedPageBreak/>
              <w:t>Východisková hodnota</w:t>
            </w:r>
          </w:p>
        </w:tc>
        <w:tc>
          <w:tcPr>
            <w:tcW w:w="5528" w:type="dxa"/>
          </w:tcPr>
          <w:p w14:paraId="4FBCE642" w14:textId="03317D64" w:rsidR="00FC60A0" w:rsidRDefault="00053EC9" w:rsidP="00F601BD">
            <w:pPr>
              <w:jc w:val="both"/>
            </w:pPr>
            <w:r w:rsidRPr="00053EC9">
              <w:t>za každé vykazované obdobie začína východiskovou hodnotou 0</w:t>
            </w:r>
          </w:p>
        </w:tc>
      </w:tr>
      <w:tr w:rsidR="00FC60A0" w14:paraId="7B323BAD" w14:textId="77777777" w:rsidTr="00F601BD">
        <w:tc>
          <w:tcPr>
            <w:tcW w:w="3539" w:type="dxa"/>
          </w:tcPr>
          <w:p w14:paraId="7D2B47A3" w14:textId="77777777" w:rsidR="00FC60A0" w:rsidRDefault="00FC60A0" w:rsidP="00F601BD">
            <w:pPr>
              <w:jc w:val="both"/>
            </w:pPr>
            <w:r>
              <w:t>Piliere Mechanizmu na podporu obnovy a odolnosti</w:t>
            </w:r>
          </w:p>
        </w:tc>
        <w:tc>
          <w:tcPr>
            <w:tcW w:w="5528" w:type="dxa"/>
          </w:tcPr>
          <w:p w14:paraId="6AC4232A" w14:textId="77777777" w:rsidR="00053EC9" w:rsidRPr="00053EC9" w:rsidRDefault="00053EC9" w:rsidP="00053EC9">
            <w:r w:rsidRPr="00053EC9">
              <w:t>Pilier 2 Digitálna transformácia</w:t>
            </w:r>
          </w:p>
          <w:p w14:paraId="3A4EC6ED" w14:textId="1934366D" w:rsidR="00FC60A0" w:rsidRDefault="00053EC9" w:rsidP="00053EC9">
            <w:pPr>
              <w:jc w:val="both"/>
            </w:pPr>
            <w:r w:rsidRPr="00053EC9">
              <w:t>Pilier</w:t>
            </w:r>
            <w:r>
              <w:t xml:space="preserve"> </w:t>
            </w:r>
            <w:r w:rsidRPr="00053EC9">
              <w:t>5 Zdravie a hospodárska, sociálna a inštitucionálna odolnosť</w:t>
            </w:r>
          </w:p>
        </w:tc>
      </w:tr>
      <w:tr w:rsidR="00FC60A0" w14:paraId="301DDF63" w14:textId="77777777" w:rsidTr="00F601BD">
        <w:tc>
          <w:tcPr>
            <w:tcW w:w="3539" w:type="dxa"/>
          </w:tcPr>
          <w:p w14:paraId="5128524F" w14:textId="77777777" w:rsidR="00FC60A0" w:rsidRDefault="00FC60A0" w:rsidP="00F601BD">
            <w:pPr>
              <w:jc w:val="both"/>
            </w:pPr>
            <w:r>
              <w:t>Definícia a pojmy</w:t>
            </w:r>
          </w:p>
        </w:tc>
        <w:tc>
          <w:tcPr>
            <w:tcW w:w="5528" w:type="dxa"/>
          </w:tcPr>
          <w:p w14:paraId="05ECB510" w14:textId="1F282FC8" w:rsidR="00437EC0" w:rsidRDefault="00437EC0" w:rsidP="00437EC0">
            <w:pPr>
              <w:jc w:val="both"/>
            </w:pPr>
            <w:r>
              <w:t>Počet používateľov digitálnych verejných služieb, produktov a procesov novo vyvinutých alebo výrazne modernizovaných prostredníctvom podpory opatrení v rámci Mechanizmu. Významné inovácie sa budú týkať iba nových služieb, produktov a procesov.</w:t>
            </w:r>
          </w:p>
          <w:p w14:paraId="496E862A" w14:textId="64EAD138" w:rsidR="00FC60A0" w:rsidRDefault="00437EC0" w:rsidP="00437EC0">
            <w:pPr>
              <w:jc w:val="both"/>
            </w:pPr>
            <w:r>
              <w:t>Používateľmi sa rozumejú klienti verejných služieb a používatelia produktov, ktoré boli novo vyvinuté alebo modernizované vďaka podpore pochádzajúcej z opatrení v rámci mechanizmu, a zamestnanci verejnej inštitúcie, ktorí využívajú digitálne procesy, ktoré boli novo vyvinuté alebo významne modernizované vďaka podpore pochádzajúcej z opatrení v rámci mechanizmu.</w:t>
            </w:r>
          </w:p>
        </w:tc>
      </w:tr>
      <w:tr w:rsidR="00FC60A0" w14:paraId="5A2C4457" w14:textId="77777777" w:rsidTr="00F601BD">
        <w:tc>
          <w:tcPr>
            <w:tcW w:w="3539" w:type="dxa"/>
          </w:tcPr>
          <w:p w14:paraId="050FA28C" w14:textId="77777777" w:rsidR="00FC60A0" w:rsidRDefault="00FC60A0" w:rsidP="00F601BD">
            <w:pPr>
              <w:jc w:val="both"/>
            </w:pPr>
            <w:r>
              <w:t>Čas plnenia</w:t>
            </w:r>
          </w:p>
        </w:tc>
        <w:tc>
          <w:tcPr>
            <w:tcW w:w="5528" w:type="dxa"/>
          </w:tcPr>
          <w:p w14:paraId="43DB9692" w14:textId="6F8BB999" w:rsidR="00FC60A0" w:rsidRDefault="00053EC9" w:rsidP="00053EC9">
            <w:r w:rsidRPr="00053EC9">
              <w:t>Pri prvom pripojení k službe (ako je definované vo všeobecných princípoch).</w:t>
            </w:r>
          </w:p>
        </w:tc>
      </w:tr>
      <w:tr w:rsidR="00FC60A0" w14:paraId="0B890F2C" w14:textId="77777777" w:rsidTr="00F601BD">
        <w:tc>
          <w:tcPr>
            <w:tcW w:w="3539" w:type="dxa"/>
          </w:tcPr>
          <w:p w14:paraId="6F46AD9F" w14:textId="77777777" w:rsidR="00FC60A0" w:rsidRDefault="00FC60A0" w:rsidP="00F601BD">
            <w:pPr>
              <w:jc w:val="both"/>
            </w:pPr>
            <w:r>
              <w:t>Metodika pre stanovenie cieľovej hodnoty</w:t>
            </w:r>
          </w:p>
        </w:tc>
        <w:tc>
          <w:tcPr>
            <w:tcW w:w="5528" w:type="dxa"/>
          </w:tcPr>
          <w:p w14:paraId="49EDC50B" w14:textId="642E1CD0" w:rsidR="00053EC9" w:rsidRPr="00053EC9" w:rsidRDefault="00053EC9" w:rsidP="00053EC9">
            <w:r w:rsidRPr="00053EC9">
              <w:t>Ak sa reportovanie uskutočňuje viac ako raz ročne, tak je potrebné  reportovať počet používateľov ku konečné</w:t>
            </w:r>
            <w:r>
              <w:t>m</w:t>
            </w:r>
            <w:r w:rsidRPr="00053EC9">
              <w:t>u dátumu reportovaného obdobia. Údaje za jeden celý rok vypočíta Komisia.</w:t>
            </w:r>
          </w:p>
          <w:p w14:paraId="41AD0359" w14:textId="77777777" w:rsidR="00053EC9" w:rsidRPr="00053EC9" w:rsidRDefault="00053EC9" w:rsidP="00053EC9">
            <w:r w:rsidRPr="00053EC9">
              <w:t>Ak nie je možné identifikovať jednotlivých používateľov, započítanie toho istého klienta, ktorý použil online službu niekoľkokrát, sa nepovažuje za dvojité započítanie.</w:t>
            </w:r>
          </w:p>
          <w:p w14:paraId="057F9BCF" w14:textId="25664AB2" w:rsidR="00FC60A0" w:rsidRDefault="00053EC9" w:rsidP="00053EC9">
            <w:pPr>
              <w:jc w:val="both"/>
            </w:pPr>
            <w:r w:rsidRPr="00053EC9">
              <w:t>Používatelia novej/inovovanej služby by sa mali počítať počas obdobia implementácie plánu, aby sa zachytilo využitie modernizovaných verejných digitálnych služieb, produktov a procesov</w:t>
            </w:r>
          </w:p>
        </w:tc>
      </w:tr>
      <w:tr w:rsidR="00FC60A0" w14:paraId="573FDE41" w14:textId="77777777" w:rsidTr="00F601BD">
        <w:tc>
          <w:tcPr>
            <w:tcW w:w="3539" w:type="dxa"/>
          </w:tcPr>
          <w:p w14:paraId="2417BC97" w14:textId="77777777" w:rsidR="00FC60A0" w:rsidRDefault="00FC60A0" w:rsidP="00F601BD">
            <w:pPr>
              <w:jc w:val="both"/>
            </w:pPr>
            <w:r>
              <w:t>Členenie údajov</w:t>
            </w:r>
          </w:p>
        </w:tc>
        <w:tc>
          <w:tcPr>
            <w:tcW w:w="5528" w:type="dxa"/>
          </w:tcPr>
          <w:p w14:paraId="3DAAA9C6" w14:textId="77777777" w:rsidR="00FC60A0" w:rsidRDefault="00FC60A0" w:rsidP="00F601BD">
            <w:pPr>
              <w:jc w:val="both"/>
            </w:pPr>
            <w:r>
              <w:t>žiadne</w:t>
            </w:r>
          </w:p>
        </w:tc>
      </w:tr>
      <w:tr w:rsidR="00FC60A0" w14:paraId="0A20C5CA" w14:textId="77777777" w:rsidTr="00F601BD">
        <w:tc>
          <w:tcPr>
            <w:tcW w:w="3539" w:type="dxa"/>
          </w:tcPr>
          <w:p w14:paraId="483E4ED6" w14:textId="77777777" w:rsidR="00FC60A0" w:rsidRDefault="00FC60A0" w:rsidP="00F601BD">
            <w:pPr>
              <w:jc w:val="both"/>
            </w:pPr>
            <w:r>
              <w:t>Referencie</w:t>
            </w:r>
          </w:p>
        </w:tc>
        <w:tc>
          <w:tcPr>
            <w:tcW w:w="5528" w:type="dxa"/>
          </w:tcPr>
          <w:p w14:paraId="50EF5F1D" w14:textId="4D0DB8FD" w:rsidR="00FC60A0" w:rsidRDefault="00053EC9" w:rsidP="00F601BD">
            <w:pPr>
              <w:jc w:val="both"/>
            </w:pPr>
            <w:proofErr w:type="spellStart"/>
            <w:r w:rsidRPr="00053EC9">
              <w:t>Eurostat</w:t>
            </w:r>
            <w:proofErr w:type="spellEnd"/>
            <w:r w:rsidRPr="00053EC9">
              <w:t xml:space="preserve">: </w:t>
            </w:r>
            <w:proofErr w:type="spellStart"/>
            <w:r w:rsidRPr="00053EC9">
              <w:t>isoc</w:t>
            </w:r>
            <w:proofErr w:type="spellEnd"/>
            <w:r w:rsidRPr="00053EC9">
              <w:t>_ bde15</w:t>
            </w:r>
          </w:p>
        </w:tc>
      </w:tr>
    </w:tbl>
    <w:p w14:paraId="455A0609" w14:textId="39C37437" w:rsidR="00FC60A0" w:rsidRDefault="00FC60A0" w:rsidP="008D19D2">
      <w:pPr>
        <w:jc w:val="both"/>
      </w:pPr>
    </w:p>
    <w:p w14:paraId="1A4E22F2" w14:textId="77C83B0E" w:rsidR="00437EC0" w:rsidRPr="00437EC0" w:rsidRDefault="00437EC0" w:rsidP="008D19D2">
      <w:pPr>
        <w:jc w:val="both"/>
        <w:rPr>
          <w:b/>
        </w:rPr>
      </w:pPr>
      <w:r w:rsidRPr="00437EC0">
        <w:rPr>
          <w:b/>
        </w:rPr>
        <w:t>Výskumní pracovníci pracujúci v podporovaných výskumných zariadeniach</w:t>
      </w:r>
    </w:p>
    <w:tbl>
      <w:tblPr>
        <w:tblStyle w:val="Mriekatabuky"/>
        <w:tblW w:w="9067" w:type="dxa"/>
        <w:tblLook w:val="04A0" w:firstRow="1" w:lastRow="0" w:firstColumn="1" w:lastColumn="0" w:noHBand="0" w:noVBand="1"/>
      </w:tblPr>
      <w:tblGrid>
        <w:gridCol w:w="3539"/>
        <w:gridCol w:w="5528"/>
      </w:tblGrid>
      <w:tr w:rsidR="00437EC0" w14:paraId="495E84D0" w14:textId="77777777" w:rsidTr="00F601BD">
        <w:tc>
          <w:tcPr>
            <w:tcW w:w="3539" w:type="dxa"/>
          </w:tcPr>
          <w:p w14:paraId="130A52D2" w14:textId="77777777" w:rsidR="00437EC0" w:rsidRDefault="00437EC0" w:rsidP="00F601BD">
            <w:pPr>
              <w:jc w:val="both"/>
            </w:pPr>
            <w:r>
              <w:t>Názov spoločného ukazovateľa</w:t>
            </w:r>
          </w:p>
        </w:tc>
        <w:tc>
          <w:tcPr>
            <w:tcW w:w="5528" w:type="dxa"/>
          </w:tcPr>
          <w:p w14:paraId="0E17FD56" w14:textId="1B424C7A" w:rsidR="00437EC0" w:rsidRDefault="00437EC0" w:rsidP="00F601BD">
            <w:pPr>
              <w:jc w:val="both"/>
            </w:pPr>
            <w:r w:rsidRPr="00437EC0">
              <w:t>Výskumní pracovníci pracujúci v podporovaných výskumných zariadeniach</w:t>
            </w:r>
          </w:p>
        </w:tc>
      </w:tr>
      <w:tr w:rsidR="00437EC0" w14:paraId="5DBAC7FB" w14:textId="77777777" w:rsidTr="00F601BD">
        <w:tc>
          <w:tcPr>
            <w:tcW w:w="3539" w:type="dxa"/>
          </w:tcPr>
          <w:p w14:paraId="4A19FEB9" w14:textId="77777777" w:rsidR="00437EC0" w:rsidRDefault="00437EC0" w:rsidP="00F601BD">
            <w:pPr>
              <w:jc w:val="both"/>
            </w:pPr>
            <w:r>
              <w:t>Jednotka</w:t>
            </w:r>
          </w:p>
        </w:tc>
        <w:tc>
          <w:tcPr>
            <w:tcW w:w="5528" w:type="dxa"/>
          </w:tcPr>
          <w:p w14:paraId="624DCCE8" w14:textId="792C23E1" w:rsidR="00437EC0" w:rsidRDefault="00E47D16" w:rsidP="00F601BD">
            <w:pPr>
              <w:jc w:val="both"/>
            </w:pPr>
            <w:r w:rsidRPr="00E47D16">
              <w:t>ročný ekvivalent plného pracovného času</w:t>
            </w:r>
          </w:p>
        </w:tc>
      </w:tr>
      <w:tr w:rsidR="00437EC0" w14:paraId="49EE0BB8" w14:textId="77777777" w:rsidTr="00F601BD">
        <w:tc>
          <w:tcPr>
            <w:tcW w:w="3539" w:type="dxa"/>
          </w:tcPr>
          <w:p w14:paraId="6196D102" w14:textId="77777777" w:rsidR="00437EC0" w:rsidRDefault="00437EC0" w:rsidP="00F601BD">
            <w:pPr>
              <w:jc w:val="both"/>
            </w:pPr>
            <w:r>
              <w:t>Typ spoločného ukazovateľa</w:t>
            </w:r>
          </w:p>
        </w:tc>
        <w:tc>
          <w:tcPr>
            <w:tcW w:w="5528" w:type="dxa"/>
          </w:tcPr>
          <w:p w14:paraId="71DD17FC" w14:textId="2B76FD01" w:rsidR="00437EC0" w:rsidRDefault="00E47D16" w:rsidP="00F601BD">
            <w:pPr>
              <w:jc w:val="both"/>
            </w:pPr>
            <w:r>
              <w:t>Priebežný - Vykazovaný priebežne – hodnoty sú reportované len za sledované obdobie</w:t>
            </w:r>
          </w:p>
        </w:tc>
      </w:tr>
      <w:tr w:rsidR="00053EC9" w14:paraId="50A8ABBD" w14:textId="77777777" w:rsidTr="00F601BD">
        <w:tc>
          <w:tcPr>
            <w:tcW w:w="3539" w:type="dxa"/>
          </w:tcPr>
          <w:p w14:paraId="4C445E58" w14:textId="77777777" w:rsidR="00053EC9" w:rsidRDefault="00053EC9" w:rsidP="00053EC9">
            <w:pPr>
              <w:jc w:val="both"/>
            </w:pPr>
            <w:r>
              <w:t>Východisková hodnota</w:t>
            </w:r>
          </w:p>
        </w:tc>
        <w:tc>
          <w:tcPr>
            <w:tcW w:w="5528" w:type="dxa"/>
          </w:tcPr>
          <w:p w14:paraId="75E44143" w14:textId="6ED4E249" w:rsidR="00053EC9" w:rsidRDefault="00053EC9" w:rsidP="00053EC9">
            <w:pPr>
              <w:jc w:val="both"/>
            </w:pPr>
            <w:r w:rsidRPr="00053EC9">
              <w:t>za každé vykazované obdobie začína východiskovou hodnotou 0</w:t>
            </w:r>
          </w:p>
        </w:tc>
      </w:tr>
      <w:tr w:rsidR="00053EC9" w14:paraId="6EE60EB5" w14:textId="77777777" w:rsidTr="00F601BD">
        <w:tc>
          <w:tcPr>
            <w:tcW w:w="3539" w:type="dxa"/>
          </w:tcPr>
          <w:p w14:paraId="71D149FF" w14:textId="77777777" w:rsidR="00053EC9" w:rsidRDefault="00053EC9" w:rsidP="00053EC9">
            <w:pPr>
              <w:jc w:val="both"/>
            </w:pPr>
            <w:r>
              <w:t>Piliere Mechanizmu na podporu obnovy a odolnosti</w:t>
            </w:r>
          </w:p>
        </w:tc>
        <w:tc>
          <w:tcPr>
            <w:tcW w:w="5528" w:type="dxa"/>
          </w:tcPr>
          <w:p w14:paraId="0510C1C3" w14:textId="4C5245C9" w:rsidR="00053EC9" w:rsidRDefault="00053EC9" w:rsidP="00053EC9">
            <w:pPr>
              <w:jc w:val="both"/>
            </w:pPr>
            <w:r w:rsidRPr="00053EC9">
              <w:t>Pilier 3 Inteligentný, udržateľný a inkluzívny rast, vrátane hospodárskej súdržnosti, tvorby pracovných miest, produktivity, konkurencieschopnosti, výskumu, vývoja a inovácií a dobre fungujúci vnútorný trh podporujúci MSP</w:t>
            </w:r>
          </w:p>
        </w:tc>
      </w:tr>
      <w:tr w:rsidR="00053EC9" w14:paraId="5C4AE72D" w14:textId="77777777" w:rsidTr="00F601BD">
        <w:tc>
          <w:tcPr>
            <w:tcW w:w="3539" w:type="dxa"/>
          </w:tcPr>
          <w:p w14:paraId="0ACF30CA" w14:textId="77777777" w:rsidR="00053EC9" w:rsidRDefault="00053EC9" w:rsidP="00053EC9">
            <w:pPr>
              <w:jc w:val="both"/>
            </w:pPr>
            <w:r>
              <w:t>Definícia a pojmy</w:t>
            </w:r>
          </w:p>
        </w:tc>
        <w:tc>
          <w:tcPr>
            <w:tcW w:w="5528" w:type="dxa"/>
          </w:tcPr>
          <w:p w14:paraId="3E41E14C" w14:textId="77777777" w:rsidR="00053EC9" w:rsidRPr="00053EC9" w:rsidRDefault="00053EC9" w:rsidP="00053EC9">
            <w:pPr>
              <w:jc w:val="both"/>
            </w:pPr>
            <w:r w:rsidRPr="00053EC9">
              <w:t xml:space="preserve">Hodnota ukazovateľa sa meria na základe ročných ekvivalentov plného pracovného času vypočítaných podľa metodiky uvedenej v príručke OECD </w:t>
            </w:r>
            <w:proofErr w:type="spellStart"/>
            <w:r w:rsidRPr="00053EC9">
              <w:t>Frascati</w:t>
            </w:r>
            <w:proofErr w:type="spellEnd"/>
            <w:r w:rsidRPr="00053EC9">
              <w:t xml:space="preserve"> z roku 2015.</w:t>
            </w:r>
          </w:p>
          <w:p w14:paraId="006CFEE0" w14:textId="77777777" w:rsidR="00053EC9" w:rsidRPr="00053EC9" w:rsidRDefault="00053EC9" w:rsidP="00053EC9">
            <w:pPr>
              <w:jc w:val="both"/>
            </w:pPr>
            <w:r w:rsidRPr="00053EC9">
              <w:lastRenderedPageBreak/>
              <w:t>Podpora musí smerovať k zlepšovaniu výskumného zariadenia alebo kvality výskumného vybavenia. Vylučujú sa náhrady bez zvýšenia kvality, ako aj údržba.</w:t>
            </w:r>
          </w:p>
          <w:p w14:paraId="1F320086" w14:textId="707A77D1" w:rsidR="00053EC9" w:rsidRDefault="00053EC9" w:rsidP="00053EC9">
            <w:pPr>
              <w:jc w:val="both"/>
            </w:pPr>
            <w:r w:rsidRPr="00053EC9">
              <w:t>Ročný FTE zamestnancov výskumu a vývoja je definovaný ako podiel skutočne strávených pracovných hodín na výskume a vývoji počas kalendárneho roka vydelený celkovým počtom hodín, ktoré jednotlivec alebo skupina obvykle odpracovali v tom istom období. Podľa dohody osoba nemôže pracovať viac než jeden ekvivalent plného pracovného času v oblasti výskumu a vývoja. Počet obvykle odpracovaných hodín sa určuje na základe normatívneho/zákonného pracovného času.</w:t>
            </w:r>
          </w:p>
        </w:tc>
      </w:tr>
      <w:tr w:rsidR="00053EC9" w14:paraId="3E641854" w14:textId="77777777" w:rsidTr="00F601BD">
        <w:tc>
          <w:tcPr>
            <w:tcW w:w="3539" w:type="dxa"/>
          </w:tcPr>
          <w:p w14:paraId="409382AA" w14:textId="77777777" w:rsidR="00053EC9" w:rsidRDefault="00053EC9" w:rsidP="00053EC9">
            <w:pPr>
              <w:jc w:val="both"/>
            </w:pPr>
            <w:r>
              <w:lastRenderedPageBreak/>
              <w:t>Čas plnenia</w:t>
            </w:r>
          </w:p>
        </w:tc>
        <w:tc>
          <w:tcPr>
            <w:tcW w:w="5528" w:type="dxa"/>
          </w:tcPr>
          <w:p w14:paraId="76087B03" w14:textId="149CB687" w:rsidR="00053EC9" w:rsidRDefault="00053EC9" w:rsidP="00053EC9">
            <w:pPr>
              <w:jc w:val="both"/>
            </w:pPr>
            <w:r w:rsidRPr="00053EC9">
              <w:t>Výskumní pracovníci (FTE) sa počítajú od dátumu, kedy zariadenie v ktorom pracujú alebo vybavenie s ktorým pracujú dostane podporu v rámci opatrení Mechanizmu (ako je definované vo všeobecných zásadách).</w:t>
            </w:r>
          </w:p>
        </w:tc>
      </w:tr>
      <w:tr w:rsidR="00053EC9" w14:paraId="36A4A7E1" w14:textId="77777777" w:rsidTr="00F601BD">
        <w:tc>
          <w:tcPr>
            <w:tcW w:w="3539" w:type="dxa"/>
          </w:tcPr>
          <w:p w14:paraId="21061A45" w14:textId="77777777" w:rsidR="00053EC9" w:rsidRDefault="00053EC9" w:rsidP="00053EC9">
            <w:pPr>
              <w:jc w:val="both"/>
            </w:pPr>
            <w:r>
              <w:t>Metodika pre stanovenie cieľovej hodnoty</w:t>
            </w:r>
          </w:p>
        </w:tc>
        <w:tc>
          <w:tcPr>
            <w:tcW w:w="5528" w:type="dxa"/>
          </w:tcPr>
          <w:p w14:paraId="4AD1E57B" w14:textId="77777777" w:rsidR="00053EC9" w:rsidRPr="00053EC9" w:rsidRDefault="00053EC9" w:rsidP="00053EC9">
            <w:pPr>
              <w:jc w:val="both"/>
            </w:pPr>
            <w:r w:rsidRPr="00053EC9">
              <w:t>Voľné pozície vo výskume a vývoji sa nezapočítavajú, ani podporný personál pre výskum a vývoj (t. j. miesta, ktoré nie sú priamo zapojené do aktivít výskumu a vývoja).</w:t>
            </w:r>
          </w:p>
          <w:p w14:paraId="022A950C" w14:textId="715D6C7B" w:rsidR="00053EC9" w:rsidRDefault="00053EC9" w:rsidP="00053EC9">
            <w:pPr>
              <w:jc w:val="both"/>
            </w:pPr>
            <w:r w:rsidRPr="00053EC9">
              <w:t>Osoba nemôže pracovať viac než jeden ekvivalent plného pracovného času v oblasti výskumu a vývoja. Počet obvykle odpracovaných hodín sa určuje na základe normatívneho/zákonného pracovného času. Jeden výskumný príspevok (FTE) sa môže započítať iba raz za vykazované obdobie. Výskumný pracovník (FTE), ktorý zastáva pozíciu s viacročnou zmluvou, by sa mal započítať raz za vykazované obdobie.</w:t>
            </w:r>
          </w:p>
        </w:tc>
      </w:tr>
      <w:tr w:rsidR="00053EC9" w14:paraId="56E57B23" w14:textId="77777777" w:rsidTr="00F601BD">
        <w:tc>
          <w:tcPr>
            <w:tcW w:w="3539" w:type="dxa"/>
          </w:tcPr>
          <w:p w14:paraId="65C93742" w14:textId="77777777" w:rsidR="00053EC9" w:rsidRDefault="00053EC9" w:rsidP="00053EC9">
            <w:pPr>
              <w:jc w:val="both"/>
            </w:pPr>
            <w:r>
              <w:t>Členenie údajov</w:t>
            </w:r>
          </w:p>
        </w:tc>
        <w:tc>
          <w:tcPr>
            <w:tcW w:w="5528" w:type="dxa"/>
          </w:tcPr>
          <w:p w14:paraId="7359CB9F" w14:textId="4BF70CE4" w:rsidR="00053EC9" w:rsidRDefault="00053EC9" w:rsidP="00053EC9">
            <w:pPr>
              <w:jc w:val="both"/>
            </w:pPr>
            <w:r w:rsidRPr="00053EC9">
              <w:t>Ukazovateľ sa rozčleňuje podľa pohlavia</w:t>
            </w:r>
          </w:p>
        </w:tc>
      </w:tr>
      <w:tr w:rsidR="00053EC9" w14:paraId="6E89DBD5" w14:textId="77777777" w:rsidTr="00F601BD">
        <w:tc>
          <w:tcPr>
            <w:tcW w:w="3539" w:type="dxa"/>
          </w:tcPr>
          <w:p w14:paraId="3CB1C89A" w14:textId="77777777" w:rsidR="00053EC9" w:rsidRDefault="00053EC9" w:rsidP="00053EC9">
            <w:pPr>
              <w:jc w:val="both"/>
            </w:pPr>
            <w:r>
              <w:t>Referencie</w:t>
            </w:r>
          </w:p>
        </w:tc>
        <w:tc>
          <w:tcPr>
            <w:tcW w:w="5528" w:type="dxa"/>
          </w:tcPr>
          <w:p w14:paraId="0B69A273" w14:textId="3373F6C7" w:rsidR="00053EC9" w:rsidRDefault="00053EC9" w:rsidP="00053EC9">
            <w:pPr>
              <w:jc w:val="both"/>
            </w:pPr>
            <w:r w:rsidRPr="00053EC9">
              <w:t xml:space="preserve">Príručka OECD </w:t>
            </w:r>
            <w:proofErr w:type="spellStart"/>
            <w:r w:rsidRPr="00053EC9">
              <w:t>Frascati</w:t>
            </w:r>
            <w:proofErr w:type="spellEnd"/>
            <w:r w:rsidRPr="00053EC9">
              <w:t xml:space="preserve"> z roku 2015 na výpočet ročného ekvivalentu plného pracovného času</w:t>
            </w:r>
          </w:p>
        </w:tc>
      </w:tr>
    </w:tbl>
    <w:p w14:paraId="335EA50F" w14:textId="5075BEEB" w:rsidR="005C2AC8" w:rsidRDefault="005C2AC8" w:rsidP="008D19D2">
      <w:pPr>
        <w:jc w:val="both"/>
      </w:pPr>
    </w:p>
    <w:p w14:paraId="7A367F5F" w14:textId="1B989B2A" w:rsidR="00430ACC" w:rsidRPr="00034A2E" w:rsidRDefault="00430ACC" w:rsidP="00430ACC">
      <w:pPr>
        <w:jc w:val="both"/>
        <w:rPr>
          <w:b/>
        </w:rPr>
      </w:pPr>
      <w:r w:rsidRPr="00034A2E">
        <w:rPr>
          <w:b/>
        </w:rPr>
        <w:t>Kapacita tried v nových alebo modernizovaných zariadeniach starostlivosti o deti a vzdelávacích zariadeniach</w:t>
      </w:r>
      <w:r>
        <w:rPr>
          <w:b/>
        </w:rPr>
        <w:t xml:space="preserve"> </w:t>
      </w:r>
    </w:p>
    <w:tbl>
      <w:tblPr>
        <w:tblStyle w:val="Mriekatabuky"/>
        <w:tblW w:w="9067" w:type="dxa"/>
        <w:tblLook w:val="04A0" w:firstRow="1" w:lastRow="0" w:firstColumn="1" w:lastColumn="0" w:noHBand="0" w:noVBand="1"/>
      </w:tblPr>
      <w:tblGrid>
        <w:gridCol w:w="3539"/>
        <w:gridCol w:w="5528"/>
      </w:tblGrid>
      <w:tr w:rsidR="00430ACC" w14:paraId="0FAAD3AE" w14:textId="77777777" w:rsidTr="00F601BD">
        <w:tc>
          <w:tcPr>
            <w:tcW w:w="3539" w:type="dxa"/>
          </w:tcPr>
          <w:p w14:paraId="17C15C1F" w14:textId="77777777" w:rsidR="00430ACC" w:rsidRDefault="00430ACC" w:rsidP="00F601BD">
            <w:pPr>
              <w:jc w:val="both"/>
            </w:pPr>
            <w:r>
              <w:t>Názov spoločného ukazovateľa</w:t>
            </w:r>
          </w:p>
        </w:tc>
        <w:tc>
          <w:tcPr>
            <w:tcW w:w="5528" w:type="dxa"/>
          </w:tcPr>
          <w:p w14:paraId="6FF7C76F" w14:textId="77777777" w:rsidR="00430ACC" w:rsidRDefault="00430ACC" w:rsidP="00F601BD">
            <w:pPr>
              <w:jc w:val="both"/>
            </w:pPr>
            <w:r>
              <w:t>Kapacita tried v nových alebo modernizovaných zariadeniach starostlivosti o deti a vzdelávacích zariadeniach</w:t>
            </w:r>
          </w:p>
        </w:tc>
      </w:tr>
      <w:tr w:rsidR="00430ACC" w14:paraId="330F1511" w14:textId="77777777" w:rsidTr="00F601BD">
        <w:tc>
          <w:tcPr>
            <w:tcW w:w="3539" w:type="dxa"/>
          </w:tcPr>
          <w:p w14:paraId="2787727C" w14:textId="77777777" w:rsidR="00430ACC" w:rsidRDefault="00430ACC" w:rsidP="00F601BD">
            <w:pPr>
              <w:jc w:val="both"/>
            </w:pPr>
            <w:r>
              <w:t>Jednotka</w:t>
            </w:r>
          </w:p>
        </w:tc>
        <w:tc>
          <w:tcPr>
            <w:tcW w:w="5528" w:type="dxa"/>
          </w:tcPr>
          <w:p w14:paraId="123FC256" w14:textId="77777777" w:rsidR="00430ACC" w:rsidRDefault="00430ACC" w:rsidP="00F601BD">
            <w:pPr>
              <w:jc w:val="both"/>
            </w:pPr>
            <w:r>
              <w:t>osoby</w:t>
            </w:r>
          </w:p>
        </w:tc>
      </w:tr>
      <w:tr w:rsidR="00430ACC" w14:paraId="417A7AF4" w14:textId="77777777" w:rsidTr="00F601BD">
        <w:tc>
          <w:tcPr>
            <w:tcW w:w="3539" w:type="dxa"/>
          </w:tcPr>
          <w:p w14:paraId="64A7ED03" w14:textId="77777777" w:rsidR="00430ACC" w:rsidRDefault="00430ACC" w:rsidP="00F601BD">
            <w:pPr>
              <w:jc w:val="both"/>
            </w:pPr>
            <w:r>
              <w:t>Typ spoločného ukazovateľa</w:t>
            </w:r>
          </w:p>
        </w:tc>
        <w:tc>
          <w:tcPr>
            <w:tcW w:w="5528" w:type="dxa"/>
          </w:tcPr>
          <w:p w14:paraId="193C8301" w14:textId="77777777" w:rsidR="00430ACC" w:rsidRDefault="00430ACC" w:rsidP="00F601BD">
            <w:pPr>
              <w:jc w:val="both"/>
            </w:pPr>
            <w:r>
              <w:t>stavový</w:t>
            </w:r>
          </w:p>
        </w:tc>
      </w:tr>
      <w:tr w:rsidR="00430ACC" w14:paraId="182CB32D" w14:textId="77777777" w:rsidTr="00F601BD">
        <w:tc>
          <w:tcPr>
            <w:tcW w:w="3539" w:type="dxa"/>
          </w:tcPr>
          <w:p w14:paraId="12CBC852" w14:textId="77777777" w:rsidR="00430ACC" w:rsidRDefault="00430ACC" w:rsidP="00F601BD">
            <w:pPr>
              <w:jc w:val="both"/>
            </w:pPr>
            <w:r>
              <w:t>Východisková hodnota</w:t>
            </w:r>
          </w:p>
        </w:tc>
        <w:tc>
          <w:tcPr>
            <w:tcW w:w="5528" w:type="dxa"/>
          </w:tcPr>
          <w:p w14:paraId="2ED0B7EC" w14:textId="77777777" w:rsidR="00430ACC" w:rsidRDefault="00430ACC" w:rsidP="00F601BD">
            <w:pPr>
              <w:jc w:val="both"/>
            </w:pPr>
            <w:r>
              <w:t>východisková hodnota bude 0, aktualizovaná bude v rámci každého obdobia podávania správ</w:t>
            </w:r>
          </w:p>
        </w:tc>
      </w:tr>
      <w:tr w:rsidR="00430ACC" w14:paraId="7191F8A9" w14:textId="77777777" w:rsidTr="00F601BD">
        <w:tc>
          <w:tcPr>
            <w:tcW w:w="3539" w:type="dxa"/>
          </w:tcPr>
          <w:p w14:paraId="05E2820B" w14:textId="77777777" w:rsidR="00430ACC" w:rsidRDefault="00430ACC" w:rsidP="00F601BD">
            <w:pPr>
              <w:jc w:val="both"/>
            </w:pPr>
            <w:r>
              <w:t>Piliere Mechanizmu na podporu obnovy a odolnosti</w:t>
            </w:r>
          </w:p>
        </w:tc>
        <w:tc>
          <w:tcPr>
            <w:tcW w:w="5528" w:type="dxa"/>
          </w:tcPr>
          <w:p w14:paraId="5DA3986A" w14:textId="77777777" w:rsidR="00430ACC" w:rsidRDefault="00430ACC" w:rsidP="00F601BD">
            <w:pPr>
              <w:jc w:val="both"/>
            </w:pPr>
            <w:r>
              <w:t xml:space="preserve">Pilier 4 Sociálna a územná súdržnosť </w:t>
            </w:r>
          </w:p>
          <w:p w14:paraId="681B1217" w14:textId="77777777" w:rsidR="00430ACC" w:rsidRDefault="00430ACC" w:rsidP="00F601BD">
            <w:pPr>
              <w:jc w:val="both"/>
            </w:pPr>
            <w:r>
              <w:t>Pilier 6 Politiky pre budúcu generáciu</w:t>
            </w:r>
          </w:p>
        </w:tc>
      </w:tr>
      <w:tr w:rsidR="00430ACC" w14:paraId="5A621D09" w14:textId="77777777" w:rsidTr="00F601BD">
        <w:tc>
          <w:tcPr>
            <w:tcW w:w="3539" w:type="dxa"/>
          </w:tcPr>
          <w:p w14:paraId="07FD525A" w14:textId="77777777" w:rsidR="00430ACC" w:rsidRDefault="00430ACC" w:rsidP="00F601BD">
            <w:pPr>
              <w:jc w:val="both"/>
            </w:pPr>
            <w:r>
              <w:t>Definícia a pojmy</w:t>
            </w:r>
          </w:p>
        </w:tc>
        <w:tc>
          <w:tcPr>
            <w:tcW w:w="5528" w:type="dxa"/>
          </w:tcPr>
          <w:p w14:paraId="1C4CE9FD" w14:textId="77777777" w:rsidR="00430ACC" w:rsidRDefault="00430ACC" w:rsidP="00F601BD">
            <w:pPr>
              <w:jc w:val="both"/>
            </w:pPr>
            <w:r>
              <w:t xml:space="preserve">Kapacita tried, t. j. maximálny počet miest v nových alebo modernizovaných zariadeniach vzdelávania a starostlivosti v ranom detstve a vzdelávacích zariadeniach (ISCED 0 – 6) vďaka podpore pochádzajúcej z opatrení v rámci Mechanizmu. Kapacita tried sa vypočíta v súlade s vnútroštátnymi právnymi predpismi, nezahŕňa však </w:t>
            </w:r>
            <w:r>
              <w:lastRenderedPageBreak/>
              <w:t xml:space="preserve">učiteľov, rodičov, pomocný personál ani iné osoby, ktoré môžu takisto využívať služby zariadenia. </w:t>
            </w:r>
          </w:p>
          <w:p w14:paraId="4DB95797" w14:textId="77777777" w:rsidR="00430ACC" w:rsidRDefault="00430ACC" w:rsidP="00F601BD">
            <w:pPr>
              <w:jc w:val="both"/>
            </w:pPr>
            <w:r>
              <w:t>Zariadenia vzdelávania a starostlivosti v ranom detstve, ako sú jasle a predškolské zariadenia, sú zariadenia určené pre deti od narodenia do začiatku základného vzdelávania (ISCED 0). Medzi vzdelávacie zariadenia patria školy (ISCED 1 – 3, ISCED 4) a vysoké školy (ISCED 5 – 6). Ukazovateľ sa vzťahuje na zariadenia starostlivosti o deti alebo vzdelávacie zariadenia, ktoré sú novovybudované alebo modernizované (napríklad na účel zlepšenia hygienických a bezpečnostných noriem), a modernizácia nezahŕňa energetickú obnovu ani údržbu a opravy</w:t>
            </w:r>
          </w:p>
        </w:tc>
      </w:tr>
      <w:tr w:rsidR="00430ACC" w14:paraId="37F76BF3" w14:textId="77777777" w:rsidTr="00F601BD">
        <w:tc>
          <w:tcPr>
            <w:tcW w:w="3539" w:type="dxa"/>
          </w:tcPr>
          <w:p w14:paraId="0100D2AB" w14:textId="77777777" w:rsidR="00430ACC" w:rsidRDefault="00430ACC" w:rsidP="00F601BD">
            <w:pPr>
              <w:jc w:val="both"/>
            </w:pPr>
            <w:r>
              <w:lastRenderedPageBreak/>
              <w:t>Čas plnenia</w:t>
            </w:r>
          </w:p>
        </w:tc>
        <w:tc>
          <w:tcPr>
            <w:tcW w:w="5528" w:type="dxa"/>
          </w:tcPr>
          <w:p w14:paraId="179E88EB" w14:textId="77777777" w:rsidR="00430ACC" w:rsidRDefault="00430ACC" w:rsidP="00F601BD">
            <w:pPr>
              <w:jc w:val="both"/>
            </w:pPr>
            <w:r>
              <w:t>Moment, keď je do prevádzky uvedená príslušná trieda novej alebo modernizovanej vzdelávacej infraštruktúry podporovanej z opatrení v rámci mechanizmu.</w:t>
            </w:r>
          </w:p>
        </w:tc>
      </w:tr>
      <w:tr w:rsidR="00430ACC" w14:paraId="0BAD43EC" w14:textId="77777777" w:rsidTr="00F601BD">
        <w:tc>
          <w:tcPr>
            <w:tcW w:w="3539" w:type="dxa"/>
          </w:tcPr>
          <w:p w14:paraId="29F520AF" w14:textId="77777777" w:rsidR="00430ACC" w:rsidRDefault="00430ACC" w:rsidP="00F601BD">
            <w:pPr>
              <w:jc w:val="both"/>
            </w:pPr>
            <w:r>
              <w:t>Metodika pre stanovenie cieľovej hodnoty</w:t>
            </w:r>
          </w:p>
        </w:tc>
        <w:tc>
          <w:tcPr>
            <w:tcW w:w="5528" w:type="dxa"/>
          </w:tcPr>
          <w:p w14:paraId="3BF39BD0" w14:textId="77777777" w:rsidR="00430ACC" w:rsidRDefault="00430ACC" w:rsidP="00F601BD">
            <w:pPr>
              <w:jc w:val="both"/>
            </w:pPr>
            <w:r>
              <w:t>Kapacita jednej novej alebo novo zmodernizovanej učebne alebo vzdelávacej infraštruktúry by sa mala nahlasovať iba raz, keď je prvýkrát uvedená do prevádzky.</w:t>
            </w:r>
          </w:p>
        </w:tc>
      </w:tr>
      <w:tr w:rsidR="00430ACC" w14:paraId="09D06D02" w14:textId="77777777" w:rsidTr="00F601BD">
        <w:tc>
          <w:tcPr>
            <w:tcW w:w="3539" w:type="dxa"/>
          </w:tcPr>
          <w:p w14:paraId="1113618B" w14:textId="77777777" w:rsidR="00430ACC" w:rsidRDefault="00430ACC" w:rsidP="00F601BD">
            <w:pPr>
              <w:jc w:val="both"/>
            </w:pPr>
            <w:r>
              <w:t>Členenie údajov</w:t>
            </w:r>
          </w:p>
        </w:tc>
        <w:tc>
          <w:tcPr>
            <w:tcW w:w="5528" w:type="dxa"/>
          </w:tcPr>
          <w:p w14:paraId="2F91DCCD" w14:textId="77777777" w:rsidR="00430ACC" w:rsidRDefault="00430ACC" w:rsidP="00F601BD">
            <w:pPr>
              <w:jc w:val="both"/>
            </w:pPr>
            <w:r>
              <w:t>žiadne</w:t>
            </w:r>
          </w:p>
        </w:tc>
      </w:tr>
      <w:tr w:rsidR="00430ACC" w14:paraId="2E69601A" w14:textId="77777777" w:rsidTr="00F601BD">
        <w:tc>
          <w:tcPr>
            <w:tcW w:w="3539" w:type="dxa"/>
          </w:tcPr>
          <w:p w14:paraId="1BF2929C" w14:textId="77777777" w:rsidR="00430ACC" w:rsidRDefault="00430ACC" w:rsidP="00F601BD">
            <w:pPr>
              <w:jc w:val="both"/>
            </w:pPr>
            <w:r>
              <w:t>Referencie</w:t>
            </w:r>
          </w:p>
        </w:tc>
        <w:tc>
          <w:tcPr>
            <w:tcW w:w="5528" w:type="dxa"/>
          </w:tcPr>
          <w:p w14:paraId="43EF3CF1" w14:textId="77777777" w:rsidR="00430ACC" w:rsidRDefault="00430ACC" w:rsidP="00F601BD">
            <w:pPr>
              <w:jc w:val="both"/>
            </w:pPr>
            <w:r>
              <w:t xml:space="preserve">ISCED je referenčná medzinárodná klasifikácia pre organizovanie vzdelávacích programov a súvisiacich kvalifikácií podľa úrovní a oblastí. ISCED 2011 (úrovne vzdelávania) sa implementuje do všetkých zberov údajov EÚ od roku 2014. ISCED 2011 má deväť úrovní vzdelávania, od úrovne 0 po úroveň 8 (podrobnejšie je terciárne vzdelávanie): </w:t>
            </w:r>
          </w:p>
          <w:p w14:paraId="4C01D453" w14:textId="77777777" w:rsidR="00430ACC" w:rsidRDefault="00430ACC" w:rsidP="00F601BD">
            <w:pPr>
              <w:jc w:val="both"/>
            </w:pPr>
            <w:r>
              <w:t xml:space="preserve">• ISCED 0: Vzdelávanie v ranom detstve („menej ako základné“ pre dosiahnuté vzdelanie) </w:t>
            </w:r>
          </w:p>
          <w:p w14:paraId="7D3B47C5" w14:textId="77777777" w:rsidR="00430ACC" w:rsidRDefault="00430ACC" w:rsidP="00F601BD">
            <w:pPr>
              <w:jc w:val="both"/>
            </w:pPr>
            <w:r>
              <w:t xml:space="preserve">• ISCED 1: Primárne vzdelávanie </w:t>
            </w:r>
          </w:p>
          <w:p w14:paraId="663D45AD" w14:textId="77777777" w:rsidR="00430ACC" w:rsidRDefault="00430ACC" w:rsidP="00F601BD">
            <w:pPr>
              <w:jc w:val="both"/>
            </w:pPr>
            <w:r>
              <w:t>• ISCED 2: Nižšie sekundárne vzdelávanie</w:t>
            </w:r>
          </w:p>
          <w:p w14:paraId="57A6FA74" w14:textId="77777777" w:rsidR="00430ACC" w:rsidRDefault="00430ACC" w:rsidP="00F601BD">
            <w:pPr>
              <w:jc w:val="both"/>
            </w:pPr>
            <w:r>
              <w:t xml:space="preserve"> • ISCED 3: Vyššie stredoškolské vzdelávanie </w:t>
            </w:r>
          </w:p>
          <w:p w14:paraId="3BE3109A" w14:textId="77777777" w:rsidR="00430ACC" w:rsidRDefault="00430ACC" w:rsidP="00F601BD">
            <w:pPr>
              <w:jc w:val="both"/>
            </w:pPr>
            <w:r>
              <w:t xml:space="preserve">• ISCED 4: Post sekundárne neterciárne vzdelávanie </w:t>
            </w:r>
          </w:p>
          <w:p w14:paraId="1100C355" w14:textId="77777777" w:rsidR="00430ACC" w:rsidRDefault="00430ACC" w:rsidP="00F601BD">
            <w:pPr>
              <w:jc w:val="both"/>
            </w:pPr>
            <w:r>
              <w:t xml:space="preserve">• ISCED 5: Krátkodobé terciárne vzdelávanie </w:t>
            </w:r>
          </w:p>
          <w:p w14:paraId="6552501F" w14:textId="77777777" w:rsidR="00430ACC" w:rsidRDefault="00430ACC" w:rsidP="00F601BD">
            <w:pPr>
              <w:jc w:val="both"/>
            </w:pPr>
            <w:r>
              <w:t xml:space="preserve">• ISCED 6: Bakalárska alebo ekvivalentná úroveň </w:t>
            </w:r>
          </w:p>
          <w:p w14:paraId="21D8909A" w14:textId="77777777" w:rsidR="00430ACC" w:rsidRDefault="00430ACC" w:rsidP="00F601BD">
            <w:pPr>
              <w:jc w:val="both"/>
            </w:pPr>
            <w:r>
              <w:t>• ISCED 7: Magisterská alebo ekvivalentná úroveň</w:t>
            </w:r>
          </w:p>
          <w:p w14:paraId="0C302789" w14:textId="77777777" w:rsidR="00430ACC" w:rsidRDefault="00430ACC" w:rsidP="00F601BD">
            <w:pPr>
              <w:jc w:val="both"/>
            </w:pPr>
            <w:r>
              <w:t xml:space="preserve"> • ISCED 8: Doktorandská alebo ekvivalentná úroveň</w:t>
            </w:r>
          </w:p>
        </w:tc>
      </w:tr>
    </w:tbl>
    <w:p w14:paraId="5558192F" w14:textId="6D3B982F" w:rsidR="004B3FDE" w:rsidRDefault="004B3FDE" w:rsidP="008D19D2">
      <w:pPr>
        <w:jc w:val="both"/>
      </w:pPr>
    </w:p>
    <w:p w14:paraId="16B52B56" w14:textId="3F4C52DE" w:rsidR="00840EA3" w:rsidRDefault="00840EA3" w:rsidP="008D19D2">
      <w:pPr>
        <w:jc w:val="both"/>
      </w:pPr>
    </w:p>
    <w:sectPr w:rsidR="00840EA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8B4DF" w14:textId="77777777" w:rsidR="0076274A" w:rsidRDefault="0076274A" w:rsidP="00584FC5">
      <w:pPr>
        <w:spacing w:after="0" w:line="240" w:lineRule="auto"/>
      </w:pPr>
      <w:r>
        <w:separator/>
      </w:r>
    </w:p>
  </w:endnote>
  <w:endnote w:type="continuationSeparator" w:id="0">
    <w:p w14:paraId="512ECA3E" w14:textId="77777777" w:rsidR="0076274A" w:rsidRDefault="0076274A" w:rsidP="00584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EE"/>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59220" w14:textId="77777777" w:rsidR="0076274A" w:rsidRDefault="0076274A" w:rsidP="00584FC5">
      <w:pPr>
        <w:spacing w:after="0" w:line="240" w:lineRule="auto"/>
      </w:pPr>
      <w:r>
        <w:separator/>
      </w:r>
    </w:p>
  </w:footnote>
  <w:footnote w:type="continuationSeparator" w:id="0">
    <w:p w14:paraId="72C5FEB3" w14:textId="77777777" w:rsidR="0076274A" w:rsidRDefault="0076274A" w:rsidP="00584FC5">
      <w:pPr>
        <w:spacing w:after="0" w:line="240" w:lineRule="auto"/>
      </w:pPr>
      <w:r>
        <w:continuationSeparator/>
      </w:r>
    </w:p>
  </w:footnote>
  <w:footnote w:id="1">
    <w:p w14:paraId="30BDE371" w14:textId="0EDDCD4C" w:rsidR="00584FC5" w:rsidRPr="00584FC5" w:rsidRDefault="00584FC5">
      <w:pPr>
        <w:pStyle w:val="Textpoznmkypodiarou"/>
        <w:rPr>
          <w:sz w:val="14"/>
          <w:szCs w:val="14"/>
        </w:rPr>
      </w:pPr>
      <w:r w:rsidRPr="00584FC5">
        <w:rPr>
          <w:rStyle w:val="Odkaznapoznmkupodiarou"/>
          <w:sz w:val="14"/>
          <w:szCs w:val="14"/>
        </w:rPr>
        <w:footnoteRef/>
      </w:r>
      <w:r w:rsidRPr="00584FC5">
        <w:rPr>
          <w:sz w:val="14"/>
          <w:szCs w:val="14"/>
        </w:rPr>
        <w:t xml:space="preserve"> Napr.: v prípade využívania nových vzdelávacích zariadení, ukazovateľ by mal monitorovať, koľko osôb toto zariadenie využíva, a nie ako často ho tieto osoby využívajú.</w:t>
      </w:r>
    </w:p>
  </w:footnote>
  <w:footnote w:id="2">
    <w:p w14:paraId="0B2F090B" w14:textId="5DDF662F" w:rsidR="00584FC5" w:rsidRPr="00584FC5" w:rsidRDefault="00584FC5">
      <w:pPr>
        <w:pStyle w:val="Textpoznmkypodiarou"/>
        <w:rPr>
          <w:sz w:val="14"/>
          <w:szCs w:val="14"/>
        </w:rPr>
      </w:pPr>
      <w:r w:rsidRPr="00584FC5">
        <w:rPr>
          <w:rStyle w:val="Odkaznapoznmkupodiarou"/>
          <w:sz w:val="14"/>
          <w:szCs w:val="14"/>
        </w:rPr>
        <w:footnoteRef/>
      </w:r>
      <w:r w:rsidRPr="00584FC5">
        <w:rPr>
          <w:sz w:val="14"/>
          <w:szCs w:val="14"/>
        </w:rPr>
        <w:t xml:space="preserve"> </w:t>
      </w:r>
      <w:r w:rsidRPr="00584FC5">
        <w:rPr>
          <w:sz w:val="14"/>
          <w:szCs w:val="14"/>
        </w:rPr>
        <w:t>Napr. osoba, ktorá získava podporu z dvoch rôznych programov odbornej prípravy, podporovaných v rámci dvoch rôznych opatrení, pričom cieľom jedného je zlepšiť digitálne zručnosti, a cieľom druhého je vyškolenie za účelom získania zamestnania v udržateľnom poľnohospodárstve, v tomto prípade tá istá osoba by mala byť reportovaná dvakrát.</w:t>
      </w:r>
    </w:p>
  </w:footnote>
  <w:footnote w:id="3">
    <w:p w14:paraId="44D4C8D6" w14:textId="6BC124A9" w:rsidR="00584FC5" w:rsidRDefault="00584FC5">
      <w:pPr>
        <w:pStyle w:val="Textpoznmkypodiarou"/>
      </w:pPr>
      <w:r w:rsidRPr="00584FC5">
        <w:rPr>
          <w:rStyle w:val="Odkaznapoznmkupodiarou"/>
          <w:sz w:val="14"/>
          <w:szCs w:val="14"/>
        </w:rPr>
        <w:footnoteRef/>
      </w:r>
      <w:r w:rsidRPr="00584FC5">
        <w:rPr>
          <w:sz w:val="14"/>
          <w:szCs w:val="14"/>
        </w:rPr>
        <w:t xml:space="preserve"> </w:t>
      </w:r>
      <w:r w:rsidRPr="00584FC5">
        <w:rPr>
          <w:sz w:val="14"/>
          <w:szCs w:val="14"/>
        </w:rPr>
        <w:t xml:space="preserve">Napr. účastníci vzdelávacích alebo tréningových aktivít sa započítajú raz, a to aj v prípade, že podpora trvá niekoľko rokov. Naopak, účastník dvoch rôznych vzdelávacích alebo </w:t>
      </w:r>
      <w:r w:rsidR="00430ACC" w:rsidRPr="00584FC5">
        <w:rPr>
          <w:sz w:val="14"/>
          <w:szCs w:val="14"/>
        </w:rPr>
        <w:t>tréningových</w:t>
      </w:r>
      <w:r w:rsidRPr="00584FC5">
        <w:rPr>
          <w:sz w:val="14"/>
          <w:szCs w:val="14"/>
        </w:rPr>
        <w:t xml:space="preserve"> aktivít by mal byť započítaný dvakrát (raz za každú školiacu alebo vzdelávaciu aktivitu).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1239A" w14:textId="4459187B" w:rsidR="00F23BF6" w:rsidRDefault="00F23BF6" w:rsidP="00F23BF6">
    <w:pPr>
      <w:pStyle w:val="Hlavika"/>
      <w:rPr>
        <w:rFonts w:cstheme="minorHAnsi"/>
        <w:bCs/>
        <w:spacing w:val="5"/>
        <w:kern w:val="28"/>
        <w:sz w:val="32"/>
        <w:szCs w:val="32"/>
      </w:rPr>
    </w:pPr>
    <w:bookmarkStart w:id="1" w:name="_Hlk98162319"/>
    <w:r>
      <w:rPr>
        <w:rFonts w:cstheme="minorHAnsi"/>
        <w:noProof/>
      </w:rPr>
      <w:drawing>
        <wp:inline distT="0" distB="0" distL="0" distR="0" wp14:anchorId="223B7401" wp14:editId="30E4F1BB">
          <wp:extent cx="1209675" cy="466725"/>
          <wp:effectExtent l="0" t="0" r="9525" b="9525"/>
          <wp:docPr id="3" name="Obrázok 3" descr="https://www.planobnovy.sk/site/assets/files/1234/plan_obnovy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s://www.planobnovy.sk/site/assets/files/1234/plan_obnovy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66725"/>
                  </a:xfrm>
                  <a:prstGeom prst="rect">
                    <a:avLst/>
                  </a:prstGeom>
                  <a:noFill/>
                  <a:ln>
                    <a:noFill/>
                  </a:ln>
                </pic:spPr>
              </pic:pic>
            </a:graphicData>
          </a:graphic>
        </wp:inline>
      </w:drawing>
    </w:r>
    <w:r>
      <w:rPr>
        <w:rFonts w:cstheme="minorHAnsi"/>
        <w:bCs/>
        <w:spacing w:val="5"/>
        <w:kern w:val="28"/>
        <w:sz w:val="32"/>
        <w:szCs w:val="32"/>
      </w:rPr>
      <w:t xml:space="preserve">           </w:t>
    </w:r>
    <w:r>
      <w:rPr>
        <w:rFonts w:cstheme="minorHAnsi"/>
        <w:noProof/>
      </w:rPr>
      <w:drawing>
        <wp:inline distT="0" distB="0" distL="0" distR="0" wp14:anchorId="5DDE0CF9" wp14:editId="6F4950B8">
          <wp:extent cx="1924050" cy="485775"/>
          <wp:effectExtent l="0" t="0" r="0" b="9525"/>
          <wp:docPr id="2" name="Obrázok 2" descr="https://www.planobnovy.sk/site/assets/files/1234/sk_financovane_europskou_u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s://www.planobnovy.sk/site/assets/files/1234/sk_financovane_europskou_uniou_po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24050" cy="485775"/>
                  </a:xfrm>
                  <a:prstGeom prst="rect">
                    <a:avLst/>
                  </a:prstGeom>
                  <a:noFill/>
                  <a:ln>
                    <a:noFill/>
                  </a:ln>
                </pic:spPr>
              </pic:pic>
            </a:graphicData>
          </a:graphic>
        </wp:inline>
      </w:drawing>
    </w:r>
    <w:r>
      <w:rPr>
        <w:rFonts w:cstheme="minorHAnsi"/>
        <w:bCs/>
        <w:spacing w:val="5"/>
        <w:kern w:val="28"/>
        <w:sz w:val="32"/>
        <w:szCs w:val="32"/>
      </w:rPr>
      <w:t xml:space="preserve">         </w:t>
    </w:r>
    <w:bookmarkEnd w:id="1"/>
    <w:r w:rsidR="00DF230D">
      <w:rPr>
        <w:rFonts w:cstheme="minorHAnsi"/>
        <w:bCs/>
        <w:noProof/>
        <w:spacing w:val="5"/>
        <w:kern w:val="28"/>
        <w:sz w:val="32"/>
        <w:szCs w:val="32"/>
      </w:rPr>
      <w:drawing>
        <wp:inline distT="0" distB="0" distL="0" distR="0" wp14:anchorId="7A91F926" wp14:editId="50FCD439">
          <wp:extent cx="1380361" cy="519379"/>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4019" cy="532043"/>
                  </a:xfrm>
                  <a:prstGeom prst="rect">
                    <a:avLst/>
                  </a:prstGeom>
                  <a:noFill/>
                  <a:ln>
                    <a:noFill/>
                  </a:ln>
                </pic:spPr>
              </pic:pic>
            </a:graphicData>
          </a:graphic>
        </wp:inline>
      </w:drawing>
    </w:r>
  </w:p>
  <w:p w14:paraId="003F71C3" w14:textId="77777777" w:rsidR="00F23BF6" w:rsidRDefault="00F23BF6" w:rsidP="00F23BF6">
    <w:pPr>
      <w:pStyle w:val="Hlavika"/>
      <w:rPr>
        <w:sz w:val="16"/>
        <w:szCs w:val="16"/>
      </w:rPr>
    </w:pPr>
    <w:r>
      <w:rPr>
        <w:sz w:val="16"/>
        <w:szCs w:val="16"/>
      </w:rPr>
      <w:t>Príloha č. 5 Príručky pre Prijímateľa - Zoznam spoločných merateľných ukazovateľov a spôsob preukázania dosiahnutých hodnôt</w:t>
    </w:r>
  </w:p>
  <w:p w14:paraId="6F174ADC" w14:textId="77777777" w:rsidR="00F23BF6" w:rsidRPr="00F23BF6" w:rsidRDefault="00F23BF6" w:rsidP="00F23BF6">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98B"/>
    <w:rsid w:val="00034A2E"/>
    <w:rsid w:val="00053EC9"/>
    <w:rsid w:val="0020071B"/>
    <w:rsid w:val="00351178"/>
    <w:rsid w:val="00430ACC"/>
    <w:rsid w:val="00437EC0"/>
    <w:rsid w:val="00450C65"/>
    <w:rsid w:val="004B3FDE"/>
    <w:rsid w:val="00506266"/>
    <w:rsid w:val="00584FC5"/>
    <w:rsid w:val="005C2AC8"/>
    <w:rsid w:val="00620F68"/>
    <w:rsid w:val="00750E90"/>
    <w:rsid w:val="0076274A"/>
    <w:rsid w:val="00840EA3"/>
    <w:rsid w:val="008D19D2"/>
    <w:rsid w:val="00950FAA"/>
    <w:rsid w:val="009700A8"/>
    <w:rsid w:val="00AA31CD"/>
    <w:rsid w:val="00B4098B"/>
    <w:rsid w:val="00CE6B9F"/>
    <w:rsid w:val="00D244C9"/>
    <w:rsid w:val="00DF230D"/>
    <w:rsid w:val="00E47D16"/>
    <w:rsid w:val="00E711CC"/>
    <w:rsid w:val="00F23BF6"/>
    <w:rsid w:val="00FC60A0"/>
    <w:rsid w:val="2830F5E7"/>
    <w:rsid w:val="4308F744"/>
    <w:rsid w:val="5D4E2A7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4482C"/>
  <w15:chartTrackingRefBased/>
  <w15:docId w15:val="{53782356-B607-48A3-80BF-3BAA980FC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584FC5"/>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584FC5"/>
    <w:rPr>
      <w:sz w:val="20"/>
      <w:szCs w:val="20"/>
    </w:rPr>
  </w:style>
  <w:style w:type="character" w:styleId="Odkaznapoznmkupodiarou">
    <w:name w:val="footnote reference"/>
    <w:basedOn w:val="Predvolenpsmoodseku"/>
    <w:uiPriority w:val="99"/>
    <w:semiHidden/>
    <w:unhideWhenUsed/>
    <w:rsid w:val="00584FC5"/>
    <w:rPr>
      <w:vertAlign w:val="superscript"/>
    </w:rPr>
  </w:style>
  <w:style w:type="table" w:styleId="Mriekatabuky">
    <w:name w:val="Table Grid"/>
    <w:basedOn w:val="Normlnatabuka"/>
    <w:uiPriority w:val="39"/>
    <w:rsid w:val="00450C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5C2AC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2AC8"/>
    <w:rPr>
      <w:rFonts w:ascii="Segoe UI" w:hAnsi="Segoe UI" w:cs="Segoe UI"/>
      <w:sz w:val="18"/>
      <w:szCs w:val="18"/>
    </w:rPr>
  </w:style>
  <w:style w:type="paragraph" w:customStyle="1" w:styleId="Default">
    <w:name w:val="Default"/>
    <w:rsid w:val="00D244C9"/>
    <w:pPr>
      <w:autoSpaceDE w:val="0"/>
      <w:autoSpaceDN w:val="0"/>
      <w:adjustRightInd w:val="0"/>
      <w:spacing w:after="0" w:line="240" w:lineRule="auto"/>
    </w:pPr>
    <w:rPr>
      <w:rFonts w:ascii="EUAlbertina" w:hAnsi="EUAlbertina" w:cs="EUAlbertina"/>
      <w:color w:val="000000"/>
      <w:sz w:val="24"/>
      <w:szCs w:val="24"/>
    </w:rPr>
  </w:style>
  <w:style w:type="character" w:customStyle="1" w:styleId="y2iqfc">
    <w:name w:val="y2iqfc"/>
    <w:basedOn w:val="Predvolenpsmoodseku"/>
    <w:rsid w:val="00053EC9"/>
  </w:style>
  <w:style w:type="paragraph" w:styleId="Hlavika">
    <w:name w:val="header"/>
    <w:basedOn w:val="Normlny"/>
    <w:link w:val="HlavikaChar"/>
    <w:uiPriority w:val="99"/>
    <w:unhideWhenUsed/>
    <w:rsid w:val="00F23BF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23BF6"/>
  </w:style>
  <w:style w:type="paragraph" w:styleId="Pta">
    <w:name w:val="footer"/>
    <w:basedOn w:val="Normlny"/>
    <w:link w:val="PtaChar"/>
    <w:uiPriority w:val="99"/>
    <w:unhideWhenUsed/>
    <w:rsid w:val="00F23BF6"/>
    <w:pPr>
      <w:tabs>
        <w:tab w:val="center" w:pos="4536"/>
        <w:tab w:val="right" w:pos="9072"/>
      </w:tabs>
      <w:spacing w:after="0" w:line="240" w:lineRule="auto"/>
    </w:pPr>
  </w:style>
  <w:style w:type="character" w:customStyle="1" w:styleId="PtaChar">
    <w:name w:val="Päta Char"/>
    <w:basedOn w:val="Predvolenpsmoodseku"/>
    <w:link w:val="Pta"/>
    <w:uiPriority w:val="99"/>
    <w:rsid w:val="00F23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4506">
      <w:bodyDiv w:val="1"/>
      <w:marLeft w:val="0"/>
      <w:marRight w:val="0"/>
      <w:marTop w:val="0"/>
      <w:marBottom w:val="0"/>
      <w:divBdr>
        <w:top w:val="none" w:sz="0" w:space="0" w:color="auto"/>
        <w:left w:val="none" w:sz="0" w:space="0" w:color="auto"/>
        <w:bottom w:val="none" w:sz="0" w:space="0" w:color="auto"/>
        <w:right w:val="none" w:sz="0" w:space="0" w:color="auto"/>
      </w:divBdr>
    </w:div>
    <w:div w:id="53627890">
      <w:bodyDiv w:val="1"/>
      <w:marLeft w:val="0"/>
      <w:marRight w:val="0"/>
      <w:marTop w:val="0"/>
      <w:marBottom w:val="0"/>
      <w:divBdr>
        <w:top w:val="none" w:sz="0" w:space="0" w:color="auto"/>
        <w:left w:val="none" w:sz="0" w:space="0" w:color="auto"/>
        <w:bottom w:val="none" w:sz="0" w:space="0" w:color="auto"/>
        <w:right w:val="none" w:sz="0" w:space="0" w:color="auto"/>
      </w:divBdr>
    </w:div>
    <w:div w:id="72170394">
      <w:bodyDiv w:val="1"/>
      <w:marLeft w:val="0"/>
      <w:marRight w:val="0"/>
      <w:marTop w:val="0"/>
      <w:marBottom w:val="0"/>
      <w:divBdr>
        <w:top w:val="none" w:sz="0" w:space="0" w:color="auto"/>
        <w:left w:val="none" w:sz="0" w:space="0" w:color="auto"/>
        <w:bottom w:val="none" w:sz="0" w:space="0" w:color="auto"/>
        <w:right w:val="none" w:sz="0" w:space="0" w:color="auto"/>
      </w:divBdr>
    </w:div>
    <w:div w:id="261380666">
      <w:bodyDiv w:val="1"/>
      <w:marLeft w:val="0"/>
      <w:marRight w:val="0"/>
      <w:marTop w:val="0"/>
      <w:marBottom w:val="0"/>
      <w:divBdr>
        <w:top w:val="none" w:sz="0" w:space="0" w:color="auto"/>
        <w:left w:val="none" w:sz="0" w:space="0" w:color="auto"/>
        <w:bottom w:val="none" w:sz="0" w:space="0" w:color="auto"/>
        <w:right w:val="none" w:sz="0" w:space="0" w:color="auto"/>
      </w:divBdr>
    </w:div>
    <w:div w:id="430590974">
      <w:bodyDiv w:val="1"/>
      <w:marLeft w:val="0"/>
      <w:marRight w:val="0"/>
      <w:marTop w:val="0"/>
      <w:marBottom w:val="0"/>
      <w:divBdr>
        <w:top w:val="none" w:sz="0" w:space="0" w:color="auto"/>
        <w:left w:val="none" w:sz="0" w:space="0" w:color="auto"/>
        <w:bottom w:val="none" w:sz="0" w:space="0" w:color="auto"/>
        <w:right w:val="none" w:sz="0" w:space="0" w:color="auto"/>
      </w:divBdr>
    </w:div>
    <w:div w:id="529219098">
      <w:bodyDiv w:val="1"/>
      <w:marLeft w:val="0"/>
      <w:marRight w:val="0"/>
      <w:marTop w:val="0"/>
      <w:marBottom w:val="0"/>
      <w:divBdr>
        <w:top w:val="none" w:sz="0" w:space="0" w:color="auto"/>
        <w:left w:val="none" w:sz="0" w:space="0" w:color="auto"/>
        <w:bottom w:val="none" w:sz="0" w:space="0" w:color="auto"/>
        <w:right w:val="none" w:sz="0" w:space="0" w:color="auto"/>
      </w:divBdr>
    </w:div>
    <w:div w:id="816844671">
      <w:bodyDiv w:val="1"/>
      <w:marLeft w:val="0"/>
      <w:marRight w:val="0"/>
      <w:marTop w:val="0"/>
      <w:marBottom w:val="0"/>
      <w:divBdr>
        <w:top w:val="none" w:sz="0" w:space="0" w:color="auto"/>
        <w:left w:val="none" w:sz="0" w:space="0" w:color="auto"/>
        <w:bottom w:val="none" w:sz="0" w:space="0" w:color="auto"/>
        <w:right w:val="none" w:sz="0" w:space="0" w:color="auto"/>
      </w:divBdr>
    </w:div>
    <w:div w:id="1017582792">
      <w:bodyDiv w:val="1"/>
      <w:marLeft w:val="0"/>
      <w:marRight w:val="0"/>
      <w:marTop w:val="0"/>
      <w:marBottom w:val="0"/>
      <w:divBdr>
        <w:top w:val="none" w:sz="0" w:space="0" w:color="auto"/>
        <w:left w:val="none" w:sz="0" w:space="0" w:color="auto"/>
        <w:bottom w:val="none" w:sz="0" w:space="0" w:color="auto"/>
        <w:right w:val="none" w:sz="0" w:space="0" w:color="auto"/>
      </w:divBdr>
    </w:div>
    <w:div w:id="1044253307">
      <w:bodyDiv w:val="1"/>
      <w:marLeft w:val="0"/>
      <w:marRight w:val="0"/>
      <w:marTop w:val="0"/>
      <w:marBottom w:val="0"/>
      <w:divBdr>
        <w:top w:val="none" w:sz="0" w:space="0" w:color="auto"/>
        <w:left w:val="none" w:sz="0" w:space="0" w:color="auto"/>
        <w:bottom w:val="none" w:sz="0" w:space="0" w:color="auto"/>
        <w:right w:val="none" w:sz="0" w:space="0" w:color="auto"/>
      </w:divBdr>
    </w:div>
    <w:div w:id="1120539423">
      <w:bodyDiv w:val="1"/>
      <w:marLeft w:val="0"/>
      <w:marRight w:val="0"/>
      <w:marTop w:val="0"/>
      <w:marBottom w:val="0"/>
      <w:divBdr>
        <w:top w:val="none" w:sz="0" w:space="0" w:color="auto"/>
        <w:left w:val="none" w:sz="0" w:space="0" w:color="auto"/>
        <w:bottom w:val="none" w:sz="0" w:space="0" w:color="auto"/>
        <w:right w:val="none" w:sz="0" w:space="0" w:color="auto"/>
      </w:divBdr>
    </w:div>
    <w:div w:id="1179731902">
      <w:bodyDiv w:val="1"/>
      <w:marLeft w:val="0"/>
      <w:marRight w:val="0"/>
      <w:marTop w:val="0"/>
      <w:marBottom w:val="0"/>
      <w:divBdr>
        <w:top w:val="none" w:sz="0" w:space="0" w:color="auto"/>
        <w:left w:val="none" w:sz="0" w:space="0" w:color="auto"/>
        <w:bottom w:val="none" w:sz="0" w:space="0" w:color="auto"/>
        <w:right w:val="none" w:sz="0" w:space="0" w:color="auto"/>
      </w:divBdr>
    </w:div>
    <w:div w:id="1947495710">
      <w:bodyDiv w:val="1"/>
      <w:marLeft w:val="0"/>
      <w:marRight w:val="0"/>
      <w:marTop w:val="0"/>
      <w:marBottom w:val="0"/>
      <w:divBdr>
        <w:top w:val="none" w:sz="0" w:space="0" w:color="auto"/>
        <w:left w:val="none" w:sz="0" w:space="0" w:color="auto"/>
        <w:bottom w:val="none" w:sz="0" w:space="0" w:color="auto"/>
        <w:right w:val="none" w:sz="0" w:space="0" w:color="auto"/>
      </w:divBdr>
    </w:div>
    <w:div w:id="1968272220">
      <w:bodyDiv w:val="1"/>
      <w:marLeft w:val="0"/>
      <w:marRight w:val="0"/>
      <w:marTop w:val="0"/>
      <w:marBottom w:val="0"/>
      <w:divBdr>
        <w:top w:val="none" w:sz="0" w:space="0" w:color="auto"/>
        <w:left w:val="none" w:sz="0" w:space="0" w:color="auto"/>
        <w:bottom w:val="none" w:sz="0" w:space="0" w:color="auto"/>
        <w:right w:val="none" w:sz="0" w:space="0" w:color="auto"/>
      </w:divBdr>
    </w:div>
    <w:div w:id="213250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2A572543DE3A4D8C39851C1F4C083C" ma:contentTypeVersion="17" ma:contentTypeDescription="Create a new document." ma:contentTypeScope="" ma:versionID="8f65cda15308c904b70fc54a6af34141">
  <xsd:schema xmlns:xsd="http://www.w3.org/2001/XMLSchema" xmlns:xs="http://www.w3.org/2001/XMLSchema" xmlns:p="http://schemas.microsoft.com/office/2006/metadata/properties" xmlns:ns2="86fee524-2a5c-428d-808a-5494a972a508" xmlns:ns3="e5f5fb0a-63dc-4bed-8b43-856e4696aa0e" targetNamespace="http://schemas.microsoft.com/office/2006/metadata/properties" ma:root="true" ma:fieldsID="63e06a22c02a3b6dbb2432ddf500aeab" ns2:_="" ns3:_="">
    <xsd:import namespace="86fee524-2a5c-428d-808a-5494a972a508"/>
    <xsd:import namespace="e5f5fb0a-63dc-4bed-8b43-856e4696aa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ee524-2a5c-428d-808a-5494a972a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7c43d87-ff39-4d00-81f3-324a00379fb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f5fb0a-63dc-4bed-8b43-856e4696aa0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3bdeddd-fae0-479b-8675-c808a6ee5cd5}" ma:internalName="TaxCatchAll" ma:showField="CatchAllData" ma:web="e5f5fb0a-63dc-4bed-8b43-856e4696a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f5fb0a-63dc-4bed-8b43-856e4696aa0e" xsi:nil="true"/>
    <lcf76f155ced4ddcb4097134ff3c332f xmlns="86fee524-2a5c-428d-808a-5494a972a50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E7FFC-3EB3-433C-AC37-12D715A77A99}">
  <ds:schemaRefs>
    <ds:schemaRef ds:uri="http://schemas.microsoft.com/sharepoint/v3/contenttype/forms"/>
  </ds:schemaRefs>
</ds:datastoreItem>
</file>

<file path=customXml/itemProps2.xml><?xml version="1.0" encoding="utf-8"?>
<ds:datastoreItem xmlns:ds="http://schemas.openxmlformats.org/officeDocument/2006/customXml" ds:itemID="{2C6E995A-D17A-406C-9D64-BF95065FD44E}"/>
</file>

<file path=customXml/itemProps3.xml><?xml version="1.0" encoding="utf-8"?>
<ds:datastoreItem xmlns:ds="http://schemas.openxmlformats.org/officeDocument/2006/customXml" ds:itemID="{DFACAB3C-420D-4D57-B464-19F3C305F665}">
  <ds:schemaRefs>
    <ds:schemaRef ds:uri="http://purl.org/dc/elements/1.1/"/>
    <ds:schemaRef ds:uri="http://purl.org/dc/terms/"/>
    <ds:schemaRef ds:uri="http://schemas.microsoft.com/office/infopath/2007/PartnerControls"/>
    <ds:schemaRef ds:uri="e5f5fb0a-63dc-4bed-8b43-856e4696aa0e"/>
    <ds:schemaRef ds:uri="http://schemas.microsoft.com/office/2006/documentManagement/types"/>
    <ds:schemaRef ds:uri="http://purl.org/dc/dcmitype/"/>
    <ds:schemaRef ds:uri="http://schemas.microsoft.com/office/2006/metadata/properties"/>
    <ds:schemaRef ds:uri="http://schemas.openxmlformats.org/package/2006/metadata/core-properties"/>
    <ds:schemaRef ds:uri="86fee524-2a5c-428d-808a-5494a972a508"/>
    <ds:schemaRef ds:uri="http://www.w3.org/XML/1998/namespace"/>
  </ds:schemaRefs>
</ds:datastoreItem>
</file>

<file path=customXml/itemProps4.xml><?xml version="1.0" encoding="utf-8"?>
<ds:datastoreItem xmlns:ds="http://schemas.openxmlformats.org/officeDocument/2006/customXml" ds:itemID="{C697EEE6-8E97-44DE-AD11-84269C4D2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1737</Words>
  <Characters>9902</Characters>
  <Application>Microsoft Office Word</Application>
  <DocSecurity>0</DocSecurity>
  <Lines>82</Lines>
  <Paragraphs>23</Paragraphs>
  <ScaleCrop>false</ScaleCrop>
  <Company>M?VVA?SR</Company>
  <LinksUpToDate>false</LinksUpToDate>
  <CharactersWithSpaces>11616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Ilčík Peter</dc:creator>
  <cp:keywords/>
  <dc:description/>
  <cp:lastModifiedBy>Ilčík Peter</cp:lastModifiedBy>
  <cp:revision>17</cp:revision>
  <dcterms:created xsi:type="dcterms:W3CDTF">2022-10-24T07:39:00Z</dcterms:created>
  <dcterms:modified xsi:type="dcterms:W3CDTF">2024-06-27T07:18:00Z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0x010100982A572543DE3A4D8C39851C1F4C083C</vt:lpwstr>
  </property>
  <property fmtid="{D5CDD505-2E9C-101B-9397-08002B2CF9AE}" pid="3" name="MediaServiceImageTags">
    <vt:lpwstr/>
  </property>
</Properties>
</file>